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"/>
        <w:tblW w:w="88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 w:noHBand="0" w:noVBand="1" w:firstColumn="0" w:lastRow="0" w:lastColumn="0" w:firstRow="0"/>
      </w:tblPr>
      <w:tblGrid>
        <w:gridCol w:w="1879"/>
        <w:gridCol w:w="6958"/>
      </w:tblGrid>
      <w:tr>
        <w:trPr>
          <w:trHeight w:val="1559" w:hRule="atLeast"/>
        </w:trPr>
        <w:tc>
          <w:tcPr>
            <w:tcW w:w="1879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color w:val="002060"/>
              </w:rPr>
            </w:pPr>
            <w:r>
              <w:rPr/>
              <w:drawing>
                <wp:inline distT="0" distB="0" distL="0" distR="0">
                  <wp:extent cx="1057910" cy="1382395"/>
                  <wp:effectExtent l="0" t="0" r="0" b="0"/>
                  <wp:docPr id="1" name="image1.png" descr="C:\Users\PROFRA. LUCIA\Desktop\SSyPP\FORMATOS\Escudos\Escudo_y_Logotipo_Color_Positivo_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C:\Users\PROFRA. LUCIA\Desktop\SSyPP\FORMATOS\Escudos\Escudo_y_Logotipo_Color_Positivo_2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1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8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color w:val="00206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2060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color w:val="00206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2060"/>
                <w:sz w:val="28"/>
                <w:szCs w:val="28"/>
              </w:rPr>
              <w:t>Benemérita Universidad Autónoma de Puebla</w:t>
            </w:r>
          </w:p>
          <w:p>
            <w:pPr>
              <w:pStyle w:val="Normal"/>
              <w:spacing w:before="0" w:after="0"/>
              <w:jc w:val="center"/>
              <w:rPr>
                <w:rFonts w:cs="Calibri"/>
                <w:color w:val="002060"/>
                <w:sz w:val="28"/>
                <w:szCs w:val="28"/>
              </w:rPr>
            </w:pPr>
            <w:r>
              <w:rPr>
                <w:rFonts w:cs="Calibri"/>
                <w:color w:val="002060"/>
                <w:sz w:val="28"/>
                <w:szCs w:val="28"/>
              </w:rPr>
              <w:t>Facultad de Ciencias Físico Matemáticas</w:t>
            </w:r>
          </w:p>
        </w:tc>
      </w:tr>
      <w:tr>
        <w:trPr>
          <w:trHeight w:val="556" w:hRule="atLeast"/>
        </w:trPr>
        <w:tc>
          <w:tcPr>
            <w:tcW w:w="187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cs="Calibri"/>
                <w:color w:val="002060"/>
                <w:sz w:val="28"/>
                <w:szCs w:val="28"/>
              </w:rPr>
            </w:pPr>
            <w:r>
              <w:rPr>
                <w:rFonts w:cs="Calibri"/>
                <w:color w:val="002060"/>
                <w:sz w:val="28"/>
                <w:szCs w:val="28"/>
              </w:rPr>
            </w:r>
          </w:p>
        </w:tc>
        <w:tc>
          <w:tcPr>
            <w:tcW w:w="695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color w:val="002060"/>
              </w:rPr>
            </w:pPr>
            <w:r>
              <w:rPr>
                <w:rFonts w:eastAsia="Arial" w:cs="Arial" w:ascii="Arial" w:hAnsi="Arial"/>
                <w:b/>
                <w:color w:val="002060"/>
              </w:rPr>
              <w:t>Reporte concentrado de Práctica Profesional</w:t>
            </w:r>
          </w:p>
          <w:p>
            <w:pPr>
              <w:pStyle w:val="Normal"/>
              <w:spacing w:before="0" w:after="160"/>
              <w:jc w:val="end"/>
              <w:rPr>
                <w:rFonts w:ascii="Arial" w:hAnsi="Arial" w:eastAsia="Arial" w:cs="Arial"/>
                <w:b/>
                <w:color w:val="002060"/>
              </w:rPr>
            </w:pPr>
            <w:r>
              <w:rPr>
                <w:rFonts w:eastAsia="Arial" w:cs="Arial" w:ascii="Arial" w:hAnsi="Arial"/>
                <w:b/>
                <w:color w:val="002060"/>
              </w:rPr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0"/>
        <w:tblW w:w="894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681"/>
        <w:gridCol w:w="5259"/>
      </w:tblGrid>
      <w:tr>
        <w:trPr>
          <w:trHeight w:val="51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Nombre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Jesse Moisés Carrillo Onchi</w:t>
            </w:r>
          </w:p>
        </w:tc>
      </w:tr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Matrícula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202064225</w:t>
            </w:r>
          </w:p>
        </w:tc>
      </w:tr>
      <w:tr>
        <w:trPr>
          <w:trHeight w:val="409" w:hRule="atLeast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Carrera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Lic. en Física</w:t>
            </w:r>
          </w:p>
        </w:tc>
      </w:tr>
      <w:tr>
        <w:trPr>
          <w:trHeight w:val="4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Folio y nombre del Programa 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205305. Análisis de datos enfocado a Física de Partículas</w:t>
            </w:r>
          </w:p>
        </w:tc>
      </w:tr>
      <w:tr>
        <w:trPr>
          <w:trHeight w:val="414" w:hRule="atLeast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Dependencia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Vicerrectoría de Investigación y Estudios de Posgrado</w:t>
            </w:r>
          </w:p>
        </w:tc>
      </w:tr>
      <w:tr>
        <w:trPr>
          <w:trHeight w:val="4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Período en el que está inscrita la PP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Otoño 2024</w:t>
            </w:r>
          </w:p>
        </w:tc>
      </w:tr>
      <w:tr>
        <w:trPr>
          <w:trHeight w:val="421" w:hRule="atLeast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Fecha de elaboración del reporte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Lunes, 9 de diciembre de 2024</w:t>
            </w:r>
          </w:p>
        </w:tc>
      </w:tr>
      <w:tr>
        <w:trPr>
          <w:trHeight w:val="41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Número total de horas cumplidas </w:t>
            </w:r>
          </w:p>
        </w:tc>
        <w:tc>
          <w:tcPr>
            <w:tcW w:w="5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80</w:t>
            </w:r>
          </w:p>
        </w:tc>
      </w:tr>
      <w:tr>
        <w:trPr>
          <w:trHeight w:val="2568" w:hRule="atLeast"/>
        </w:trPr>
        <w:tc>
          <w:tcPr>
            <w:tcW w:w="894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Resuma las principales actividades realizadas</w:t>
            </w:r>
          </w:p>
          <w:p>
            <w:pPr>
              <w:pStyle w:val="BodyText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Durante este periodo, continué con el análisis del conjunto de datos primarios de MuOnia en formato AOD del RunA de 2011, disponibles en el portal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CERN Open Data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. Para ello, utilicé un entorno configurado en Docker con la imagen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CMSSW_5_3_32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 y preparé un archivo </w:t>
            </w:r>
            <w:r>
              <w:rPr>
                <w:rStyle w:val="Textooriginal"/>
                <w:rFonts w:eastAsia="Arial" w:cs="Arial" w:ascii="Arial" w:hAnsi="Arial"/>
                <w:i/>
                <w:iCs/>
                <w:sz w:val="20"/>
                <w:szCs w:val="20"/>
              </w:rPr>
              <w:t>poet_cfg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 adecuado, seleccionando los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HLT trigger paths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 relevantes y enfocándome en el mesón J/ψ a través de su canal de decaimiento muónico.</w:t>
            </w:r>
          </w:p>
          <w:p>
            <w:pPr>
              <w:pStyle w:val="BodyText"/>
              <w:widowControl/>
              <w:bidi w:val="0"/>
              <w:spacing w:lineRule="auto" w:line="240" w:before="0" w:after="0"/>
              <w:jc w:val="both"/>
              <w:rPr>
                <w:rFonts w:ascii="Arial" w:hAnsi="Arial" w:eastAsia="Arial" w:cs="Arial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Como parte del proceso, filtré los datos descargados previamente del portal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CERN Open Data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>, generando nuevos archivos ROOT. Posteriormente, analicé estos archivos utilizando Python y ROOT, lo que permitió seleccionar las variables más importantes, calcular observables y generar histogramas para estudiar el comportamiento de los eventos seleccionados.</w:t>
            </w:r>
          </w:p>
          <w:p>
            <w:pPr>
              <w:pStyle w:val="BodyText"/>
              <w:widowControl/>
              <w:bidi w:val="0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Además, estudié el artículo </w:t>
            </w:r>
            <w:r>
              <w:rPr>
                <w:rStyle w:val="Emphasis"/>
                <w:rFonts w:eastAsia="Arial" w:cs="Arial" w:ascii="Arial" w:hAnsi="Arial"/>
                <w:i/>
                <w:iCs/>
                <w:sz w:val="20"/>
                <w:szCs w:val="20"/>
              </w:rPr>
              <w:t>Observación de una estructura prominente en el espectro de masas de J/ψφ a partir de los decaimientos B± → J/ψφK±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, que analiza el mismo conjunto de datos primarios. Este artículo presenta la posible detección de la partícula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X(4140)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, también conocida como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Y(4140)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, a través de un histograma destacado. Investigando en otras fuentes, profundicé en la relevancia de este estado exótico de 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>multiquarks</w:t>
            </w: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 xml:space="preserve"> y los detalles del análisis descrito, así como de otros estudios relacionados. Como resultado, estoy trabajando en la recreación del histograma presentado en el artículo, empleando las mismas variables y técnicas mencionadas, con el objetivo de validar los resultados y comprender mejor los métodos utilizados.</w:t>
            </w:r>
          </w:p>
        </w:tc>
      </w:tr>
    </w:tbl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Style w:val="a1"/>
        <w:tblW w:w="88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 w:noHBand="0" w:noVBand="1" w:firstColumn="0" w:lastRow="0" w:lastColumn="0" w:firstRow="0"/>
      </w:tblPr>
      <w:tblGrid>
        <w:gridCol w:w="4414"/>
        <w:gridCol w:w="4413"/>
      </w:tblGrid>
      <w:tr>
        <w:trPr/>
        <w:tc>
          <w:tcPr>
            <w:tcW w:w="44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(nombre y firma del estudiante)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44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Vo Bo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(Nombre y firma)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 del programa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color w:val="366091"/>
        </w:rPr>
      </w:pPr>
      <w:r>
        <w:rPr>
          <w:color w:val="366091"/>
        </w:rPr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3ba1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63ba1"/>
    <w:rPr>
      <w:rFonts w:ascii="Tahoma" w:hAnsi="Tahoma" w:eastAsia="Calibri" w:cs="Tahoma"/>
      <w:sz w:val="16"/>
      <w:szCs w:val="16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63b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21">
    <w:name w:val="Tabla de cuadrícula 21"/>
    <w:basedOn w:val="Tablanormal"/>
    <w:uiPriority w:val="47"/>
    <w:rsid w:val="00691f1d"/>
    <w:pPr>
      <w:spacing w:after="0" w:line="240" w:lineRule="auto"/>
    </w:pPr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">
    <w:name w:val="Table Grid"/>
    <w:basedOn w:val="Tablanormal"/>
    <w:uiPriority w:val="59"/>
    <w:rsid w:val="00175a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9T6s9cD4NicrnVuWWp1miL6RUdQ==">AMUW2mX7Jas/Jc8sjGubGyWr8XlRsQOm3Eo4rOhYg2HRp6/hd1yQUgAplo2smcrkYae35KQamkdNhxGI6LGUJZwyg7Bb5a84KGJkf0GLrYxXzBKYklYKXc0=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319</Words>
  <Characters>1855</Characters>
  <CharactersWithSpaces>2147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2020-05-28T20:26:00Z</dcterms:created>
  <dc:creator>PROFRA. LUCIA</dc:creator>
  <dc:description/>
  <dc:language>es-MX</dc:language>
  <cp:lastModifiedBy/>
  <dcterms:modified xsi:type="dcterms:W3CDTF">2024-12-09T11:55:22Z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