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0" w:line="3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04"/>
                <w:szCs w:val="104"/>
              </w:rPr>
              <w:t xml:space="preserve">PC</w:t>
            </w:r>
          </w:p>
          <w:p>
            <w:pPr>
              <w:spacing w:after="20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FF7F"/>
                <w:sz w:val="112"/>
                <w:szCs w:val="112"/>
              </w:rPr>
              <w:t xml:space="preserve">PharmaControl</w:t>
            </w:r>
          </w:p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GUÍA DE ESTILO Y PALETA DE COLORES</w:t>
            </w:r>
          </w:p>
          <w:p>
            <w:pPr>
              <w:spacing w:before="12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44"/>
                <w:szCs w:val="44"/>
              </w:rPr>
              <w:t xml:space="preserve">Sistema de Monitoreo de Cumplimiento Regulatorio</w:t>
            </w:r>
          </w:p>
          <w:p>
            <w:pPr>
              <w:spacing w:before="8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40"/>
                <w:szCs w:val="40"/>
              </w:rPr>
              <w:t xml:space="preserve">Versión 1.0  ·  2025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4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Alumno(a):</w:t>
            </w:r>
          </w:p>
        </w:tc>
        <w:tc>
          <w:tcPr>
            <w:tcW w:type="dxa" w:w="57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Jesús Olav Pineda Salinas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Matrícula:</w:t>
            </w:r>
          </w:p>
        </w:tc>
        <w:tc>
          <w:tcPr>
            <w:tcW w:type="dxa" w:w="57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202304037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Materia:</w:t>
            </w:r>
          </w:p>
        </w:tc>
        <w:tc>
          <w:tcPr>
            <w:tcW w:type="dxa" w:w="57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Arquitectura de Software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Profesor:</w:t>
            </w:r>
          </w:p>
        </w:tc>
        <w:tc>
          <w:tcPr>
            <w:tcW w:type="dxa" w:w="57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Mtro. Raúl Arturo Coria López</w:t>
            </w:r>
          </w:p>
        </w:tc>
      </w:tr>
    </w:tbl>
    <w:p>
      <w:pPr>
        <w:spacing w:before="400"/>
      </w:pP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1. Colores de Fondo (Dark Mode)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4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#0D1B2A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BG Primary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--bg-primary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Fondo de toda la aplicación: body, secciones hero, página principal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#162435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BG Secondary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--bg-secondary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Navbar, encabezados de sección, fondos alternos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#1A2E42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BG Card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--bg-card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Cards de sectores (Banca, Farmacéutica, Energía) y tarjetas de KPIs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24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#1F3245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BG Input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--bg-input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Campos de texto del chat, inputs del sistema, área de conversación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2. Verde Primario — Color de Marca PharmaControl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El verde neón es el único color de acento en PharmaControl. Su saturación alta crea jerarquía visual inmediata sobre el fondo navy oscuro, y connota salud, farmacia y aprobación regulatoria.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4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FF9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#4AFF9A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Green 400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--green-400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Hover states suaves, highlights en íconos secundarios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FF7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#22FF7F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Green 500  ★ PRINCIPAL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--green-500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Logotipo, botones CTA, números KPI, títulos de cards. COLOR PRINCIPAL DE MARCA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E86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#00E86A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Green 600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--green-600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Estado hover activo del botón "Explorar Plataforma"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45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#00C45A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Green 700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--green-700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Íconos secundarios, bordes de focus en inputs, detalles sutiles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3. Colores de Texto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04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#FFFFFF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Blanco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--text-white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Títulos principales H1/H2, nombre de marca en Navbar, texto crítico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#94A3B8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Muted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--text-muted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Subtítulos, descripciones de sector, texto del chat, subtexto de KPIs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#64748B</w:t>
            </w:r>
          </w:p>
        </w:tc>
        <w:tc>
          <w:tcPr>
            <w:tcW w:type="dxa" w:w="67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Dim</w:t>
            </w: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  ·  --text-dim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Placeholders del input, metadatos, etiquetas auxiliares, pie de página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 Colores Semánticos — Alertas Regulatorias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Cada nivel de severidad tiene un par fondo/texto para transmitir la urgencia de la alerta en menos de un segundo.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104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Colores</w:t>
            </w:r>
          </w:p>
        </w:tc>
        <w:tc>
          <w:tcPr>
            <w:tcW w:type="dxa" w:w="51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Ejemplo de uso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D1D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A5A5"/>
                <w:sz w:val="22"/>
                <w:szCs w:val="22"/>
              </w:rPr>
              <w:t xml:space="preserve">CRÍTICA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Fondo: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#7B1D1D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Texto: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#FCA5A5</w:t>
            </w:r>
          </w:p>
        </w:tc>
        <w:tc>
          <w:tcPr>
            <w:tcW w:type="dxa" w:w="5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Nueva regulación bancaria sobre protección de datos financieros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22"/>
                <w:szCs w:val="22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Fondo: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#78350F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Texto: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#FCD34D</w:t>
            </w:r>
          </w:p>
        </w:tc>
        <w:tc>
          <w:tcPr>
            <w:tcW w:type="dxa" w:w="5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Actualización en normativas de farmacovigilancia — revisión requerida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6EFAC"/>
                <w:sz w:val="22"/>
                <w:szCs w:val="22"/>
              </w:rPr>
              <w:t xml:space="preserve">APROBACIÓN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Fondo: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#14532D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Texto: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#86EFAC</w:t>
            </w:r>
          </w:p>
        </w:tc>
        <w:tc>
          <w:tcPr>
            <w:tcW w:type="dxa" w:w="5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Certificación energética aprobada correctamente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line="36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2"/>
                <w:szCs w:val="22"/>
              </w:rPr>
              <w:t xml:space="preserve">INFORMACIÓN</w:t>
            </w:r>
          </w:p>
        </w:tc>
        <w:tc>
          <w:tcPr>
            <w:tcW w:type="dxa" w:w="18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Fondo: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#1E3A5F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Texto: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 #93C5FD</w:t>
            </w:r>
          </w:p>
        </w:tc>
        <w:tc>
          <w:tcPr>
            <w:tcW w:type="dxa" w:w="5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Nuevo ciclo de auditoría regulatoria programado para Q4 2025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5. Tipografía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Familia principal: </w:t>
      </w:r>
      <w:r>
        <w:rPr>
          <w:rFonts w:ascii="Calibri" w:cs="Calibri" w:eastAsia="Calibri" w:hAnsi="Calibri"/>
          <w:b/>
          <w:bCs/>
          <w:color w:val="0D5C3A"/>
          <w:sz w:val="22"/>
          <w:szCs w:val="22"/>
        </w:rPr>
        <w:t xml:space="preserve">Inter</w:t>
      </w: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 — Fallbacks: Segoe UI, system-ui, sans-serif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4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Estilo / Peso / Tamaño</w:t>
            </w:r>
          </w:p>
        </w:tc>
        <w:tc>
          <w:tcPr>
            <w:tcW w:type="dxa" w:w="61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Ejemplo visual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Hero H1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800 ExtraBold · 48–64px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Monitoreo Regulatorio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Section H2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700 Bold · 28–32px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Alertas Regulatorias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Card H3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700 Bold · 18–20px · verde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D5C3A"/>
                <w:sz w:val="24"/>
                <w:szCs w:val="24"/>
              </w:rPr>
              <w:t xml:space="preserve">Farmacéutica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Body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400 Regular · 14–16px · muted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4"/>
                <w:szCs w:val="24"/>
              </w:rPr>
              <w:t xml:space="preserve">Seguimiento de regulaciones sanitarias y control de medicamentos.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KPI / Stat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800 ExtraBold · 36–42px · verde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D5C3A"/>
                <w:sz w:val="24"/>
                <w:szCs w:val="24"/>
              </w:rPr>
              <w:t xml:space="preserve">+500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Label stat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400 Regular · 12–13px · muted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24"/>
                <w:szCs w:val="24"/>
              </w:rPr>
              <w:t xml:space="preserve">Normativas monitoreadas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Nav link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500 Medium · 14–15px · blanco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Inicio  ·  Sectores  ·  Alertas  ·  Chat</w:t>
            </w:r>
          </w:p>
        </w:tc>
      </w:tr>
      <w:tr>
        <w:tc>
          <w:tcPr>
            <w:tcW w:type="dxa" w:w="24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Botón CTA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Inter · 700 Bold · 13–15px · negro</w:t>
            </w:r>
          </w:p>
        </w:tc>
        <w:tc>
          <w:tcPr>
            <w:tcW w:type="dxa" w:w="6104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Explorar Plataforma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6. Variantes del Logotipo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Isotipo: cuadrado redondeado verde (#22FF7F) con letras "PC" en negro (#0D1B2A). Wordmark: "PharmaControl" en Inter 800.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904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Navbar (dark)</w:t>
            </w:r>
          </w:p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435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FF7F"/>
                      <w:sz w:val="24"/>
                      <w:szCs w:val="24"/>
                    </w:rPr>
                    <w:t xml:space="preserve">PharmaControl</w:t>
                  </w:r>
                </w:p>
              </w:tc>
            </w:tr>
          </w:tbl>
          <w:p>
            <w:pPr>
              <w:spacing w:before="6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Barra de navegación de la app web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Documentos</w:t>
            </w:r>
          </w:p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5C3A"/>
                      <w:sz w:val="24"/>
                      <w:szCs w:val="24"/>
                    </w:rPr>
                    <w:t xml:space="preserve">PharmaControl</w:t>
                  </w:r>
                </w:p>
              </w:tc>
            </w:tr>
          </w:tbl>
          <w:p>
            <w:pPr>
              <w:spacing w:before="6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Reportes PDF, documentos institucionales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Redes sociales</w:t>
            </w:r>
          </w:p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2FF7F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24"/>
                      <w:szCs w:val="24"/>
                    </w:rPr>
                    <w:t xml:space="preserve">PharmaControl</w:t>
                  </w:r>
                </w:p>
              </w:tc>
            </w:tr>
          </w:tbl>
          <w:p>
            <w:pPr>
              <w:spacing w:before="6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LinkedIn, Instagram, banners</w:t>
            </w:r>
          </w:p>
        </w:tc>
        <w:tc>
          <w:tcPr>
            <w:tcW w:type="dxa" w:w="19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Isotipo "PC"</w:t>
            </w:r>
          </w:p>
          <w:tbl>
            <w:tblPr>
              <w:tblW w:type="dxa" w:w="1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2FF7F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spacing w:line="360" w:lineRule="auto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B2A"/>
                      <w:sz w:val="32"/>
                      <w:szCs w:val="32"/>
                    </w:rPr>
                    <w:t xml:space="preserve">PC</w:t>
                  </w:r>
                </w:p>
              </w:tc>
            </w:tr>
          </w:tbl>
          <w:p>
            <w:pPr>
              <w:spacing w:before="6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9CA3AF"/>
                <w:sz w:val="18"/>
                <w:szCs w:val="18"/>
              </w:rPr>
              <w:t xml:space="preserve">Favicon 16px, App icon 512px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7. Especificaciones de Componentes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Especificación CSS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Botón primario CTA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#22FF7F  |  color: #0D1B2A  |  font-weight: 700  |  padding: 10px 24px  |  border-radius: 8px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Botón secundario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transparent  |  color: #22FF7F  |  border: 1.5px solid #22FF7F  |  padding: 10px 24px  |  border-radius: 8px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Cards de sector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#1A2E42  |  border-radius: 12px  |  padding: 24px  |  border: 1px solid #1F3A54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Cards de KPI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#1A2E42  |  border-radius: 12px  |  padding: 24px  |  text-align: center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Alertas regulatorias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border-radius: 8px  |  padding: 14px 20px  |  font-weight: 500  |  colores semánticos por severidad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Input del chat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#FFFFFF  |  color: #0D1B2A  |  border-radius: 8px  |  padding: 12px 16px  |  font-size: 14px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Área de mensajes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#1F3245  |  border-radius: 12px  |  padding: 20px  |  overflow-y: auto  |  min-height: 400px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Navbar</w:t>
            </w:r>
          </w:p>
        </w:tc>
        <w:tc>
          <w:tcPr>
            <w:tcW w:type="dxa" w:w="6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background: #162435  |  height: 64px  |  position: fixed  |  top: 0  |  width: 100%  |  z-index: 50</w:t>
            </w:r>
          </w:p>
        </w:tc>
      </w:tr>
    </w:tbl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p>
      <w:pPr>
        <w:pBdr>
          <w:bottom w:val="single" w:color="22FF7F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2FF7F"/>
          <w:sz w:val="26"/>
          <w:szCs w:val="26"/>
        </w:rPr>
        <w:t xml:space="preserve">▌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8. Retícula y Layout</w:t>
      </w:r>
    </w:p>
    <w:p>
      <w:pPr>
        <w:spacing w:after="60" w:before="0" w:line="360" w:lineRule="auto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4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Max-width contenido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1280px (max-w-7xl) — centrado con auto margins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Padding horizontal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32px (px-8) en desktop · 16px (px-4) en móvil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Navbar height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64px (h-16) — fija en top-0, z-index 50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Gap entre cards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24px (gap-6) — grid de 3 columnas en desktop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Padding interno cards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24px (p-6) — consistente en todos los cards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Border radius cards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12px (rounded-xl) — esquinas redondeadas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Sección hero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min-height: 100vh — centrado vertical y horizontal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Sección sectores/stats</w:t>
            </w:r>
          </w:p>
        </w:tc>
        <w:tc>
          <w:tcPr>
            <w:tcW w:type="dxa" w:w="61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padding vertical: 80px (py-20) · fondo alterno</w:t>
            </w:r>
          </w:p>
        </w:tc>
      </w:tr>
    </w:tbl>
    <w:sectPr>
      <w:footerReference w:type="default" r:id="rId7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9CA3AF"/>
        <w:sz w:val="18"/>
        <w:szCs w:val="18"/>
      </w:rPr>
      <w:t xml:space="preserve">PharmaControl · Guía de Estilo y Paleta de Colores ·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2026-06-17T22:15:06.454Z</dcterms:created>
  <dcterms:modified xsi:type="dcterms:W3CDTF">2026-06-17T22:15:06.458Z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