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F3092" w14:textId="77777777" w:rsidR="003A1C96" w:rsidRDefault="003A1C96" w:rsidP="003A1C96">
      <w:pPr>
        <w:pStyle w:val="Heading1"/>
        <w:numPr>
          <w:ilvl w:val="0"/>
          <w:numId w:val="0"/>
        </w:numPr>
        <w:rPr>
          <w:lang w:val="en-US"/>
        </w:rPr>
      </w:pPr>
      <w:proofErr w:type="spellStart"/>
      <w:r>
        <w:rPr>
          <w:lang w:val="en-US"/>
        </w:rPr>
        <w:t>Källförteckning</w:t>
      </w:r>
      <w:proofErr w:type="spellEnd"/>
    </w:p>
    <w:p w14:paraId="3472B8CA" w14:textId="77777777" w:rsidR="003A1C96" w:rsidRDefault="003A1C96" w:rsidP="003A1C96">
      <w:pPr>
        <w:spacing w:after="0" w:line="240" w:lineRule="auto"/>
        <w:rPr>
          <w:rFonts w:cstheme="minorHAnsi"/>
          <w:lang w:val="en-US"/>
        </w:rPr>
      </w:pPr>
    </w:p>
    <w:p w14:paraId="3027E4CA" w14:textId="77777777" w:rsidR="003A1C96" w:rsidRDefault="003A1C96" w:rsidP="003A1C96">
      <w:pPr>
        <w:spacing w:after="0" w:line="240" w:lineRule="auto"/>
        <w:rPr>
          <w:lang w:val="en-US"/>
        </w:rPr>
      </w:pPr>
      <w:proofErr w:type="spellStart"/>
      <w:r>
        <w:rPr>
          <w:rFonts w:cstheme="minorHAnsi"/>
          <w:lang w:val="en-US"/>
        </w:rPr>
        <w:t>Bajallan</w:t>
      </w:r>
      <w:proofErr w:type="spellEnd"/>
      <w:r>
        <w:rPr>
          <w:rFonts w:cstheme="minorHAnsi"/>
          <w:lang w:val="en-US"/>
        </w:rPr>
        <w:t xml:space="preserve">, R. (2022). </w:t>
      </w:r>
      <w:r>
        <w:rPr>
          <w:i/>
          <w:iCs/>
          <w:lang w:val="en-US"/>
        </w:rPr>
        <w:t>A comparative evaluation of machine learning models for engagement classification during presentations.</w:t>
      </w:r>
      <w:r>
        <w:rPr>
          <w:lang w:val="en-US"/>
        </w:rPr>
        <w:t xml:space="preserve"> Stockholm: KTH. </w:t>
      </w:r>
    </w:p>
    <w:p w14:paraId="0580F732" w14:textId="77777777" w:rsidR="003A1C96" w:rsidRDefault="003A1C96" w:rsidP="003A1C96">
      <w:pPr>
        <w:spacing w:after="0" w:line="240" w:lineRule="auto"/>
        <w:rPr>
          <w:lang w:val="en-US"/>
        </w:rPr>
      </w:pPr>
      <w:hyperlink r:id="rId5" w:history="1">
        <w:r>
          <w:rPr>
            <w:rStyle w:val="Hyperlink"/>
            <w:lang w:val="en-US"/>
          </w:rPr>
          <w:t>https://www.diva-portal.org/smash/get/diva2:1732944/FULLTEXT01.pdf</w:t>
        </w:r>
      </w:hyperlink>
      <w:r>
        <w:rPr>
          <w:lang w:val="en-US"/>
        </w:rPr>
        <w:t xml:space="preserve"> </w:t>
      </w:r>
    </w:p>
    <w:p w14:paraId="3F97FC86" w14:textId="77777777" w:rsidR="003A1C96" w:rsidRDefault="003A1C96" w:rsidP="003A1C96">
      <w:pPr>
        <w:pStyle w:val="Heading1"/>
        <w:numPr>
          <w:ilvl w:val="0"/>
          <w:numId w:val="0"/>
        </w:numPr>
        <w:shd w:val="clear" w:color="auto" w:fill="FFFFFF"/>
        <w:spacing w:before="0" w:line="240" w:lineRule="auto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</w:p>
    <w:p w14:paraId="44BF85D5" w14:textId="77777777" w:rsidR="003A1C96" w:rsidRDefault="003A1C96" w:rsidP="003A1C96">
      <w:pPr>
        <w:pStyle w:val="Heading1"/>
        <w:numPr>
          <w:ilvl w:val="0"/>
          <w:numId w:val="0"/>
        </w:numPr>
        <w:shd w:val="clear" w:color="auto" w:fill="FFFFFF"/>
        <w:spacing w:before="0" w:line="240" w:lineRule="auto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proofErr w:type="spellStart"/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G</w:t>
      </w:r>
      <w: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  <w:lang w:val="en-US"/>
        </w:rPr>
        <w:t>é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r</w:t>
      </w:r>
      <w: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  <w:lang w:val="en-US"/>
        </w:rPr>
        <w:t>o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n</w:t>
      </w:r>
      <w:proofErr w:type="spellEnd"/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, A. (2019). </w:t>
      </w:r>
      <w:r>
        <w:rPr>
          <w:rFonts w:asciiTheme="minorHAnsi" w:hAnsiTheme="minorHAnsi" w:cstheme="minorHAnsi"/>
          <w:i/>
          <w:iCs/>
          <w:color w:val="auto"/>
          <w:sz w:val="22"/>
          <w:szCs w:val="22"/>
          <w:lang w:val="en-US"/>
        </w:rPr>
        <w:t xml:space="preserve">Hands-on machine learning with Scikit-Learn, </w:t>
      </w:r>
      <w:proofErr w:type="spellStart"/>
      <w:r>
        <w:rPr>
          <w:rFonts w:asciiTheme="minorHAnsi" w:hAnsiTheme="minorHAnsi" w:cstheme="minorHAnsi"/>
          <w:i/>
          <w:iCs/>
          <w:color w:val="auto"/>
          <w:sz w:val="22"/>
          <w:szCs w:val="22"/>
          <w:lang w:val="en-US"/>
        </w:rPr>
        <w:t>Keras</w:t>
      </w:r>
      <w:proofErr w:type="spellEnd"/>
      <w:r>
        <w:rPr>
          <w:rFonts w:asciiTheme="minorHAnsi" w:hAnsiTheme="minorHAnsi" w:cstheme="minorHAnsi"/>
          <w:i/>
          <w:iCs/>
          <w:color w:val="auto"/>
          <w:sz w:val="22"/>
          <w:szCs w:val="22"/>
          <w:lang w:val="en-US"/>
        </w:rPr>
        <w:t>, and TensorFlow; concepts, tools, and techniques to build intelligent systems.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 Sebastopol: O</w:t>
      </w:r>
      <w:r>
        <w:rPr>
          <w:rFonts w:asciiTheme="minorHAnsi" w:hAnsiTheme="minorHAnsi" w:cstheme="minorHAnsi"/>
          <w:color w:val="auto"/>
          <w:sz w:val="22"/>
          <w:szCs w:val="22"/>
          <w:lang w:val="bs-Latn-BA"/>
        </w:rPr>
        <w:t>'Reilly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.  </w:t>
      </w:r>
    </w:p>
    <w:p w14:paraId="027E1E77" w14:textId="77777777" w:rsidR="003A1C96" w:rsidRDefault="003A1C96" w:rsidP="003A1C96">
      <w:pPr>
        <w:spacing w:after="0" w:line="240" w:lineRule="auto"/>
        <w:rPr>
          <w:lang w:val="en-US"/>
        </w:rPr>
      </w:pPr>
    </w:p>
    <w:p w14:paraId="3B6365CA" w14:textId="77777777" w:rsidR="003A1C96" w:rsidRPr="003A1C96" w:rsidRDefault="003A1C96" w:rsidP="003A1C96">
      <w:pPr>
        <w:spacing w:after="0" w:line="240" w:lineRule="auto"/>
        <w:rPr>
          <w:rStyle w:val="Hyperlink"/>
          <w:rFonts w:cstheme="minorHAnsi"/>
          <w:lang w:val="en-US"/>
        </w:rPr>
      </w:pPr>
      <w:r>
        <w:rPr>
          <w:rFonts w:cstheme="minorHAnsi"/>
          <w:lang w:val="en-US"/>
        </w:rPr>
        <w:t xml:space="preserve">James, G., Witten, D., Hastie, T., </w:t>
      </w:r>
      <w:proofErr w:type="spellStart"/>
      <w:r>
        <w:rPr>
          <w:rFonts w:cstheme="minorHAnsi"/>
          <w:lang w:val="en-US"/>
        </w:rPr>
        <w:t>Tibshirani</w:t>
      </w:r>
      <w:proofErr w:type="spellEnd"/>
      <w:r>
        <w:rPr>
          <w:rFonts w:cstheme="minorHAnsi"/>
          <w:lang w:val="en-US"/>
        </w:rPr>
        <w:t xml:space="preserve">, R. (2021). </w:t>
      </w:r>
      <w:r>
        <w:rPr>
          <w:rFonts w:cstheme="minorHAnsi"/>
          <w:i/>
          <w:iCs/>
          <w:lang w:val="en-US"/>
        </w:rPr>
        <w:t xml:space="preserve">An Introduction to Statistical Learning: with Applications in R. </w:t>
      </w:r>
      <w:r>
        <w:rPr>
          <w:rFonts w:cstheme="minorHAnsi"/>
          <w:lang w:val="en-US"/>
        </w:rPr>
        <w:t xml:space="preserve">Switzerland: Springer. </w:t>
      </w:r>
      <w:hyperlink r:id="rId6" w:history="1">
        <w:r>
          <w:rPr>
            <w:rStyle w:val="Hyperlink"/>
            <w:rFonts w:cstheme="minorHAnsi"/>
            <w:lang w:val="en-US"/>
          </w:rPr>
          <w:t>https://link.springer.com/book/10.1007/978-1-4614-7138-7</w:t>
        </w:r>
      </w:hyperlink>
    </w:p>
    <w:p w14:paraId="6F44D6D1" w14:textId="77777777" w:rsidR="003A1C96" w:rsidRPr="003A1C96" w:rsidRDefault="003A1C96" w:rsidP="003A1C96">
      <w:pPr>
        <w:spacing w:after="0" w:line="240" w:lineRule="auto"/>
        <w:rPr>
          <w:lang w:val="en-US"/>
        </w:rPr>
      </w:pPr>
    </w:p>
    <w:p w14:paraId="3EF1F800" w14:textId="77777777" w:rsidR="003A1C96" w:rsidRDefault="003A1C96" w:rsidP="003A1C96">
      <w:pPr>
        <w:pStyle w:val="Heading1"/>
        <w:numPr>
          <w:ilvl w:val="0"/>
          <w:numId w:val="0"/>
        </w:numPr>
        <w:shd w:val="clear" w:color="auto" w:fill="FFFFFF"/>
        <w:spacing w:before="0" w:line="240" w:lineRule="auto"/>
        <w:rPr>
          <w:rStyle w:val="Strong"/>
          <w:rFonts w:asciiTheme="minorHAnsi" w:hAnsiTheme="minorHAnsi" w:cstheme="minorHAnsi"/>
          <w:b w:val="0"/>
          <w:bCs w:val="0"/>
          <w:i/>
          <w:iCs/>
          <w:color w:val="auto"/>
          <w:spacing w:val="-3"/>
          <w:sz w:val="22"/>
          <w:szCs w:val="22"/>
          <w:lang w:val="bs-Latn-BA"/>
        </w:rPr>
      </w:pPr>
      <w:bookmarkStart w:id="0" w:name="_Toc162046852"/>
      <w:proofErr w:type="spellStart"/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Narkhede</w:t>
      </w:r>
      <w:proofErr w:type="spellEnd"/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>, S. (</w:t>
      </w:r>
      <w: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  <w:lang w:val="en-US"/>
        </w:rPr>
        <w:t xml:space="preserve">2018) </w:t>
      </w:r>
      <w:r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I: </w:t>
      </w:r>
      <w:r>
        <w:rPr>
          <w:rFonts w:asciiTheme="minorHAnsi" w:hAnsiTheme="minorHAnsi" w:cstheme="minorHAnsi"/>
          <w:i/>
          <w:iCs/>
          <w:color w:val="auto"/>
          <w:sz w:val="22"/>
          <w:szCs w:val="22"/>
          <w:shd w:val="clear" w:color="auto" w:fill="FFFFFF"/>
          <w:lang w:val="en-US"/>
        </w:rPr>
        <w:t xml:space="preserve">Towards Data Science: </w:t>
      </w:r>
      <w:r>
        <w:rPr>
          <w:rStyle w:val="Strong"/>
          <w:rFonts w:asciiTheme="minorHAnsi" w:hAnsiTheme="minorHAnsi" w:cstheme="minorHAnsi"/>
          <w:i/>
          <w:iCs/>
          <w:color w:val="auto"/>
          <w:spacing w:val="-3"/>
          <w:sz w:val="22"/>
          <w:szCs w:val="22"/>
          <w:lang w:val="en-US"/>
        </w:rPr>
        <w:t xml:space="preserve">Understanding Confusion Matrix. </w:t>
      </w:r>
      <w:hyperlink r:id="rId7" w:history="1">
        <w:r>
          <w:rPr>
            <w:rStyle w:val="Hyperlink"/>
            <w:rFonts w:asciiTheme="minorHAnsi" w:hAnsiTheme="minorHAnsi" w:cstheme="minorHAnsi"/>
            <w:i/>
            <w:iCs/>
            <w:spacing w:val="-3"/>
            <w:sz w:val="22"/>
            <w:szCs w:val="22"/>
            <w:lang w:val="en-US"/>
          </w:rPr>
          <w:t>https://towardsdatascience.com/understanding-confusion-matrix-a9ad42dcfd62</w:t>
        </w:r>
        <w:bookmarkEnd w:id="0"/>
      </w:hyperlink>
      <w:r>
        <w:rPr>
          <w:rStyle w:val="Strong"/>
          <w:rFonts w:asciiTheme="minorHAnsi" w:hAnsiTheme="minorHAnsi" w:cstheme="minorHAnsi"/>
          <w:i/>
          <w:iCs/>
          <w:color w:val="auto"/>
          <w:spacing w:val="-3"/>
          <w:sz w:val="22"/>
          <w:szCs w:val="22"/>
          <w:lang w:val="en-US"/>
        </w:rPr>
        <w:t xml:space="preserve"> </w:t>
      </w:r>
    </w:p>
    <w:p w14:paraId="63C3FD60" w14:textId="77777777" w:rsidR="003A1C96" w:rsidRDefault="003A1C96" w:rsidP="003A1C96">
      <w:pPr>
        <w:spacing w:after="0" w:line="240" w:lineRule="auto"/>
        <w:rPr>
          <w:lang w:val="en-US"/>
        </w:rPr>
      </w:pPr>
    </w:p>
    <w:p w14:paraId="70DC42DC" w14:textId="77777777" w:rsidR="003A1C96" w:rsidRDefault="003A1C96" w:rsidP="003A1C96">
      <w:pPr>
        <w:spacing w:after="0" w:line="240" w:lineRule="auto"/>
      </w:pPr>
      <w:r>
        <w:rPr>
          <w:lang w:val="en-US"/>
        </w:rPr>
        <w:t>Sharma, A. (2024). I: Analytics Vidhya:</w:t>
      </w:r>
      <w:r>
        <w:rPr>
          <w:i/>
          <w:iCs/>
          <w:lang w:val="en-US"/>
        </w:rPr>
        <w:t xml:space="preserve"> Random Forest vs Decision Tree - Which is Right for You?</w:t>
      </w:r>
      <w:r>
        <w:rPr>
          <w:lang w:val="en-US"/>
        </w:rPr>
        <w:t xml:space="preserve"> </w:t>
      </w:r>
      <w:hyperlink r:id="rId8" w:anchor=":~:text=A%20decision%20tree%20is%20more,%2C%20healthcare%2C%20and%20deep%20learning" w:history="1">
        <w:r>
          <w:rPr>
            <w:rStyle w:val="Hyperlink"/>
          </w:rPr>
          <w:t>https://www.analyticsvidhya.com/blog/2020/05/decision-tree-vs-random-forest-algorithm/#:~:text=A%20decision%20tree%20is%20more,%2C%20healthcare%2C%20and%20deep%20learning</w:t>
        </w:r>
      </w:hyperlink>
      <w:r>
        <w:t xml:space="preserve">. </w:t>
      </w:r>
    </w:p>
    <w:p w14:paraId="4CFDDCD8" w14:textId="77777777" w:rsidR="003A1C96" w:rsidRDefault="003A1C96" w:rsidP="003A1C96">
      <w:pPr>
        <w:spacing w:after="0" w:line="240" w:lineRule="auto"/>
      </w:pPr>
    </w:p>
    <w:p w14:paraId="420E2C1A" w14:textId="77777777" w:rsidR="003A1C96" w:rsidRDefault="003A1C96" w:rsidP="003A1C96">
      <w:pPr>
        <w:spacing w:after="0" w:line="240" w:lineRule="auto"/>
      </w:pPr>
      <w:r>
        <w:rPr>
          <w:lang w:val="en-US"/>
        </w:rPr>
        <w:t>Shukla, P. (2024). I: Analytics Vidhya:</w:t>
      </w:r>
      <w:r>
        <w:rPr>
          <w:i/>
          <w:iCs/>
          <w:lang w:val="en-US"/>
        </w:rPr>
        <w:t xml:space="preserve"> Naive Bayes Algorithms: A Complete Guide for Beginners.</w:t>
      </w:r>
      <w:r>
        <w:rPr>
          <w:lang w:val="en-US"/>
        </w:rPr>
        <w:t xml:space="preserve"> </w:t>
      </w:r>
      <w:hyperlink r:id="rId9" w:history="1">
        <w:r>
          <w:rPr>
            <w:rStyle w:val="Hyperlink"/>
          </w:rPr>
          <w:t>https://www.analyticsvidhya.com/blog/2023/01/naive-bayes-algorithms-a-complete-guide-for-beginners/</w:t>
        </w:r>
      </w:hyperlink>
      <w:r>
        <w:t xml:space="preserve"> </w:t>
      </w:r>
    </w:p>
    <w:p w14:paraId="44914279" w14:textId="77777777" w:rsidR="00733C9E" w:rsidRPr="003A1C96" w:rsidRDefault="00733C9E" w:rsidP="003A1C96"/>
    <w:sectPr w:rsidR="00733C9E" w:rsidRPr="003A1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34D9E"/>
    <w:multiLevelType w:val="multilevel"/>
    <w:tmpl w:val="041D0025"/>
    <w:lvl w:ilvl="0">
      <w:start w:val="1"/>
      <w:numFmt w:val="decimal"/>
      <w:pStyle w:val="Heading1"/>
      <w:lvlText w:val="%1"/>
      <w:lvlJc w:val="left"/>
      <w:pPr>
        <w:ind w:left="61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C96"/>
    <w:rsid w:val="003A1C96"/>
    <w:rsid w:val="0073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9438F"/>
  <w15:chartTrackingRefBased/>
  <w15:docId w15:val="{DFBAA861-BF42-4FC3-8956-231A18E3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C96"/>
    <w:pPr>
      <w:spacing w:line="256" w:lineRule="auto"/>
    </w:pPr>
    <w:rPr>
      <w:lang w:val="sv-SE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C96"/>
    <w:pPr>
      <w:keepNext/>
      <w:keepLines/>
      <w:numPr>
        <w:numId w:val="1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C9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C9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C9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C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C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C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C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C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C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v-SE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C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v-SE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C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v-SE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C96"/>
    <w:rPr>
      <w:rFonts w:asciiTheme="majorHAnsi" w:eastAsiaTheme="majorEastAsia" w:hAnsiTheme="majorHAnsi" w:cstheme="majorBidi"/>
      <w:i/>
      <w:iCs/>
      <w:color w:val="2F5496" w:themeColor="accent1" w:themeShade="BF"/>
      <w:lang w:val="sv-SE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C96"/>
    <w:rPr>
      <w:rFonts w:asciiTheme="majorHAnsi" w:eastAsiaTheme="majorEastAsia" w:hAnsiTheme="majorHAnsi" w:cstheme="majorBidi"/>
      <w:color w:val="2F5496" w:themeColor="accent1" w:themeShade="BF"/>
      <w:lang w:val="sv-SE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C96"/>
    <w:rPr>
      <w:rFonts w:asciiTheme="majorHAnsi" w:eastAsiaTheme="majorEastAsia" w:hAnsiTheme="majorHAnsi" w:cstheme="majorBidi"/>
      <w:color w:val="1F3763" w:themeColor="accent1" w:themeShade="7F"/>
      <w:lang w:val="sv-SE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C96"/>
    <w:rPr>
      <w:rFonts w:asciiTheme="majorHAnsi" w:eastAsiaTheme="majorEastAsia" w:hAnsiTheme="majorHAnsi" w:cstheme="majorBidi"/>
      <w:i/>
      <w:iCs/>
      <w:color w:val="1F3763" w:themeColor="accent1" w:themeShade="7F"/>
      <w:lang w:val="sv-SE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C9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v-SE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C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v-SE"/>
      <w14:ligatures w14:val="standardContextual"/>
    </w:rPr>
  </w:style>
  <w:style w:type="character" w:styleId="Hyperlink">
    <w:name w:val="Hyperlink"/>
    <w:basedOn w:val="DefaultParagraphFont"/>
    <w:uiPriority w:val="99"/>
    <w:semiHidden/>
    <w:unhideWhenUsed/>
    <w:rsid w:val="003A1C9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A1C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8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20/05/decision-tree-vs-random-forest-algorith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understanding-confusion-matrix-a9ad42dcfd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springer.com/book/10.1007/978-1-4614-7138-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iva-portal.org/smash/get/diva2:1732944/FULLTEXT01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nalyticsvidhya.com/blog/2023/01/naive-bayes-algorithms-a-complete-guide-for-beginn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skejo</dc:creator>
  <cp:keywords/>
  <dc:description/>
  <cp:lastModifiedBy>goran skejo</cp:lastModifiedBy>
  <cp:revision>1</cp:revision>
  <dcterms:created xsi:type="dcterms:W3CDTF">2024-10-31T17:02:00Z</dcterms:created>
  <dcterms:modified xsi:type="dcterms:W3CDTF">2024-10-31T17:03:00Z</dcterms:modified>
</cp:coreProperties>
</file>