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CCEF" w14:textId="1291B887" w:rsidR="004A1F81" w:rsidRDefault="004A1F81">
      <w:pPr>
        <w:rPr>
          <w:rFonts w:ascii="Calibri" w:hAnsi="Calibri" w:cs="Calibri"/>
        </w:rPr>
      </w:pPr>
    </w:p>
    <w:p w14:paraId="39037222" w14:textId="5AEFB933" w:rsidR="00F07385" w:rsidRPr="00F11050" w:rsidRDefault="00F11050" w:rsidP="00F11050">
      <w:pPr>
        <w:jc w:val="center"/>
        <w:rPr>
          <w:rFonts w:ascii="Calibri" w:hAnsi="Calibri" w:cs="Calibri"/>
          <w:sz w:val="36"/>
          <w:szCs w:val="36"/>
          <w:lang w:val="en-US"/>
        </w:rPr>
      </w:pPr>
      <w:r w:rsidRPr="00F11050">
        <w:rPr>
          <w:rFonts w:ascii="Calibri" w:hAnsi="Calibri" w:cs="Calibri"/>
          <w:b/>
          <w:bCs/>
          <w:sz w:val="36"/>
          <w:szCs w:val="36"/>
          <w:lang w:val="en-US"/>
        </w:rPr>
        <w:t>Digital archives reflection assignment (week 17):</w:t>
      </w:r>
    </w:p>
    <w:p w14:paraId="77C55113" w14:textId="77777777" w:rsidR="00F07385" w:rsidRDefault="00F07385">
      <w:pPr>
        <w:rPr>
          <w:rFonts w:ascii="Calibri" w:hAnsi="Calibri" w:cs="Calibri"/>
          <w:lang w:val="en-US"/>
        </w:rPr>
      </w:pPr>
    </w:p>
    <w:p w14:paraId="342DA509" w14:textId="0F815FD7" w:rsidR="00533E7D" w:rsidRPr="00533E7D" w:rsidRDefault="00533E7D">
      <w:pPr>
        <w:rPr>
          <w:rFonts w:ascii="Calibri" w:hAnsi="Calibri" w:cs="Calibri"/>
          <w:sz w:val="28"/>
          <w:szCs w:val="28"/>
          <w:lang w:val="en-US"/>
        </w:rPr>
      </w:pPr>
      <w:r w:rsidRPr="001E30A7">
        <w:rPr>
          <w:rFonts w:ascii="Calibri" w:hAnsi="Calibri" w:cs="Calibri"/>
          <w:b/>
          <w:bCs/>
          <w:sz w:val="28"/>
          <w:szCs w:val="28"/>
          <w:lang w:val="en-US"/>
        </w:rPr>
        <w:t>Part 1: (Jesper)</w:t>
      </w:r>
    </w:p>
    <w:p w14:paraId="64629E01" w14:textId="10253B40" w:rsidR="001E30A7" w:rsidRPr="00972D1F" w:rsidRDefault="001E30A7" w:rsidP="009E6762">
      <w:pPr>
        <w:spacing w:line="360" w:lineRule="auto"/>
        <w:rPr>
          <w:rFonts w:ascii="Calibri" w:hAnsi="Calibri" w:cs="Calibri"/>
          <w:lang w:val="en-US"/>
        </w:rPr>
      </w:pPr>
      <w:r w:rsidRPr="009E6762">
        <w:rPr>
          <w:rFonts w:ascii="Calibri" w:hAnsi="Calibri" w:cs="Calibri"/>
          <w:lang w:val="en-US"/>
        </w:rPr>
        <w:t xml:space="preserve">Helle Strandgaard Jensen uses the term “Digital archival literacy” to describe the skills that historians need today when they use digital archives. </w:t>
      </w:r>
      <w:r w:rsidRPr="00972D1F">
        <w:rPr>
          <w:rFonts w:ascii="Calibri" w:hAnsi="Calibri" w:cs="Calibri"/>
          <w:lang w:val="en-US"/>
        </w:rPr>
        <w:t xml:space="preserve">Jensen argues that because so many </w:t>
      </w:r>
      <w:proofErr w:type="spellStart"/>
      <w:r w:rsidRPr="009E6762">
        <w:rPr>
          <w:rFonts w:ascii="Calibri" w:hAnsi="Calibri" w:cs="Calibri"/>
          <w:lang w:val="en-US"/>
        </w:rPr>
        <w:t>analoge</w:t>
      </w:r>
      <w:proofErr w:type="spellEnd"/>
      <w:r w:rsidRPr="00972D1F">
        <w:rPr>
          <w:rFonts w:ascii="Calibri" w:hAnsi="Calibri" w:cs="Calibri"/>
          <w:lang w:val="en-US"/>
        </w:rPr>
        <w:t xml:space="preserve"> archives are now digital, it has changed the way we do research. Moving from paper to digital is not just a small update; it is a major change in the medium itself. She explains this in her introduction:</w:t>
      </w:r>
      <w:r w:rsidRPr="009E6762">
        <w:rPr>
          <w:rFonts w:ascii="Calibri" w:hAnsi="Calibri" w:cs="Calibri"/>
          <w:lang w:val="en-US"/>
        </w:rPr>
        <w:t xml:space="preserve"> </w:t>
      </w:r>
      <w:r w:rsidRPr="00972D1F">
        <w:rPr>
          <w:rFonts w:ascii="Calibri" w:hAnsi="Calibri" w:cs="Calibri"/>
          <w:lang w:val="en-US"/>
        </w:rPr>
        <w:t>“… the shift from analogue to digital archives is a shift in medium which establishes a new set of logics for the production, content, distribution and uses of archives.”</w:t>
      </w:r>
      <w:r w:rsidRPr="009E6762">
        <w:rPr>
          <w:rStyle w:val="Fodnotehenvisning"/>
          <w:rFonts w:ascii="Calibri" w:hAnsi="Calibri" w:cs="Calibri"/>
          <w:lang w:val="en-US"/>
        </w:rPr>
        <w:footnoteReference w:id="1"/>
      </w:r>
    </w:p>
    <w:p w14:paraId="36546634" w14:textId="65FEE412" w:rsidR="001E30A7" w:rsidRPr="00972D1F" w:rsidRDefault="001E30A7" w:rsidP="009E6762">
      <w:pPr>
        <w:spacing w:line="360" w:lineRule="auto"/>
        <w:rPr>
          <w:rFonts w:ascii="Calibri" w:hAnsi="Calibri" w:cs="Calibri"/>
          <w:lang w:val="en-US"/>
        </w:rPr>
      </w:pPr>
      <w:r w:rsidRPr="00972D1F">
        <w:rPr>
          <w:rFonts w:ascii="Calibri" w:hAnsi="Calibri" w:cs="Calibri"/>
          <w:lang w:val="en-US"/>
        </w:rPr>
        <w:t xml:space="preserve">One of Jensen’s </w:t>
      </w:r>
      <w:r w:rsidR="00CF4E44">
        <w:rPr>
          <w:rFonts w:ascii="Calibri" w:hAnsi="Calibri" w:cs="Calibri"/>
          <w:lang w:val="en-US"/>
        </w:rPr>
        <w:t xml:space="preserve">other </w:t>
      </w:r>
      <w:r w:rsidRPr="00972D1F">
        <w:rPr>
          <w:rFonts w:ascii="Calibri" w:hAnsi="Calibri" w:cs="Calibri"/>
          <w:lang w:val="en-US"/>
        </w:rPr>
        <w:t>main points is how sources are selected to be put online. Most digital archives only show a small part of the full collection. This is because the choice of what to digitize depends on money, politics, or what users want to see. In the real world, this means that popular files are put online, while others are left behind. As a result, historians might only use what is easy to find online, meaning they could miss very important information that is still only on paper.</w:t>
      </w:r>
      <w:r w:rsidRPr="009E6762">
        <w:rPr>
          <w:rStyle w:val="Fodnotehenvisning"/>
          <w:rFonts w:ascii="Calibri" w:hAnsi="Calibri" w:cs="Calibri"/>
          <w:lang w:val="en-US"/>
        </w:rPr>
        <w:footnoteReference w:id="2"/>
      </w:r>
    </w:p>
    <w:p w14:paraId="5EE1AA90" w14:textId="768AFE04" w:rsidR="001E30A7" w:rsidRPr="00972D1F" w:rsidRDefault="001E30A7" w:rsidP="009E6762">
      <w:pPr>
        <w:spacing w:line="360" w:lineRule="auto"/>
        <w:rPr>
          <w:rFonts w:ascii="Calibri" w:hAnsi="Calibri" w:cs="Calibri"/>
          <w:lang w:val="en-US"/>
        </w:rPr>
      </w:pPr>
      <w:r w:rsidRPr="00972D1F">
        <w:rPr>
          <w:rFonts w:ascii="Calibri" w:hAnsi="Calibri" w:cs="Calibri"/>
          <w:lang w:val="en-US"/>
        </w:rPr>
        <w:t>Another point Jensen makes is about how we use digital tools. The way we use search bars, tags, and categories decides what material we can find.</w:t>
      </w:r>
      <w:r w:rsidRPr="009E6762">
        <w:rPr>
          <w:rStyle w:val="Fodnotehenvisning"/>
          <w:rFonts w:ascii="Calibri" w:hAnsi="Calibri" w:cs="Calibri"/>
          <w:lang w:val="en-US"/>
        </w:rPr>
        <w:footnoteReference w:id="3"/>
      </w:r>
      <w:r w:rsidRPr="00972D1F">
        <w:rPr>
          <w:rFonts w:ascii="Calibri" w:hAnsi="Calibri" w:cs="Calibri"/>
          <w:lang w:val="en-US"/>
        </w:rPr>
        <w:t>Jensen and Astrid Schriver also point out that searching digitally can make us lose the "big picture." When a document is pulled out of its original folder and shown alone on a screen, it loses its context.</w:t>
      </w:r>
      <w:r w:rsidR="003D47C4" w:rsidRPr="009E6762">
        <w:rPr>
          <w:rStyle w:val="Fodnotehenvisning"/>
          <w:rFonts w:ascii="Calibri" w:hAnsi="Calibri" w:cs="Calibri"/>
          <w:lang w:val="en-US"/>
        </w:rPr>
        <w:footnoteReference w:id="4"/>
      </w:r>
    </w:p>
    <w:p w14:paraId="12592FB4" w14:textId="77777777" w:rsidR="001E30A7" w:rsidRPr="00972D1F" w:rsidRDefault="001E30A7" w:rsidP="009E6762">
      <w:pPr>
        <w:spacing w:line="360" w:lineRule="auto"/>
        <w:rPr>
          <w:rFonts w:ascii="Calibri" w:hAnsi="Calibri" w:cs="Calibri"/>
          <w:lang w:val="en-US"/>
        </w:rPr>
      </w:pPr>
      <w:r w:rsidRPr="00972D1F">
        <w:rPr>
          <w:rFonts w:ascii="Calibri" w:hAnsi="Calibri" w:cs="Calibri"/>
          <w:lang w:val="en-US"/>
        </w:rPr>
        <w:t>In short, “digital archival literacy” means that modern historians cannot just look at the content of a source. They also need to understand the digital systems and technology that show us these sources today.</w:t>
      </w:r>
    </w:p>
    <w:p w14:paraId="0270EC9C" w14:textId="77777777" w:rsidR="00A70A16" w:rsidRPr="009E6762" w:rsidRDefault="00A70A16" w:rsidP="009E6762">
      <w:pPr>
        <w:spacing w:line="360" w:lineRule="auto"/>
        <w:rPr>
          <w:rFonts w:ascii="Calibri" w:hAnsi="Calibri" w:cs="Calibri"/>
          <w:lang w:val="en-US"/>
        </w:rPr>
      </w:pPr>
    </w:p>
    <w:p w14:paraId="7BFBF323" w14:textId="2CADDAB6" w:rsidR="00751E05" w:rsidRPr="00751E05" w:rsidRDefault="00751E05" w:rsidP="00751E05">
      <w:pPr>
        <w:rPr>
          <w:rFonts w:ascii="Calibri" w:hAnsi="Calibri" w:cs="Calibri"/>
          <w:lang w:val="en-US"/>
        </w:rPr>
      </w:pPr>
      <w:r w:rsidRPr="00751E05">
        <w:rPr>
          <w:rFonts w:ascii="Calibri" w:hAnsi="Calibri" w:cs="Calibri"/>
          <w:b/>
          <w:bCs/>
          <w:lang w:val="en-US"/>
        </w:rPr>
        <w:lastRenderedPageBreak/>
        <w:t xml:space="preserve">Part 2: </w:t>
      </w:r>
    </w:p>
    <w:p w14:paraId="0BAB8A0B" w14:textId="2A5357F6" w:rsidR="00751E05" w:rsidRDefault="00751E05" w:rsidP="00751E05">
      <w:pPr>
        <w:rPr>
          <w:rFonts w:ascii="Calibri" w:hAnsi="Calibri" w:cs="Calibri"/>
          <w:b/>
          <w:bCs/>
          <w:lang w:val="en-US"/>
        </w:rPr>
      </w:pPr>
      <w:r w:rsidRPr="00751E05">
        <w:rPr>
          <w:rFonts w:ascii="Calibri" w:hAnsi="Calibri" w:cs="Calibri"/>
          <w:b/>
          <w:bCs/>
          <w:lang w:val="en-US"/>
        </w:rPr>
        <w:t>2.1:</w:t>
      </w:r>
      <w:r w:rsidR="00762EB3">
        <w:rPr>
          <w:rFonts w:ascii="Calibri" w:hAnsi="Calibri" w:cs="Calibri"/>
          <w:b/>
          <w:bCs/>
          <w:lang w:val="en-US"/>
        </w:rPr>
        <w:t xml:space="preserve"> (Jesper)</w:t>
      </w:r>
    </w:p>
    <w:p w14:paraId="3BDBC688" w14:textId="5F6F8C00" w:rsidR="00524038" w:rsidRPr="00524038" w:rsidRDefault="00524038" w:rsidP="00524038">
      <w:pPr>
        <w:spacing w:line="360" w:lineRule="auto"/>
        <w:rPr>
          <w:rFonts w:ascii="Calibri" w:hAnsi="Calibri" w:cs="Calibri"/>
          <w:lang w:val="en-US"/>
        </w:rPr>
      </w:pPr>
      <w:r w:rsidRPr="00524038">
        <w:rPr>
          <w:rFonts w:ascii="Calibri" w:hAnsi="Calibri" w:cs="Calibri"/>
          <w:lang w:val="en-US"/>
        </w:rPr>
        <w:t>One of David Boder’s interviewees is Esther Freilich, a 13-year-old Polish Jewish girl interviewed on 9 August 1946 in Paris. Esther was born on 11 March 1933 and, during the German occupation of France, was detained by the French police. She explains that the police arrived at 2 a.m. and told them to prepare their suitcases, after which they were taken to the camp Drancy internment camp. She first says that she arrived with her mother, but was later separated from her and remained alone for two years. She describes a lack of food and water and very poor living conditions. Afterwards, Esther attended a French school at first, and later a German school, where she faced resistance and discrimination from a teacher and was exposed to possible antisemitism.</w:t>
      </w:r>
      <w:r w:rsidR="004E2F9A">
        <w:rPr>
          <w:rStyle w:val="Fodnotehenvisning"/>
          <w:rFonts w:ascii="Calibri" w:hAnsi="Calibri" w:cs="Calibri"/>
          <w:lang w:val="en-US"/>
        </w:rPr>
        <w:footnoteReference w:id="5"/>
      </w:r>
    </w:p>
    <w:p w14:paraId="795C2B57" w14:textId="14375BA0" w:rsidR="00524038" w:rsidRPr="00524038" w:rsidRDefault="00524038" w:rsidP="00524038">
      <w:pPr>
        <w:spacing w:line="360" w:lineRule="auto"/>
        <w:rPr>
          <w:rFonts w:ascii="Calibri" w:hAnsi="Calibri" w:cs="Calibri"/>
          <w:lang w:val="en-US"/>
        </w:rPr>
      </w:pPr>
      <w:r w:rsidRPr="00524038">
        <w:rPr>
          <w:rFonts w:ascii="Calibri" w:hAnsi="Calibri" w:cs="Calibri"/>
          <w:lang w:val="en-US"/>
        </w:rPr>
        <w:t>The original context of this source is clearly documented and preserved in the metadata. Precise information such as date, location, and recording format is provided, and it is emphasized that this is an oral testimony recorded shortly after the war. More practical details are also included, such as the language of the interview and the roles of the transcriber, translator, and editor, showing that the interview has been processed and presented after it was recorded. In addition, information about the identification number and the digital object ID is given, illustrating how the archive organizes and preserves the source.</w:t>
      </w:r>
      <w:r w:rsidR="004E2F9A">
        <w:rPr>
          <w:rStyle w:val="Fodnotehenvisning"/>
          <w:rFonts w:ascii="Calibri" w:hAnsi="Calibri" w:cs="Calibri"/>
          <w:lang w:val="en-US"/>
        </w:rPr>
        <w:footnoteReference w:id="6"/>
      </w:r>
    </w:p>
    <w:p w14:paraId="5FF7A3F0" w14:textId="282595E1" w:rsidR="00524038" w:rsidRPr="00524038" w:rsidRDefault="00524038" w:rsidP="00524038">
      <w:pPr>
        <w:spacing w:line="360" w:lineRule="auto"/>
        <w:rPr>
          <w:rFonts w:ascii="Calibri" w:hAnsi="Calibri" w:cs="Calibri"/>
          <w:lang w:val="en-US"/>
        </w:rPr>
      </w:pPr>
      <w:r w:rsidRPr="00524038">
        <w:rPr>
          <w:rFonts w:ascii="Calibri" w:hAnsi="Calibri" w:cs="Calibri"/>
          <w:lang w:val="en-US"/>
        </w:rPr>
        <w:t>In the archive description, the interview is categorized based on Esther’s status as a Jewish refugee and Holocaust survivor. It is placed within the broader category of “World War II refugees” from a Jewish perspective. This choice highlights her as a child survivor and frames the interview as a story of trauma, displacement, and survival at a young age.</w:t>
      </w:r>
      <w:r w:rsidR="004E2F9A">
        <w:rPr>
          <w:rStyle w:val="Fodnotehenvisning"/>
          <w:rFonts w:ascii="Calibri" w:hAnsi="Calibri" w:cs="Calibri"/>
          <w:lang w:val="en-US"/>
        </w:rPr>
        <w:footnoteReference w:id="7"/>
      </w:r>
    </w:p>
    <w:p w14:paraId="380A4F05" w14:textId="77777777" w:rsidR="00A70A16" w:rsidRDefault="00A70A16" w:rsidP="00751E05">
      <w:pPr>
        <w:rPr>
          <w:rFonts w:ascii="Calibri" w:hAnsi="Calibri" w:cs="Calibri"/>
          <w:b/>
          <w:bCs/>
          <w:lang w:val="en-US"/>
        </w:rPr>
      </w:pPr>
    </w:p>
    <w:p w14:paraId="33B565EF" w14:textId="77777777" w:rsidR="00E241E5" w:rsidRDefault="00E241E5" w:rsidP="00751E05">
      <w:pPr>
        <w:rPr>
          <w:rFonts w:ascii="Calibri" w:hAnsi="Calibri" w:cs="Calibri"/>
          <w:b/>
          <w:bCs/>
          <w:lang w:val="en-US"/>
        </w:rPr>
      </w:pPr>
    </w:p>
    <w:p w14:paraId="12195C72" w14:textId="77777777" w:rsidR="00E241E5" w:rsidRDefault="00E241E5" w:rsidP="00751E05">
      <w:pPr>
        <w:rPr>
          <w:rFonts w:ascii="Calibri" w:hAnsi="Calibri" w:cs="Calibri"/>
          <w:b/>
          <w:bCs/>
          <w:lang w:val="en-US"/>
        </w:rPr>
      </w:pPr>
    </w:p>
    <w:p w14:paraId="74E77097" w14:textId="77777777" w:rsidR="00E241E5" w:rsidRPr="00751E05" w:rsidRDefault="00E241E5" w:rsidP="00751E05">
      <w:pPr>
        <w:rPr>
          <w:rFonts w:ascii="Calibri" w:hAnsi="Calibri" w:cs="Calibri"/>
          <w:lang w:val="en-US"/>
        </w:rPr>
      </w:pPr>
    </w:p>
    <w:p w14:paraId="458F67CA" w14:textId="78029A4C" w:rsidR="00751E05" w:rsidRPr="007A626D" w:rsidRDefault="00751E05" w:rsidP="00751E05">
      <w:pPr>
        <w:rPr>
          <w:rFonts w:ascii="Calibri" w:hAnsi="Calibri" w:cs="Calibri"/>
          <w:b/>
          <w:bCs/>
          <w:lang w:val="en-US"/>
        </w:rPr>
      </w:pPr>
      <w:r w:rsidRPr="007A626D">
        <w:rPr>
          <w:rFonts w:ascii="Calibri" w:hAnsi="Calibri" w:cs="Calibri"/>
          <w:b/>
          <w:bCs/>
          <w:lang w:val="en-US"/>
        </w:rPr>
        <w:lastRenderedPageBreak/>
        <w:t>2.2:</w:t>
      </w:r>
      <w:r w:rsidR="00A70A16" w:rsidRPr="007A626D">
        <w:rPr>
          <w:rFonts w:ascii="Calibri" w:hAnsi="Calibri" w:cs="Calibri"/>
          <w:b/>
          <w:bCs/>
          <w:lang w:val="en-US"/>
        </w:rPr>
        <w:t xml:space="preserve"> </w:t>
      </w:r>
      <w:r w:rsidR="00762EB3">
        <w:rPr>
          <w:rFonts w:ascii="Calibri" w:hAnsi="Calibri" w:cs="Calibri"/>
          <w:b/>
          <w:bCs/>
          <w:lang w:val="en-US"/>
        </w:rPr>
        <w:t>(Simon</w:t>
      </w:r>
    </w:p>
    <w:p w14:paraId="452015AA" w14:textId="77777777" w:rsidR="005054AB" w:rsidRPr="005054AB" w:rsidRDefault="005054AB" w:rsidP="005054AB">
      <w:pPr>
        <w:spacing w:line="360" w:lineRule="auto"/>
        <w:rPr>
          <w:rFonts w:ascii="Calibri" w:hAnsi="Calibri" w:cs="Calibri"/>
          <w:lang w:val="en-US"/>
        </w:rPr>
      </w:pPr>
      <w:r w:rsidRPr="005054AB">
        <w:rPr>
          <w:rFonts w:ascii="Calibri" w:hAnsi="Calibri" w:cs="Calibri"/>
          <w:lang w:val="en-US"/>
        </w:rPr>
        <w:t>The contrast between the interviewer and the interviewee is that Boder takes on a more understanding role while still trying to remain neutral and get answers to his questions. On the other hand, Esther Freilich is the one answering these questions. She responds very quickly and almost without thinking, because she has a story she wants to tell. This makes her account more direct and unfiltered than if an adult had answered the same questions. Because of this, it can be difficult to clearly hear that she is sad, as someone so young may not fully understand or have processed what has happened. However, she does not speak with happiness or enthusiasm either; instead, her tone seems somewhat confused and still marked by trauma.</w:t>
      </w:r>
    </w:p>
    <w:p w14:paraId="7AEBFB90" w14:textId="77777777" w:rsidR="005054AB" w:rsidRPr="005054AB" w:rsidRDefault="005054AB" w:rsidP="005054AB">
      <w:pPr>
        <w:spacing w:line="360" w:lineRule="auto"/>
        <w:rPr>
          <w:rFonts w:ascii="Calibri" w:hAnsi="Calibri" w:cs="Calibri"/>
          <w:lang w:val="en-US"/>
        </w:rPr>
      </w:pPr>
      <w:r w:rsidRPr="005054AB">
        <w:rPr>
          <w:rFonts w:ascii="Calibri" w:hAnsi="Calibri" w:cs="Calibri"/>
          <w:lang w:val="en-US"/>
        </w:rPr>
        <w:t>In relation to transcription, audio recordings give the listener a more real and authentic experience. It is easier to relate to the story and understand what the person is describing than it would be through text alone. This can also create more sympathy and understanding for the person, as well as greater respect.</w:t>
      </w:r>
    </w:p>
    <w:p w14:paraId="4A1EB73A" w14:textId="77777777" w:rsidR="005054AB" w:rsidRPr="005054AB" w:rsidRDefault="005054AB" w:rsidP="005054AB">
      <w:pPr>
        <w:spacing w:line="360" w:lineRule="auto"/>
        <w:rPr>
          <w:rFonts w:ascii="Calibri" w:hAnsi="Calibri" w:cs="Calibri"/>
          <w:lang w:val="en-US"/>
        </w:rPr>
      </w:pPr>
      <w:r w:rsidRPr="005054AB">
        <w:rPr>
          <w:rFonts w:ascii="Calibri" w:hAnsi="Calibri" w:cs="Calibri"/>
          <w:lang w:val="en-US"/>
        </w:rPr>
        <w:t xml:space="preserve">To show what is lost in written form, the following quote from </w:t>
      </w:r>
      <w:proofErr w:type="spellStart"/>
      <w:r w:rsidRPr="005054AB">
        <w:rPr>
          <w:rFonts w:ascii="Calibri" w:hAnsi="Calibri" w:cs="Calibri"/>
          <w:lang w:val="en-US"/>
        </w:rPr>
        <w:t>Presner</w:t>
      </w:r>
      <w:proofErr w:type="spellEnd"/>
      <w:r w:rsidRPr="005054AB">
        <w:rPr>
          <w:rFonts w:ascii="Calibri" w:hAnsi="Calibri" w:cs="Calibri"/>
          <w:lang w:val="en-US"/>
        </w:rPr>
        <w:t xml:space="preserve"> (2024) can be used: “In fact, the words alone in the final quotation do not indicate anything about the creakiness of her voice, her tone of almost pleading with me to understand her, the hesitant pursing of her lips, or her labored breathing.” </w:t>
      </w:r>
      <w:proofErr w:type="spellStart"/>
      <w:r w:rsidRPr="005054AB">
        <w:rPr>
          <w:rFonts w:ascii="Calibri" w:hAnsi="Calibri" w:cs="Calibri"/>
          <w:lang w:val="en-US"/>
        </w:rPr>
        <w:t>Presner</w:t>
      </w:r>
      <w:proofErr w:type="spellEnd"/>
      <w:r w:rsidRPr="005054AB">
        <w:rPr>
          <w:rFonts w:ascii="Calibri" w:hAnsi="Calibri" w:cs="Calibri"/>
          <w:lang w:val="en-US"/>
        </w:rPr>
        <w:t xml:space="preserve"> uses this quote to show that written sources are less rich compared to original recordings. It highlights how elements like tone of voice and breathing can communicate things that a written text cannot capture.</w:t>
      </w:r>
    </w:p>
    <w:p w14:paraId="176805EA" w14:textId="73086202" w:rsidR="005054AB" w:rsidRPr="005054AB" w:rsidRDefault="005054AB" w:rsidP="005054AB">
      <w:pPr>
        <w:spacing w:line="360" w:lineRule="auto"/>
        <w:rPr>
          <w:rFonts w:ascii="Calibri" w:hAnsi="Calibri" w:cs="Calibri"/>
          <w:lang w:val="en-US"/>
        </w:rPr>
      </w:pPr>
      <w:r w:rsidRPr="005054AB">
        <w:rPr>
          <w:rFonts w:ascii="Calibri" w:hAnsi="Calibri" w:cs="Calibri"/>
          <w:lang w:val="en-US"/>
        </w:rPr>
        <w:t xml:space="preserve">Overall, audio recordings make history feel more vivid and personal, but they still need to be </w:t>
      </w:r>
      <w:proofErr w:type="spellStart"/>
      <w:r w:rsidRPr="005054AB">
        <w:rPr>
          <w:rFonts w:ascii="Calibri" w:hAnsi="Calibri" w:cs="Calibri"/>
          <w:lang w:val="en-US"/>
        </w:rPr>
        <w:t>analysed</w:t>
      </w:r>
      <w:proofErr w:type="spellEnd"/>
      <w:r w:rsidRPr="005054AB">
        <w:rPr>
          <w:rFonts w:ascii="Calibri" w:hAnsi="Calibri" w:cs="Calibri"/>
          <w:lang w:val="en-US"/>
        </w:rPr>
        <w:t xml:space="preserve"> critically like other historical sources.</w:t>
      </w:r>
      <w:r>
        <w:rPr>
          <w:rStyle w:val="Fodnotehenvisning"/>
          <w:rFonts w:ascii="Calibri" w:hAnsi="Calibri" w:cs="Calibri"/>
          <w:lang w:val="en-US"/>
        </w:rPr>
        <w:footnoteReference w:id="8"/>
      </w:r>
    </w:p>
    <w:p w14:paraId="2C10FDF2" w14:textId="77777777" w:rsidR="00751E05" w:rsidRDefault="00751E05">
      <w:pPr>
        <w:rPr>
          <w:rFonts w:ascii="Calibri" w:hAnsi="Calibri" w:cs="Calibri"/>
          <w:lang w:val="en-US"/>
        </w:rPr>
      </w:pPr>
    </w:p>
    <w:p w14:paraId="54F74D0A" w14:textId="77777777" w:rsidR="005054AB" w:rsidRDefault="005054AB">
      <w:pPr>
        <w:rPr>
          <w:rFonts w:ascii="Calibri" w:hAnsi="Calibri" w:cs="Calibri"/>
          <w:lang w:val="en-US"/>
        </w:rPr>
      </w:pPr>
    </w:p>
    <w:p w14:paraId="51CE5835" w14:textId="77777777" w:rsidR="005054AB" w:rsidRDefault="005054AB">
      <w:pPr>
        <w:rPr>
          <w:rFonts w:ascii="Calibri" w:hAnsi="Calibri" w:cs="Calibri"/>
          <w:lang w:val="en-US"/>
        </w:rPr>
      </w:pPr>
    </w:p>
    <w:p w14:paraId="42BB15E1" w14:textId="77777777" w:rsidR="005054AB" w:rsidRDefault="005054AB">
      <w:pPr>
        <w:rPr>
          <w:rFonts w:ascii="Calibri" w:hAnsi="Calibri" w:cs="Calibri"/>
          <w:lang w:val="en-US"/>
        </w:rPr>
      </w:pPr>
    </w:p>
    <w:p w14:paraId="11879AA2" w14:textId="77777777" w:rsidR="005054AB" w:rsidRPr="005054AB" w:rsidRDefault="005054AB">
      <w:pPr>
        <w:rPr>
          <w:rFonts w:ascii="Calibri" w:hAnsi="Calibri" w:cs="Calibri"/>
          <w:lang w:val="en-US"/>
        </w:rPr>
      </w:pPr>
    </w:p>
    <w:p w14:paraId="644DF545" w14:textId="581BBB49" w:rsidR="00E507CB" w:rsidRPr="00844F00" w:rsidRDefault="00A70A16">
      <w:pPr>
        <w:rPr>
          <w:rFonts w:ascii="Calibri" w:hAnsi="Calibri" w:cs="Calibri"/>
          <w:lang w:val="en-US"/>
        </w:rPr>
      </w:pPr>
      <w:r w:rsidRPr="00A70A16">
        <w:rPr>
          <w:rFonts w:ascii="Calibri" w:hAnsi="Calibri" w:cs="Calibri"/>
          <w:b/>
          <w:bCs/>
          <w:lang w:val="en-US"/>
        </w:rPr>
        <w:lastRenderedPageBreak/>
        <w:t>Part 3: (Simon)</w:t>
      </w:r>
    </w:p>
    <w:p w14:paraId="7189B144" w14:textId="1E46771A" w:rsidR="00584AA4" w:rsidRDefault="001563BF" w:rsidP="00584AA4">
      <w:pPr>
        <w:spacing w:line="360" w:lineRule="auto"/>
        <w:rPr>
          <w:rFonts w:ascii="Calibri" w:hAnsi="Calibri" w:cs="Calibri"/>
          <w:lang w:val="en-US"/>
        </w:rPr>
      </w:pPr>
      <w:r w:rsidRPr="001563BF">
        <w:rPr>
          <w:rFonts w:ascii="Calibri" w:hAnsi="Calibri" w:cs="Calibri"/>
          <w:lang w:val="en-US"/>
        </w:rPr>
        <w:t>In historiography as of 2026, digital sources play a central role, making it methodologically crucial to distinguish between digitized historical sources and born-digital sources, including archived web materials. Although both are digital, they differ significantly in origin, structure, and usability, which affects historical analysis.</w:t>
      </w:r>
    </w:p>
    <w:p w14:paraId="1FB4D150" w14:textId="5D016F63" w:rsidR="00584AA4" w:rsidRDefault="00C8085A" w:rsidP="00584AA4">
      <w:pPr>
        <w:spacing w:line="360" w:lineRule="auto"/>
        <w:rPr>
          <w:rFonts w:ascii="Calibri" w:hAnsi="Calibri" w:cs="Calibri"/>
          <w:lang w:val="en-US"/>
        </w:rPr>
      </w:pPr>
      <w:r w:rsidRPr="000B584F">
        <w:rPr>
          <w:rFonts w:ascii="Calibri" w:hAnsi="Calibri" w:cs="Calibri"/>
          <w:lang w:val="en-US"/>
        </w:rPr>
        <w:t xml:space="preserve">Digitized historical sources, such as newspaper databases based on analog originals, still exist independently of their digital form. </w:t>
      </w:r>
      <w:r w:rsidRPr="000B584F">
        <w:rPr>
          <w:rFonts w:ascii="Calibri" w:hAnsi="Calibri" w:cs="Calibri"/>
        </w:rPr>
        <w:t xml:space="preserve">Niels </w:t>
      </w:r>
      <w:proofErr w:type="spellStart"/>
      <w:r w:rsidRPr="000B584F">
        <w:rPr>
          <w:rFonts w:ascii="Calibri" w:hAnsi="Calibri" w:cs="Calibri"/>
        </w:rPr>
        <w:t>Brügger</w:t>
      </w:r>
      <w:proofErr w:type="spellEnd"/>
      <w:r w:rsidRPr="000B584F">
        <w:rPr>
          <w:rFonts w:ascii="Calibri" w:hAnsi="Calibri" w:cs="Calibri"/>
        </w:rPr>
        <w:t xml:space="preserve"> notes </w:t>
      </w:r>
      <w:proofErr w:type="spellStart"/>
      <w:r w:rsidRPr="000B584F">
        <w:rPr>
          <w:rFonts w:ascii="Calibri" w:hAnsi="Calibri" w:cs="Calibri"/>
        </w:rPr>
        <w:t>that</w:t>
      </w:r>
      <w:proofErr w:type="spellEnd"/>
      <w:r w:rsidRPr="000B584F">
        <w:rPr>
          <w:rFonts w:ascii="Calibri" w:hAnsi="Calibri" w:cs="Calibri"/>
        </w:rPr>
        <w:t xml:space="preserve"> </w:t>
      </w:r>
      <w:proofErr w:type="spellStart"/>
      <w:r w:rsidRPr="000B584F">
        <w:rPr>
          <w:rFonts w:ascii="Calibri" w:hAnsi="Calibri" w:cs="Calibri"/>
        </w:rPr>
        <w:t>there</w:t>
      </w:r>
      <w:proofErr w:type="spellEnd"/>
      <w:r w:rsidRPr="000B584F">
        <w:rPr>
          <w:rFonts w:ascii="Calibri" w:hAnsi="Calibri" w:cs="Calibri"/>
        </w:rPr>
        <w:t xml:space="preserve"> is </w:t>
      </w:r>
      <w:proofErr w:type="spellStart"/>
      <w:r w:rsidRPr="000B584F">
        <w:rPr>
          <w:rFonts w:ascii="Calibri" w:hAnsi="Calibri" w:cs="Calibri"/>
        </w:rPr>
        <w:t>often</w:t>
      </w:r>
      <w:proofErr w:type="spellEnd"/>
      <w:r w:rsidRPr="000B584F">
        <w:rPr>
          <w:rFonts w:ascii="Calibri" w:hAnsi="Calibri" w:cs="Calibri"/>
        </w:rPr>
        <w:t xml:space="preserve"> an original </w:t>
      </w:r>
      <w:proofErr w:type="spellStart"/>
      <w:r w:rsidRPr="000B584F">
        <w:rPr>
          <w:rFonts w:ascii="Calibri" w:hAnsi="Calibri" w:cs="Calibri"/>
        </w:rPr>
        <w:t>text</w:t>
      </w:r>
      <w:proofErr w:type="spellEnd"/>
      <w:r w:rsidRPr="000B584F">
        <w:rPr>
          <w:rFonts w:ascii="Calibri" w:hAnsi="Calibri" w:cs="Calibri"/>
        </w:rPr>
        <w:t xml:space="preserve"> </w:t>
      </w:r>
      <w:proofErr w:type="spellStart"/>
      <w:r w:rsidRPr="000B584F">
        <w:rPr>
          <w:rFonts w:ascii="Calibri" w:hAnsi="Calibri" w:cs="Calibri"/>
        </w:rPr>
        <w:t>behind</w:t>
      </w:r>
      <w:proofErr w:type="spellEnd"/>
      <w:r w:rsidRPr="000B584F">
        <w:rPr>
          <w:rFonts w:ascii="Calibri" w:hAnsi="Calibri" w:cs="Calibri"/>
        </w:rPr>
        <w:t xml:space="preserve"> a digital </w:t>
      </w:r>
      <w:proofErr w:type="spellStart"/>
      <w:r w:rsidRPr="000B584F">
        <w:rPr>
          <w:rFonts w:ascii="Calibri" w:hAnsi="Calibri" w:cs="Calibri"/>
        </w:rPr>
        <w:t>text</w:t>
      </w:r>
      <w:proofErr w:type="spellEnd"/>
      <w:r w:rsidRPr="000B584F">
        <w:rPr>
          <w:rFonts w:ascii="Calibri" w:hAnsi="Calibri" w:cs="Calibri"/>
        </w:rPr>
        <w:t>: “Ved denne type materiale vil der i mange tilfælde stadig eksistere en original at gå tilbage til…”,</w:t>
      </w:r>
      <w:r w:rsidR="00F14D55" w:rsidRPr="00EC1718">
        <w:rPr>
          <w:rStyle w:val="Fodnotehenvisning"/>
          <w:rFonts w:ascii="Calibri" w:hAnsi="Calibri" w:cs="Calibri"/>
        </w:rPr>
        <w:footnoteReference w:id="9"/>
      </w:r>
      <w:r w:rsidRPr="000B584F">
        <w:rPr>
          <w:rFonts w:ascii="Calibri" w:hAnsi="Calibri" w:cs="Calibri"/>
        </w:rPr>
        <w:t xml:space="preserve"> enabling source-</w:t>
      </w:r>
      <w:proofErr w:type="spellStart"/>
      <w:r w:rsidRPr="000B584F">
        <w:rPr>
          <w:rFonts w:ascii="Calibri" w:hAnsi="Calibri" w:cs="Calibri"/>
        </w:rPr>
        <w:t>critical</w:t>
      </w:r>
      <w:proofErr w:type="spellEnd"/>
      <w:r w:rsidRPr="000B584F">
        <w:rPr>
          <w:rFonts w:ascii="Calibri" w:hAnsi="Calibri" w:cs="Calibri"/>
        </w:rPr>
        <w:t xml:space="preserve"> </w:t>
      </w:r>
      <w:proofErr w:type="spellStart"/>
      <w:r w:rsidRPr="000B584F">
        <w:rPr>
          <w:rFonts w:ascii="Calibri" w:hAnsi="Calibri" w:cs="Calibri"/>
        </w:rPr>
        <w:t>analysis</w:t>
      </w:r>
      <w:proofErr w:type="spellEnd"/>
      <w:r w:rsidRPr="000B584F">
        <w:rPr>
          <w:rFonts w:ascii="Calibri" w:hAnsi="Calibri" w:cs="Calibri"/>
        </w:rPr>
        <w:t xml:space="preserve"> of digital </w:t>
      </w:r>
      <w:proofErr w:type="spellStart"/>
      <w:r w:rsidRPr="000B584F">
        <w:rPr>
          <w:rFonts w:ascii="Calibri" w:hAnsi="Calibri" w:cs="Calibri"/>
        </w:rPr>
        <w:t>copies</w:t>
      </w:r>
      <w:proofErr w:type="spellEnd"/>
      <w:r w:rsidRPr="000B584F">
        <w:rPr>
          <w:rFonts w:ascii="Calibri" w:hAnsi="Calibri" w:cs="Calibri"/>
        </w:rPr>
        <w:t xml:space="preserve">. </w:t>
      </w:r>
      <w:r w:rsidRPr="000B584F">
        <w:rPr>
          <w:rFonts w:ascii="Calibri" w:hAnsi="Calibri" w:cs="Calibri"/>
          <w:lang w:val="en-US"/>
        </w:rPr>
        <w:t>Key methods include provenance, authenticity, and context. Kelley similarly emphasizes that large digital newspaper collections enable advanced searches, longitudinal studies, and qualitative analysis, strengthening social, cultural, and media historical research.</w:t>
      </w:r>
      <w:r w:rsidR="00EC1718" w:rsidRPr="00EC1718">
        <w:rPr>
          <w:rStyle w:val="Fodnotehenvisning"/>
          <w:rFonts w:ascii="Calibri" w:hAnsi="Calibri" w:cs="Calibri"/>
          <w:lang w:val="en-US"/>
        </w:rPr>
        <w:footnoteReference w:id="10"/>
      </w:r>
      <w:r w:rsidRPr="000B584F">
        <w:rPr>
          <w:rFonts w:ascii="Calibri" w:hAnsi="Calibri" w:cs="Calibri"/>
          <w:lang w:val="en-US"/>
        </w:rPr>
        <w:t xml:space="preserve"> However, digitization is not neutral, as omissions, technical limitations, server capacity, and institutional priorities shape what is preserved and must be critically considered by researchers.</w:t>
      </w:r>
    </w:p>
    <w:p w14:paraId="3344D767" w14:textId="4320118F" w:rsidR="005054AB" w:rsidRDefault="00417CD2" w:rsidP="00584AA4">
      <w:pPr>
        <w:spacing w:line="360" w:lineRule="auto"/>
        <w:rPr>
          <w:rFonts w:ascii="Calibri" w:hAnsi="Calibri" w:cs="Calibri"/>
          <w:lang w:val="en-US"/>
        </w:rPr>
      </w:pPr>
      <w:r w:rsidRPr="00417CD2">
        <w:rPr>
          <w:rFonts w:ascii="Calibri" w:hAnsi="Calibri" w:cs="Calibri"/>
          <w:lang w:val="en-US"/>
        </w:rPr>
        <w:t xml:space="preserve">In contrast, reborn digital sources differ fundamentally. Archived web materials are born-digital sources collected through web archiving processes, which transform the material itself. </w:t>
      </w:r>
      <w:proofErr w:type="spellStart"/>
      <w:r w:rsidRPr="00417CD2">
        <w:rPr>
          <w:rFonts w:ascii="Calibri" w:hAnsi="Calibri" w:cs="Calibri"/>
          <w:lang w:val="en-US"/>
        </w:rPr>
        <w:t>Brügger</w:t>
      </w:r>
      <w:proofErr w:type="spellEnd"/>
      <w:r w:rsidRPr="00417CD2">
        <w:rPr>
          <w:rFonts w:ascii="Calibri" w:hAnsi="Calibri" w:cs="Calibri"/>
          <w:lang w:val="en-US"/>
        </w:rPr>
        <w:t xml:space="preserve"> therefore describes archived web as “reborn-digital material”,</w:t>
      </w:r>
      <w:r>
        <w:rPr>
          <w:rStyle w:val="Fodnotehenvisning"/>
          <w:rFonts w:ascii="Calibri" w:hAnsi="Calibri" w:cs="Calibri"/>
          <w:lang w:val="en-US"/>
        </w:rPr>
        <w:footnoteReference w:id="11"/>
      </w:r>
      <w:r w:rsidRPr="00417CD2">
        <w:rPr>
          <w:rFonts w:ascii="Calibri" w:hAnsi="Calibri" w:cs="Calibri"/>
          <w:lang w:val="en-US"/>
        </w:rPr>
        <w:t xml:space="preserve"> since new versions of an original source are created rather than simple copies. As a result, archived web data is often fragmented, containing missing or excessive elements, and characterized by temporal irregularities. This means that instead of traditional reconstruction, historians must rely on version comparison, technical awareness, and an understanding of the archival process itself in order to interpret such sources critically.</w:t>
      </w:r>
    </w:p>
    <w:p w14:paraId="1B312E96" w14:textId="77777777" w:rsidR="0088739A" w:rsidRDefault="0088739A" w:rsidP="00584AA4">
      <w:pPr>
        <w:spacing w:line="360" w:lineRule="auto"/>
        <w:rPr>
          <w:rFonts w:ascii="Calibri" w:hAnsi="Calibri" w:cs="Calibri"/>
          <w:lang w:val="en-US"/>
        </w:rPr>
      </w:pPr>
    </w:p>
    <w:p w14:paraId="2B6E04EE" w14:textId="77777777" w:rsidR="0088739A" w:rsidRPr="00EC1718" w:rsidRDefault="0088739A" w:rsidP="00584AA4">
      <w:pPr>
        <w:spacing w:line="360" w:lineRule="auto"/>
        <w:rPr>
          <w:rFonts w:ascii="Calibri" w:hAnsi="Calibri" w:cs="Calibri"/>
          <w:lang w:val="en-US"/>
        </w:rPr>
      </w:pPr>
    </w:p>
    <w:p w14:paraId="51332F50" w14:textId="37B262B9" w:rsidR="00441E6C" w:rsidRPr="00A95C5A" w:rsidRDefault="00A95C5A" w:rsidP="00584AA4">
      <w:pPr>
        <w:spacing w:line="360" w:lineRule="auto"/>
        <w:rPr>
          <w:rFonts w:ascii="Calibri" w:hAnsi="Calibri" w:cs="Calibri"/>
          <w:lang w:val="en-US"/>
        </w:rPr>
      </w:pPr>
      <w:r w:rsidRPr="00A95C5A">
        <w:rPr>
          <w:rFonts w:ascii="Calibri" w:hAnsi="Calibri" w:cs="Calibri"/>
          <w:lang w:val="en-US"/>
        </w:rPr>
        <w:lastRenderedPageBreak/>
        <w:t>Helle Strandgaard Jensen introduces the concept of ‘digital archival literacy’ to describe how historians must understand digital archives not as neutral storage systems, but as active mediators of historical material. Digital archives produce, organize, and present sources in ways shaped by technical, economic, and political conditions.</w:t>
      </w:r>
      <w:r w:rsidR="00504E5E">
        <w:rPr>
          <w:rStyle w:val="Fodnotehenvisning"/>
          <w:rFonts w:ascii="Calibri" w:hAnsi="Calibri" w:cs="Calibri"/>
          <w:lang w:val="en-US"/>
        </w:rPr>
        <w:footnoteReference w:id="12"/>
      </w:r>
      <w:r w:rsidRPr="00A95C5A">
        <w:rPr>
          <w:rFonts w:ascii="Calibri" w:hAnsi="Calibri" w:cs="Calibri"/>
          <w:lang w:val="en-US"/>
        </w:rPr>
        <w:t xml:space="preserve"> According to Jensen, factors such as funding structures, user popularity, and institutional priorities influence what becomes visible or accessible. This can create a bias in available material, where some topics are amplified while others are marginalized or effectively absent.</w:t>
      </w:r>
      <w:r w:rsidR="008954D6">
        <w:rPr>
          <w:rStyle w:val="Fodnotehenvisning"/>
          <w:rFonts w:ascii="Calibri" w:hAnsi="Calibri" w:cs="Calibri"/>
          <w:lang w:val="en-US"/>
        </w:rPr>
        <w:footnoteReference w:id="13"/>
      </w:r>
    </w:p>
    <w:p w14:paraId="4DAD916F" w14:textId="4E139098" w:rsidR="001563BF" w:rsidRPr="00584AA4" w:rsidRDefault="00AE3C76" w:rsidP="00584AA4">
      <w:pPr>
        <w:spacing w:line="360" w:lineRule="auto"/>
        <w:rPr>
          <w:rFonts w:ascii="Calibri" w:hAnsi="Calibri" w:cs="Calibri"/>
          <w:lang w:val="en-US"/>
        </w:rPr>
      </w:pPr>
      <w:r w:rsidRPr="00AE3C76">
        <w:rPr>
          <w:rFonts w:ascii="Calibri" w:hAnsi="Calibri" w:cs="Calibri"/>
          <w:lang w:val="en-US"/>
        </w:rPr>
        <w:t>These issues become particularly visible in databases dealing with slavery and colonial history. Jessica Marie Johnson warns against assuming digital databases are objective, stating: “There is nothing neutral, even in a digital environment, about doing histories of slave…”.</w:t>
      </w:r>
      <w:r w:rsidR="00C52194">
        <w:rPr>
          <w:rStyle w:val="Fodnotehenvisning"/>
          <w:rFonts w:ascii="Calibri" w:hAnsi="Calibri" w:cs="Calibri"/>
          <w:lang w:val="en-US"/>
        </w:rPr>
        <w:footnoteReference w:id="14"/>
      </w:r>
      <w:r w:rsidRPr="00AE3C76">
        <w:rPr>
          <w:rFonts w:ascii="Calibri" w:hAnsi="Calibri" w:cs="Calibri"/>
          <w:lang w:val="en-US"/>
        </w:rPr>
        <w:t xml:space="preserve"> While resources such as The Trans-Atlantic Slave Trade Database have significantly advanced research through large-scale quantitative data, Johnson argues that their categories and structures also shape historical interpretation. If used uncritically, there is a risk that the lived experiences and qualitative dimensions of enslaved people are reduced or overshadowed by numbers and visualizations.</w:t>
      </w:r>
      <w:r w:rsidR="00124C41">
        <w:rPr>
          <w:rStyle w:val="Fodnotehenvisning"/>
          <w:rFonts w:ascii="Calibri" w:hAnsi="Calibri" w:cs="Calibri"/>
          <w:lang w:val="en-US"/>
        </w:rPr>
        <w:footnoteReference w:id="15"/>
      </w:r>
    </w:p>
    <w:p w14:paraId="7F39B65D" w14:textId="6116A980" w:rsidR="00F71967" w:rsidRPr="007E3F6C" w:rsidRDefault="007E3F6C" w:rsidP="00584AA4">
      <w:pPr>
        <w:spacing w:line="360" w:lineRule="auto"/>
        <w:rPr>
          <w:rFonts w:ascii="Calibri" w:hAnsi="Calibri" w:cs="Calibri"/>
          <w:lang w:val="en-US"/>
        </w:rPr>
      </w:pPr>
      <w:r w:rsidRPr="007E3F6C">
        <w:rPr>
          <w:rFonts w:ascii="Calibri" w:hAnsi="Calibri" w:cs="Calibri"/>
          <w:lang w:val="en-US"/>
        </w:rPr>
        <w:t xml:space="preserve">Overall, it can be concluded that digitized historical sources and reborn digital sources require different methodological approaches. While established source-critical frameworks remain useful for digitized archives, born-digital and archived web materials demand additional attention to technological, institutional, and structural conditions. As </w:t>
      </w:r>
      <w:proofErr w:type="spellStart"/>
      <w:r w:rsidRPr="007E3F6C">
        <w:rPr>
          <w:rFonts w:ascii="Calibri" w:hAnsi="Calibri" w:cs="Calibri"/>
          <w:lang w:val="en-US"/>
        </w:rPr>
        <w:t>Brügger</w:t>
      </w:r>
      <w:proofErr w:type="spellEnd"/>
      <w:r w:rsidRPr="007E3F6C">
        <w:rPr>
          <w:rFonts w:ascii="Calibri" w:hAnsi="Calibri" w:cs="Calibri"/>
          <w:lang w:val="en-US"/>
        </w:rPr>
        <w:t>, Johnson, and Jensen collectively suggest, historians must develop strong digital archival literacy to work critically and effectively with digital sources in contemporary historical research.</w:t>
      </w:r>
    </w:p>
    <w:p w14:paraId="7A7FD56B" w14:textId="77777777" w:rsidR="00F71967" w:rsidRPr="007E3F6C" w:rsidRDefault="00F71967" w:rsidP="00584AA4">
      <w:pPr>
        <w:spacing w:line="360" w:lineRule="auto"/>
        <w:rPr>
          <w:rFonts w:ascii="Calibri" w:hAnsi="Calibri" w:cs="Calibri"/>
          <w:lang w:val="en-US"/>
        </w:rPr>
      </w:pPr>
    </w:p>
    <w:p w14:paraId="7B4AF444" w14:textId="77777777" w:rsidR="00441E6C" w:rsidRPr="007E3F6C" w:rsidRDefault="00441E6C" w:rsidP="00584AA4">
      <w:pPr>
        <w:spacing w:line="360" w:lineRule="auto"/>
        <w:rPr>
          <w:rFonts w:ascii="Calibri" w:hAnsi="Calibri" w:cs="Calibri"/>
          <w:b/>
          <w:bCs/>
          <w:lang w:val="en-US"/>
        </w:rPr>
      </w:pPr>
    </w:p>
    <w:p w14:paraId="7CAB88FF" w14:textId="0B6F9B4F" w:rsidR="00441E6C" w:rsidRPr="007E3F6C" w:rsidRDefault="00441E6C" w:rsidP="00F71967">
      <w:pPr>
        <w:rPr>
          <w:rFonts w:ascii="Calibri" w:hAnsi="Calibri" w:cs="Calibri"/>
          <w:b/>
          <w:bCs/>
          <w:lang w:val="en-US"/>
        </w:rPr>
      </w:pPr>
    </w:p>
    <w:p w14:paraId="47843257" w14:textId="5BB39A58" w:rsidR="00F71967" w:rsidRPr="00384E8F" w:rsidRDefault="00F71967" w:rsidP="00F71967">
      <w:pPr>
        <w:rPr>
          <w:rFonts w:ascii="Times New Roman" w:hAnsi="Times New Roman" w:cs="Times New Roman"/>
          <w:b/>
          <w:bCs/>
          <w:lang w:val="en-US"/>
        </w:rPr>
      </w:pPr>
      <w:r w:rsidRPr="00384E8F">
        <w:rPr>
          <w:rFonts w:ascii="Times New Roman" w:hAnsi="Times New Roman" w:cs="Times New Roman"/>
          <w:b/>
          <w:bCs/>
          <w:lang w:val="en-US"/>
        </w:rPr>
        <w:lastRenderedPageBreak/>
        <w:t>Bibliography</w:t>
      </w:r>
    </w:p>
    <w:p w14:paraId="08FCA790" w14:textId="253B3546" w:rsidR="00414D2F" w:rsidRPr="00384E8F" w:rsidRDefault="00414D2F" w:rsidP="00F71967">
      <w:pPr>
        <w:rPr>
          <w:rFonts w:ascii="Times New Roman" w:hAnsi="Times New Roman" w:cs="Times New Roman"/>
          <w:b/>
          <w:bCs/>
          <w:lang w:val="en-US"/>
        </w:rPr>
      </w:pPr>
      <w:proofErr w:type="spellStart"/>
      <w:r w:rsidRPr="00384E8F">
        <w:rPr>
          <w:rFonts w:ascii="Times New Roman" w:hAnsi="Times New Roman" w:cs="Times New Roman"/>
          <w:b/>
          <w:bCs/>
          <w:lang w:val="en-US"/>
        </w:rPr>
        <w:t>Prtf</w:t>
      </w:r>
      <w:proofErr w:type="spellEnd"/>
      <w:r w:rsidRPr="00384E8F">
        <w:rPr>
          <w:rFonts w:ascii="Times New Roman" w:hAnsi="Times New Roman" w:cs="Times New Roman"/>
          <w:b/>
          <w:bCs/>
          <w:lang w:val="en-US"/>
        </w:rPr>
        <w:t xml:space="preserve">. 1 (week 8): </w:t>
      </w:r>
    </w:p>
    <w:p w14:paraId="2618AB2B" w14:textId="5A5B93E0" w:rsidR="0098773E" w:rsidRPr="00384E8F" w:rsidRDefault="0098773E" w:rsidP="00F71967">
      <w:pPr>
        <w:rPr>
          <w:rFonts w:ascii="Times New Roman" w:hAnsi="Times New Roman" w:cs="Times New Roman"/>
          <w:lang w:val="en-US"/>
        </w:rPr>
      </w:pPr>
      <w:proofErr w:type="spellStart"/>
      <w:r w:rsidRPr="00384E8F">
        <w:rPr>
          <w:rFonts w:ascii="Times New Roman" w:hAnsi="Times New Roman" w:cs="Times New Roman"/>
          <w:lang w:val="en-US"/>
        </w:rPr>
        <w:t>OpenRefine</w:t>
      </w:r>
      <w:proofErr w:type="spellEnd"/>
      <w:r w:rsidRPr="00384E8F">
        <w:rPr>
          <w:rFonts w:ascii="Times New Roman" w:hAnsi="Times New Roman" w:cs="Times New Roman"/>
          <w:lang w:val="en-US"/>
        </w:rPr>
        <w:t xml:space="preserve">. </w:t>
      </w:r>
      <w:proofErr w:type="spellStart"/>
      <w:r w:rsidRPr="00384E8F">
        <w:rPr>
          <w:rFonts w:ascii="Times New Roman" w:hAnsi="Times New Roman" w:cs="Times New Roman"/>
          <w:i/>
          <w:iCs/>
          <w:lang w:val="en-US"/>
        </w:rPr>
        <w:t>OpenRefine</w:t>
      </w:r>
      <w:proofErr w:type="spellEnd"/>
      <w:r w:rsidRPr="00384E8F">
        <w:rPr>
          <w:rFonts w:ascii="Times New Roman" w:hAnsi="Times New Roman" w:cs="Times New Roman"/>
          <w:lang w:val="en-US"/>
        </w:rPr>
        <w:t xml:space="preserve">. </w:t>
      </w:r>
      <w:hyperlink r:id="rId7" w:tgtFrame="_new" w:history="1">
        <w:r w:rsidRPr="00384E8F">
          <w:rPr>
            <w:rStyle w:val="Hyperlink"/>
            <w:rFonts w:ascii="Times New Roman" w:hAnsi="Times New Roman" w:cs="Times New Roman"/>
            <w:lang w:val="en-US"/>
          </w:rPr>
          <w:t>https://openrefine.org</w:t>
        </w:r>
      </w:hyperlink>
      <w:r w:rsidRPr="00384E8F">
        <w:rPr>
          <w:rFonts w:ascii="Times New Roman" w:hAnsi="Times New Roman" w:cs="Times New Roman"/>
          <w:lang w:val="en-US"/>
        </w:rPr>
        <w:t xml:space="preserve">. Accessed </w:t>
      </w:r>
      <w:r w:rsidR="00666164" w:rsidRPr="00384E8F">
        <w:rPr>
          <w:rFonts w:ascii="Times New Roman" w:hAnsi="Times New Roman" w:cs="Times New Roman"/>
          <w:lang w:val="en-US"/>
        </w:rPr>
        <w:t>February 19th</w:t>
      </w:r>
      <w:r w:rsidRPr="00384E8F">
        <w:rPr>
          <w:rFonts w:ascii="Times New Roman" w:hAnsi="Times New Roman" w:cs="Times New Roman"/>
          <w:lang w:val="en-US"/>
        </w:rPr>
        <w:t>, 2026.</w:t>
      </w:r>
    </w:p>
    <w:p w14:paraId="3EF25086" w14:textId="1C605C77" w:rsidR="00666164" w:rsidRPr="00384E8F" w:rsidRDefault="00666164" w:rsidP="00666164">
      <w:pPr>
        <w:rPr>
          <w:rFonts w:ascii="Times New Roman" w:hAnsi="Times New Roman" w:cs="Times New Roman"/>
          <w:lang w:val="en-US"/>
        </w:rPr>
      </w:pPr>
      <w:r w:rsidRPr="00384E8F">
        <w:rPr>
          <w:rFonts w:ascii="Times New Roman" w:hAnsi="Times New Roman" w:cs="Times New Roman"/>
          <w:lang w:val="en-US"/>
        </w:rPr>
        <w:t xml:space="preserve">Regex101. Regex101 – Online Regex Tester and Debugger. </w:t>
      </w:r>
      <w:hyperlink r:id="rId8" w:history="1">
        <w:r w:rsidR="00384E8F" w:rsidRPr="00384E8F">
          <w:rPr>
            <w:rStyle w:val="Hyperlink"/>
            <w:rFonts w:ascii="Times New Roman" w:hAnsi="Times New Roman" w:cs="Times New Roman"/>
            <w:lang w:val="en-US"/>
          </w:rPr>
          <w:t>https://regex101.com</w:t>
        </w:r>
      </w:hyperlink>
      <w:r w:rsidR="00384E8F" w:rsidRPr="00384E8F">
        <w:rPr>
          <w:rFonts w:ascii="Times New Roman" w:hAnsi="Times New Roman" w:cs="Times New Roman"/>
          <w:lang w:val="en-US"/>
        </w:rPr>
        <w:t xml:space="preserve">. </w:t>
      </w:r>
      <w:r w:rsidR="00384E8F" w:rsidRPr="00384E8F">
        <w:rPr>
          <w:rFonts w:ascii="Times New Roman" w:hAnsi="Times New Roman" w:cs="Times New Roman"/>
          <w:lang w:val="en-US"/>
        </w:rPr>
        <w:t>Accessed February 19th, 2026.</w:t>
      </w:r>
      <w:r w:rsidR="00384E8F" w:rsidRPr="00384E8F">
        <w:rPr>
          <w:rFonts w:ascii="Times New Roman" w:hAnsi="Times New Roman" w:cs="Times New Roman"/>
          <w:lang w:val="en-US"/>
        </w:rPr>
        <w:t xml:space="preserve"> </w:t>
      </w:r>
    </w:p>
    <w:p w14:paraId="3FEBD2EF" w14:textId="77777777" w:rsidR="00384E8F" w:rsidRDefault="00384E8F" w:rsidP="00F71967">
      <w:pPr>
        <w:rPr>
          <w:rFonts w:ascii="Times New Roman" w:hAnsi="Times New Roman" w:cs="Times New Roman"/>
          <w:b/>
          <w:bCs/>
          <w:lang w:val="en-US"/>
        </w:rPr>
      </w:pPr>
    </w:p>
    <w:p w14:paraId="53CF7997" w14:textId="2C6F2BB0" w:rsidR="00F13F3C" w:rsidRPr="00384E8F" w:rsidRDefault="00F13F3C" w:rsidP="00F71967">
      <w:pPr>
        <w:rPr>
          <w:rFonts w:ascii="Times New Roman" w:hAnsi="Times New Roman" w:cs="Times New Roman"/>
          <w:b/>
          <w:bCs/>
          <w:lang w:val="en-US"/>
        </w:rPr>
      </w:pPr>
      <w:proofErr w:type="spellStart"/>
      <w:r w:rsidRPr="00384E8F">
        <w:rPr>
          <w:rFonts w:ascii="Times New Roman" w:hAnsi="Times New Roman" w:cs="Times New Roman"/>
          <w:b/>
          <w:bCs/>
          <w:lang w:val="en-US"/>
        </w:rPr>
        <w:t>Prtf</w:t>
      </w:r>
      <w:proofErr w:type="spellEnd"/>
      <w:r w:rsidRPr="00384E8F">
        <w:rPr>
          <w:rFonts w:ascii="Times New Roman" w:hAnsi="Times New Roman" w:cs="Times New Roman"/>
          <w:b/>
          <w:bCs/>
          <w:lang w:val="en-US"/>
        </w:rPr>
        <w:t xml:space="preserve">. 2: (week 11): </w:t>
      </w:r>
    </w:p>
    <w:p w14:paraId="32875860" w14:textId="554D5D5E" w:rsidR="00F13F3C" w:rsidRPr="00261657" w:rsidRDefault="003779B0" w:rsidP="00F71967">
      <w:pPr>
        <w:rPr>
          <w:rFonts w:ascii="Times New Roman" w:hAnsi="Times New Roman" w:cs="Times New Roman"/>
        </w:rPr>
      </w:pPr>
      <w:r w:rsidRPr="00384E8F">
        <w:rPr>
          <w:rFonts w:ascii="Times New Roman" w:hAnsi="Times New Roman" w:cs="Times New Roman"/>
          <w:lang w:val="en-US"/>
        </w:rPr>
        <w:t xml:space="preserve">RStudio. </w:t>
      </w:r>
      <w:r w:rsidRPr="00384E8F">
        <w:rPr>
          <w:rFonts w:ascii="Times New Roman" w:hAnsi="Times New Roman" w:cs="Times New Roman"/>
          <w:i/>
          <w:iCs/>
          <w:lang w:val="en-US"/>
        </w:rPr>
        <w:t>RStudio: Integrated Development Environment for R</w:t>
      </w:r>
      <w:r w:rsidRPr="00384E8F">
        <w:rPr>
          <w:rFonts w:ascii="Times New Roman" w:hAnsi="Times New Roman" w:cs="Times New Roman"/>
          <w:lang w:val="en-US"/>
        </w:rPr>
        <w:t xml:space="preserve">. </w:t>
      </w:r>
      <w:hyperlink r:id="rId9" w:tgtFrame="_new" w:history="1">
        <w:r w:rsidRPr="00384E8F">
          <w:rPr>
            <w:rStyle w:val="Hyperlink"/>
            <w:rFonts w:ascii="Times New Roman" w:hAnsi="Times New Roman" w:cs="Times New Roman"/>
          </w:rPr>
          <w:t>https://www.rstudio.com</w:t>
        </w:r>
      </w:hyperlink>
      <w:r w:rsidRPr="00384E8F">
        <w:rPr>
          <w:rFonts w:ascii="Times New Roman" w:hAnsi="Times New Roman" w:cs="Times New Roman"/>
        </w:rPr>
        <w:t xml:space="preserve">. </w:t>
      </w:r>
      <w:proofErr w:type="spellStart"/>
      <w:r w:rsidRPr="00384E8F">
        <w:rPr>
          <w:rFonts w:ascii="Times New Roman" w:hAnsi="Times New Roman" w:cs="Times New Roman"/>
        </w:rPr>
        <w:t>Accessed</w:t>
      </w:r>
      <w:proofErr w:type="spellEnd"/>
      <w:r w:rsidRPr="00384E8F">
        <w:rPr>
          <w:rFonts w:ascii="Times New Roman" w:hAnsi="Times New Roman" w:cs="Times New Roman"/>
        </w:rPr>
        <w:t xml:space="preserve"> M</w:t>
      </w:r>
      <w:r w:rsidRPr="00384E8F">
        <w:rPr>
          <w:rFonts w:ascii="Times New Roman" w:hAnsi="Times New Roman" w:cs="Times New Roman"/>
        </w:rPr>
        <w:t>arch</w:t>
      </w:r>
      <w:r w:rsidR="0051090E" w:rsidRPr="00384E8F">
        <w:rPr>
          <w:rFonts w:ascii="Times New Roman" w:hAnsi="Times New Roman" w:cs="Times New Roman"/>
        </w:rPr>
        <w:t xml:space="preserve"> </w:t>
      </w:r>
      <w:r w:rsidR="009D74F6" w:rsidRPr="00384E8F">
        <w:rPr>
          <w:rFonts w:ascii="Times New Roman" w:hAnsi="Times New Roman" w:cs="Times New Roman"/>
        </w:rPr>
        <w:t>5</w:t>
      </w:r>
      <w:r w:rsidR="00261657">
        <w:rPr>
          <w:rFonts w:ascii="Times New Roman" w:hAnsi="Times New Roman" w:cs="Times New Roman"/>
        </w:rPr>
        <w:t>th</w:t>
      </w:r>
      <w:r w:rsidR="00F711D6" w:rsidRPr="00384E8F">
        <w:rPr>
          <w:rFonts w:ascii="Times New Roman" w:hAnsi="Times New Roman" w:cs="Times New Roman"/>
        </w:rPr>
        <w:t>,</w:t>
      </w:r>
      <w:r w:rsidRPr="00384E8F">
        <w:rPr>
          <w:rFonts w:ascii="Times New Roman" w:hAnsi="Times New Roman" w:cs="Times New Roman"/>
        </w:rPr>
        <w:t xml:space="preserve"> 2026.</w:t>
      </w:r>
    </w:p>
    <w:p w14:paraId="2B1168A6" w14:textId="09BB32CE" w:rsidR="00384E8F" w:rsidRPr="00DF35C5" w:rsidRDefault="00261657" w:rsidP="00F71967">
      <w:pPr>
        <w:rPr>
          <w:rFonts w:ascii="Times New Roman" w:hAnsi="Times New Roman" w:cs="Times New Roman"/>
          <w:lang w:val="en-US"/>
        </w:rPr>
      </w:pPr>
      <w:r w:rsidRPr="00DF35C5">
        <w:rPr>
          <w:rFonts w:ascii="Times New Roman" w:hAnsi="Times New Roman" w:cs="Times New Roman"/>
        </w:rPr>
        <w:t xml:space="preserve">Kongehuset. “Kongerækken.” </w:t>
      </w:r>
      <w:r w:rsidRPr="00DF35C5">
        <w:rPr>
          <w:rFonts w:ascii="Times New Roman" w:hAnsi="Times New Roman" w:cs="Times New Roman"/>
          <w:i/>
          <w:iCs/>
        </w:rPr>
        <w:t>Kongehuset</w:t>
      </w:r>
      <w:r w:rsidRPr="00DF35C5">
        <w:rPr>
          <w:rFonts w:ascii="Times New Roman" w:hAnsi="Times New Roman" w:cs="Times New Roman"/>
        </w:rPr>
        <w:t xml:space="preserve">. </w:t>
      </w:r>
      <w:proofErr w:type="spellStart"/>
      <w:r w:rsidRPr="00DF35C5">
        <w:rPr>
          <w:rFonts w:ascii="Times New Roman" w:hAnsi="Times New Roman" w:cs="Times New Roman"/>
        </w:rPr>
        <w:t>Accessed</w:t>
      </w:r>
      <w:proofErr w:type="spellEnd"/>
      <w:r w:rsidRPr="00DF35C5">
        <w:rPr>
          <w:rFonts w:ascii="Times New Roman" w:hAnsi="Times New Roman" w:cs="Times New Roman"/>
        </w:rPr>
        <w:t xml:space="preserve"> M</w:t>
      </w:r>
      <w:r w:rsidRPr="00DF35C5">
        <w:rPr>
          <w:rFonts w:ascii="Times New Roman" w:hAnsi="Times New Roman" w:cs="Times New Roman"/>
        </w:rPr>
        <w:t>arch</w:t>
      </w:r>
      <w:r w:rsidRPr="00DF35C5">
        <w:rPr>
          <w:rFonts w:ascii="Times New Roman" w:hAnsi="Times New Roman" w:cs="Times New Roman"/>
        </w:rPr>
        <w:t xml:space="preserve"> </w:t>
      </w:r>
      <w:r w:rsidR="0008429D">
        <w:rPr>
          <w:rFonts w:ascii="Times New Roman" w:hAnsi="Times New Roman" w:cs="Times New Roman"/>
        </w:rPr>
        <w:t>12</w:t>
      </w:r>
      <w:r w:rsidRPr="00DF35C5">
        <w:rPr>
          <w:rFonts w:ascii="Times New Roman" w:hAnsi="Times New Roman" w:cs="Times New Roman"/>
        </w:rPr>
        <w:t xml:space="preserve">th, </w:t>
      </w:r>
      <w:r w:rsidRPr="00DF35C5">
        <w:rPr>
          <w:rFonts w:ascii="Times New Roman" w:hAnsi="Times New Roman" w:cs="Times New Roman"/>
        </w:rPr>
        <w:t xml:space="preserve">2026. </w:t>
      </w:r>
      <w:hyperlink r:id="rId10" w:tgtFrame="_new" w:history="1">
        <w:r w:rsidRPr="00DF35C5">
          <w:rPr>
            <w:rStyle w:val="Hyperlink"/>
            <w:rFonts w:ascii="Times New Roman" w:hAnsi="Times New Roman" w:cs="Times New Roman"/>
            <w:lang w:val="en-US"/>
          </w:rPr>
          <w:t>https://www.kongehuset.dk/monarkiet-i-danmark/kongerakken</w:t>
        </w:r>
      </w:hyperlink>
      <w:r w:rsidRPr="00DF35C5">
        <w:rPr>
          <w:rFonts w:ascii="Times New Roman" w:hAnsi="Times New Roman" w:cs="Times New Roman"/>
          <w:lang w:val="en-US"/>
        </w:rPr>
        <w:t>.</w:t>
      </w:r>
    </w:p>
    <w:p w14:paraId="40A3E059" w14:textId="17C69405" w:rsidR="00DF35C5" w:rsidRPr="00DF35C5" w:rsidRDefault="00DF35C5" w:rsidP="00F71967">
      <w:pPr>
        <w:rPr>
          <w:rFonts w:ascii="Times New Roman" w:hAnsi="Times New Roman" w:cs="Times New Roman"/>
          <w:lang w:val="en-US"/>
        </w:rPr>
      </w:pPr>
      <w:r w:rsidRPr="00DF35C5">
        <w:rPr>
          <w:rFonts w:ascii="Times New Roman" w:hAnsi="Times New Roman" w:cs="Times New Roman"/>
        </w:rPr>
        <w:t xml:space="preserve">Lex.dk. “Kongerækken i Danmark.” </w:t>
      </w:r>
      <w:r w:rsidRPr="00DF35C5">
        <w:rPr>
          <w:rFonts w:ascii="Times New Roman" w:hAnsi="Times New Roman" w:cs="Times New Roman"/>
          <w:i/>
          <w:iCs/>
          <w:lang w:val="en-US"/>
        </w:rPr>
        <w:t>Lex.dk</w:t>
      </w:r>
      <w:r w:rsidRPr="00DF35C5">
        <w:rPr>
          <w:rFonts w:ascii="Times New Roman" w:hAnsi="Times New Roman" w:cs="Times New Roman"/>
          <w:lang w:val="en-US"/>
        </w:rPr>
        <w:t xml:space="preserve">. Accessed </w:t>
      </w:r>
      <w:r>
        <w:rPr>
          <w:rFonts w:ascii="Times New Roman" w:hAnsi="Times New Roman" w:cs="Times New Roman"/>
          <w:lang w:val="en-US"/>
        </w:rPr>
        <w:t xml:space="preserve">March </w:t>
      </w:r>
      <w:r w:rsidR="0008429D">
        <w:rPr>
          <w:rFonts w:ascii="Times New Roman" w:hAnsi="Times New Roman" w:cs="Times New Roman"/>
          <w:lang w:val="en-US"/>
        </w:rPr>
        <w:t>12</w:t>
      </w:r>
      <w:r>
        <w:rPr>
          <w:rFonts w:ascii="Times New Roman" w:hAnsi="Times New Roman" w:cs="Times New Roman"/>
          <w:lang w:val="en-US"/>
        </w:rPr>
        <w:t>th</w:t>
      </w:r>
      <w:r w:rsidRPr="00DF35C5">
        <w:rPr>
          <w:rFonts w:ascii="Times New Roman" w:hAnsi="Times New Roman" w:cs="Times New Roman"/>
          <w:lang w:val="en-US"/>
        </w:rPr>
        <w:t xml:space="preserve">, 2026. </w:t>
      </w:r>
      <w:hyperlink r:id="rId11" w:tgtFrame="_new" w:history="1">
        <w:r w:rsidRPr="00DF35C5">
          <w:rPr>
            <w:rStyle w:val="Hyperlink"/>
            <w:rFonts w:ascii="Times New Roman" w:hAnsi="Times New Roman" w:cs="Times New Roman"/>
            <w:lang w:val="en-US"/>
          </w:rPr>
          <w:t>https://lex.dk/konger%C3%A6kken_i_Danmark</w:t>
        </w:r>
      </w:hyperlink>
      <w:r w:rsidRPr="00DF35C5">
        <w:rPr>
          <w:rFonts w:ascii="Times New Roman" w:hAnsi="Times New Roman" w:cs="Times New Roman"/>
          <w:lang w:val="en-US"/>
        </w:rPr>
        <w:t>.</w:t>
      </w:r>
    </w:p>
    <w:p w14:paraId="5E498FD5" w14:textId="77777777" w:rsidR="00246320" w:rsidRDefault="00246320" w:rsidP="00F71967">
      <w:pPr>
        <w:rPr>
          <w:rFonts w:ascii="Times New Roman" w:hAnsi="Times New Roman" w:cs="Times New Roman"/>
          <w:b/>
          <w:bCs/>
          <w:lang w:val="en-US"/>
        </w:rPr>
      </w:pPr>
    </w:p>
    <w:p w14:paraId="3E50EC3D" w14:textId="704DE279" w:rsidR="00F13F3C" w:rsidRPr="00384E8F" w:rsidRDefault="00DA7D59" w:rsidP="00F71967">
      <w:pPr>
        <w:rPr>
          <w:rFonts w:ascii="Times New Roman" w:hAnsi="Times New Roman" w:cs="Times New Roman"/>
          <w:b/>
          <w:bCs/>
          <w:lang w:val="en-US"/>
        </w:rPr>
      </w:pPr>
      <w:proofErr w:type="spellStart"/>
      <w:r w:rsidRPr="00384E8F">
        <w:rPr>
          <w:rFonts w:ascii="Times New Roman" w:hAnsi="Times New Roman" w:cs="Times New Roman"/>
          <w:b/>
          <w:bCs/>
          <w:lang w:val="en-US"/>
        </w:rPr>
        <w:t>Prtf</w:t>
      </w:r>
      <w:proofErr w:type="spellEnd"/>
      <w:r w:rsidRPr="00384E8F">
        <w:rPr>
          <w:rFonts w:ascii="Times New Roman" w:hAnsi="Times New Roman" w:cs="Times New Roman"/>
          <w:b/>
          <w:bCs/>
          <w:lang w:val="en-US"/>
        </w:rPr>
        <w:t xml:space="preserve"> 3: (week 1</w:t>
      </w:r>
      <w:r w:rsidR="00246320">
        <w:rPr>
          <w:rFonts w:ascii="Times New Roman" w:hAnsi="Times New Roman" w:cs="Times New Roman"/>
          <w:b/>
          <w:bCs/>
          <w:lang w:val="en-US"/>
        </w:rPr>
        <w:t>3</w:t>
      </w:r>
      <w:r w:rsidRPr="00384E8F">
        <w:rPr>
          <w:rFonts w:ascii="Times New Roman" w:hAnsi="Times New Roman" w:cs="Times New Roman"/>
          <w:b/>
          <w:bCs/>
          <w:lang w:val="en-US"/>
        </w:rPr>
        <w:t xml:space="preserve">): </w:t>
      </w:r>
    </w:p>
    <w:p w14:paraId="028274FF" w14:textId="77777777" w:rsidR="00246320" w:rsidRDefault="00246320" w:rsidP="00246320">
      <w:pPr>
        <w:rPr>
          <w:rFonts w:ascii="Times New Roman" w:hAnsi="Times New Roman" w:cs="Times New Roman"/>
        </w:rPr>
      </w:pPr>
      <w:r w:rsidRPr="00384E8F">
        <w:rPr>
          <w:rFonts w:ascii="Times New Roman" w:hAnsi="Times New Roman" w:cs="Times New Roman"/>
          <w:lang w:val="en-US"/>
        </w:rPr>
        <w:t xml:space="preserve">RStudio. </w:t>
      </w:r>
      <w:r w:rsidRPr="00384E8F">
        <w:rPr>
          <w:rFonts w:ascii="Times New Roman" w:hAnsi="Times New Roman" w:cs="Times New Roman"/>
          <w:i/>
          <w:iCs/>
          <w:lang w:val="en-US"/>
        </w:rPr>
        <w:t>RStudio: Integrated Development Environment for R</w:t>
      </w:r>
      <w:r w:rsidRPr="00384E8F">
        <w:rPr>
          <w:rFonts w:ascii="Times New Roman" w:hAnsi="Times New Roman" w:cs="Times New Roman"/>
          <w:lang w:val="en-US"/>
        </w:rPr>
        <w:t xml:space="preserve">. </w:t>
      </w:r>
      <w:hyperlink r:id="rId12" w:tgtFrame="_new" w:history="1">
        <w:r w:rsidRPr="00384E8F">
          <w:rPr>
            <w:rStyle w:val="Hyperlink"/>
            <w:rFonts w:ascii="Times New Roman" w:hAnsi="Times New Roman" w:cs="Times New Roman"/>
          </w:rPr>
          <w:t>https://www.rstudio.com</w:t>
        </w:r>
      </w:hyperlink>
      <w:r w:rsidRPr="00384E8F">
        <w:rPr>
          <w:rFonts w:ascii="Times New Roman" w:hAnsi="Times New Roman" w:cs="Times New Roman"/>
        </w:rPr>
        <w:t xml:space="preserve">. </w:t>
      </w:r>
      <w:proofErr w:type="spellStart"/>
      <w:r w:rsidRPr="00384E8F">
        <w:rPr>
          <w:rFonts w:ascii="Times New Roman" w:hAnsi="Times New Roman" w:cs="Times New Roman"/>
        </w:rPr>
        <w:t>Accessed</w:t>
      </w:r>
      <w:proofErr w:type="spellEnd"/>
      <w:r w:rsidRPr="00384E8F">
        <w:rPr>
          <w:rFonts w:ascii="Times New Roman" w:hAnsi="Times New Roman" w:cs="Times New Roman"/>
        </w:rPr>
        <w:t xml:space="preserve"> March 5</w:t>
      </w:r>
      <w:r>
        <w:rPr>
          <w:rFonts w:ascii="Times New Roman" w:hAnsi="Times New Roman" w:cs="Times New Roman"/>
        </w:rPr>
        <w:t>th</w:t>
      </w:r>
      <w:r w:rsidRPr="00384E8F">
        <w:rPr>
          <w:rFonts w:ascii="Times New Roman" w:hAnsi="Times New Roman" w:cs="Times New Roman"/>
        </w:rPr>
        <w:t>, 2026.</w:t>
      </w:r>
    </w:p>
    <w:p w14:paraId="3A2029CE" w14:textId="19C5DEE1" w:rsidR="00246320" w:rsidRPr="0008429D" w:rsidRDefault="00585F8E" w:rsidP="00246320">
      <w:pPr>
        <w:rPr>
          <w:rFonts w:ascii="Times New Roman" w:hAnsi="Times New Roman" w:cs="Times New Roman"/>
          <w:lang w:val="en-US"/>
        </w:rPr>
      </w:pPr>
      <w:r w:rsidRPr="00585F8E">
        <w:rPr>
          <w:rFonts w:ascii="Times New Roman" w:hAnsi="Times New Roman" w:cs="Times New Roman"/>
        </w:rPr>
        <w:t xml:space="preserve">Bold.dk. “Fodboldklubber.” </w:t>
      </w:r>
      <w:r w:rsidRPr="0008429D">
        <w:rPr>
          <w:rFonts w:ascii="Times New Roman" w:hAnsi="Times New Roman" w:cs="Times New Roman"/>
          <w:i/>
          <w:iCs/>
          <w:lang w:val="en-US"/>
        </w:rPr>
        <w:t>Bold.dk</w:t>
      </w:r>
      <w:r w:rsidRPr="0008429D">
        <w:rPr>
          <w:rFonts w:ascii="Times New Roman" w:hAnsi="Times New Roman" w:cs="Times New Roman"/>
          <w:lang w:val="en-US"/>
        </w:rPr>
        <w:t>. Accessed Ma</w:t>
      </w:r>
      <w:r w:rsidRPr="0008429D">
        <w:rPr>
          <w:rFonts w:ascii="Times New Roman" w:hAnsi="Times New Roman" w:cs="Times New Roman"/>
          <w:lang w:val="en-US"/>
        </w:rPr>
        <w:t xml:space="preserve">rch </w:t>
      </w:r>
      <w:r w:rsidR="0008429D">
        <w:rPr>
          <w:rFonts w:ascii="Times New Roman" w:hAnsi="Times New Roman" w:cs="Times New Roman"/>
          <w:lang w:val="en-US"/>
        </w:rPr>
        <w:t>26th</w:t>
      </w:r>
      <w:r w:rsidRPr="0008429D">
        <w:rPr>
          <w:rFonts w:ascii="Times New Roman" w:hAnsi="Times New Roman" w:cs="Times New Roman"/>
          <w:lang w:val="en-US"/>
        </w:rPr>
        <w:t xml:space="preserve">, 2026. </w:t>
      </w:r>
      <w:hyperlink r:id="rId13" w:tgtFrame="_new" w:history="1">
        <w:r w:rsidRPr="0008429D">
          <w:rPr>
            <w:rStyle w:val="Hyperlink"/>
            <w:rFonts w:ascii="Times New Roman" w:hAnsi="Times New Roman" w:cs="Times New Roman"/>
            <w:lang w:val="en-US"/>
          </w:rPr>
          <w:t>https://bold.dk/fodbold/klubber</w:t>
        </w:r>
      </w:hyperlink>
    </w:p>
    <w:p w14:paraId="55FDBE82" w14:textId="77777777" w:rsidR="00246320" w:rsidRPr="00384E8F" w:rsidRDefault="00246320" w:rsidP="00F71967">
      <w:pPr>
        <w:rPr>
          <w:rFonts w:ascii="Times New Roman" w:hAnsi="Times New Roman" w:cs="Times New Roman"/>
          <w:b/>
          <w:bCs/>
          <w:lang w:val="en-US"/>
        </w:rPr>
      </w:pPr>
    </w:p>
    <w:p w14:paraId="7D16EE0F" w14:textId="365495EF" w:rsidR="00414D2F" w:rsidRPr="00384E8F" w:rsidRDefault="00414D2F" w:rsidP="00F71967">
      <w:pPr>
        <w:rPr>
          <w:rFonts w:ascii="Times New Roman" w:hAnsi="Times New Roman" w:cs="Times New Roman"/>
          <w:b/>
          <w:bCs/>
          <w:lang w:val="de-DE"/>
        </w:rPr>
      </w:pPr>
      <w:proofErr w:type="spellStart"/>
      <w:r w:rsidRPr="00384E8F">
        <w:rPr>
          <w:rFonts w:ascii="Times New Roman" w:hAnsi="Times New Roman" w:cs="Times New Roman"/>
          <w:b/>
          <w:bCs/>
          <w:lang w:val="de-DE"/>
        </w:rPr>
        <w:t>Prtf</w:t>
      </w:r>
      <w:proofErr w:type="spellEnd"/>
      <w:r w:rsidRPr="00384E8F">
        <w:rPr>
          <w:rFonts w:ascii="Times New Roman" w:hAnsi="Times New Roman" w:cs="Times New Roman"/>
          <w:b/>
          <w:bCs/>
          <w:lang w:val="de-DE"/>
        </w:rPr>
        <w:t>. 4 (</w:t>
      </w:r>
      <w:proofErr w:type="spellStart"/>
      <w:r w:rsidRPr="00384E8F">
        <w:rPr>
          <w:rFonts w:ascii="Times New Roman" w:hAnsi="Times New Roman" w:cs="Times New Roman"/>
          <w:b/>
          <w:bCs/>
          <w:lang w:val="de-DE"/>
        </w:rPr>
        <w:t>week</w:t>
      </w:r>
      <w:proofErr w:type="spellEnd"/>
      <w:r w:rsidRPr="00384E8F">
        <w:rPr>
          <w:rFonts w:ascii="Times New Roman" w:hAnsi="Times New Roman" w:cs="Times New Roman"/>
          <w:b/>
          <w:bCs/>
          <w:lang w:val="de-DE"/>
        </w:rPr>
        <w:t xml:space="preserve"> 17):</w:t>
      </w:r>
    </w:p>
    <w:p w14:paraId="5973BA02" w14:textId="77777777" w:rsidR="00F71967" w:rsidRPr="00384E8F" w:rsidRDefault="00F71967" w:rsidP="00F71967">
      <w:pPr>
        <w:rPr>
          <w:rFonts w:ascii="Times New Roman" w:hAnsi="Times New Roman" w:cs="Times New Roman"/>
          <w:lang w:val="en-US"/>
        </w:rPr>
      </w:pPr>
      <w:r w:rsidRPr="00384E8F">
        <w:rPr>
          <w:rFonts w:ascii="Times New Roman" w:hAnsi="Times New Roman" w:cs="Times New Roman"/>
          <w:lang w:val="de-DE"/>
        </w:rPr>
        <w:t xml:space="preserve">Boder, David P. </w:t>
      </w:r>
      <w:r w:rsidRPr="00384E8F">
        <w:rPr>
          <w:rFonts w:ascii="Times New Roman" w:hAnsi="Times New Roman" w:cs="Times New Roman"/>
          <w:i/>
          <w:iCs/>
          <w:lang w:val="de-DE"/>
        </w:rPr>
        <w:t>“David P. Boder Interviews Esther Freilich, August 9, 1946, Paris, France.”</w:t>
      </w:r>
      <w:r w:rsidRPr="00384E8F">
        <w:rPr>
          <w:rFonts w:ascii="Times New Roman" w:hAnsi="Times New Roman" w:cs="Times New Roman"/>
          <w:lang w:val="de-DE"/>
        </w:rPr>
        <w:t xml:space="preserve"> </w:t>
      </w:r>
      <w:r w:rsidRPr="00384E8F">
        <w:rPr>
          <w:rFonts w:ascii="Times New Roman" w:hAnsi="Times New Roman" w:cs="Times New Roman"/>
          <w:lang w:val="en-US"/>
        </w:rPr>
        <w:t>Interview. aviary. August 9, 1946.</w:t>
      </w:r>
      <w:hyperlink r:id="rId14" w:history="1">
        <w:r w:rsidRPr="00384E8F">
          <w:rPr>
            <w:rStyle w:val="Hyperlink"/>
            <w:rFonts w:ascii="Times New Roman" w:hAnsi="Times New Roman" w:cs="Times New Roman"/>
            <w:lang w:val="en-US"/>
          </w:rPr>
          <w:t xml:space="preserve"> https://iit.aviaryplatform.com/collections/231/collection_resources/17608</w:t>
        </w:r>
      </w:hyperlink>
    </w:p>
    <w:p w14:paraId="47B3B63E" w14:textId="77777777" w:rsidR="00F71967" w:rsidRPr="00384E8F" w:rsidRDefault="00F71967" w:rsidP="00F71967">
      <w:pPr>
        <w:rPr>
          <w:rFonts w:ascii="Times New Roman" w:hAnsi="Times New Roman" w:cs="Times New Roman"/>
        </w:rPr>
      </w:pPr>
      <w:proofErr w:type="spellStart"/>
      <w:r w:rsidRPr="00384E8F">
        <w:rPr>
          <w:rFonts w:ascii="Times New Roman" w:hAnsi="Times New Roman" w:cs="Times New Roman"/>
        </w:rPr>
        <w:t>Brügger</w:t>
      </w:r>
      <w:proofErr w:type="spellEnd"/>
      <w:r w:rsidRPr="00384E8F">
        <w:rPr>
          <w:rFonts w:ascii="Times New Roman" w:hAnsi="Times New Roman" w:cs="Times New Roman"/>
        </w:rPr>
        <w:t xml:space="preserve">, Niels </w:t>
      </w:r>
      <w:proofErr w:type="spellStart"/>
      <w:r w:rsidRPr="00384E8F">
        <w:rPr>
          <w:rFonts w:ascii="Times New Roman" w:hAnsi="Times New Roman" w:cs="Times New Roman"/>
        </w:rPr>
        <w:t>Brügger</w:t>
      </w:r>
      <w:proofErr w:type="spellEnd"/>
      <w:r w:rsidRPr="00384E8F">
        <w:rPr>
          <w:rFonts w:ascii="Times New Roman" w:hAnsi="Times New Roman" w:cs="Times New Roman"/>
        </w:rPr>
        <w:t xml:space="preserve">. “Digital historie og arkiveret web som historisk kilde.” </w:t>
      </w:r>
      <w:proofErr w:type="spellStart"/>
      <w:r w:rsidRPr="00384E8F">
        <w:rPr>
          <w:rFonts w:ascii="Times New Roman" w:hAnsi="Times New Roman" w:cs="Times New Roman"/>
          <w:i/>
          <w:iCs/>
        </w:rPr>
        <w:t>Temp</w:t>
      </w:r>
      <w:proofErr w:type="spellEnd"/>
      <w:r w:rsidRPr="00384E8F">
        <w:rPr>
          <w:rFonts w:ascii="Times New Roman" w:hAnsi="Times New Roman" w:cs="Times New Roman"/>
          <w:i/>
          <w:iCs/>
        </w:rPr>
        <w:t xml:space="preserve"> – Tidsskrift for Historie</w:t>
      </w:r>
      <w:r w:rsidRPr="00384E8F">
        <w:rPr>
          <w:rFonts w:ascii="Times New Roman" w:hAnsi="Times New Roman" w:cs="Times New Roman"/>
        </w:rPr>
        <w:t xml:space="preserve"> 7, no. 14 (2017): 10–29.</w:t>
      </w:r>
    </w:p>
    <w:p w14:paraId="5463485B" w14:textId="77777777" w:rsidR="00F71967" w:rsidRPr="00384E8F" w:rsidRDefault="00F71967" w:rsidP="00F71967">
      <w:pPr>
        <w:rPr>
          <w:rFonts w:ascii="Times New Roman" w:hAnsi="Times New Roman" w:cs="Times New Roman"/>
          <w:lang w:val="en-US"/>
        </w:rPr>
      </w:pPr>
      <w:r w:rsidRPr="00384E8F">
        <w:rPr>
          <w:rFonts w:ascii="Times New Roman" w:hAnsi="Times New Roman" w:cs="Times New Roman"/>
        </w:rPr>
        <w:t xml:space="preserve">Jensen, Helle Strandgaard Jensen. “Digital </w:t>
      </w:r>
      <w:proofErr w:type="spellStart"/>
      <w:r w:rsidRPr="00384E8F">
        <w:rPr>
          <w:rFonts w:ascii="Times New Roman" w:hAnsi="Times New Roman" w:cs="Times New Roman"/>
        </w:rPr>
        <w:t>Archival</w:t>
      </w:r>
      <w:proofErr w:type="spellEnd"/>
      <w:r w:rsidRPr="00384E8F">
        <w:rPr>
          <w:rFonts w:ascii="Times New Roman" w:hAnsi="Times New Roman" w:cs="Times New Roman"/>
        </w:rPr>
        <w:t xml:space="preserve"> </w:t>
      </w:r>
      <w:proofErr w:type="spellStart"/>
      <w:r w:rsidRPr="00384E8F">
        <w:rPr>
          <w:rFonts w:ascii="Times New Roman" w:hAnsi="Times New Roman" w:cs="Times New Roman"/>
        </w:rPr>
        <w:t>Literacy</w:t>
      </w:r>
      <w:proofErr w:type="spellEnd"/>
      <w:r w:rsidRPr="00384E8F">
        <w:rPr>
          <w:rFonts w:ascii="Times New Roman" w:hAnsi="Times New Roman" w:cs="Times New Roman"/>
        </w:rPr>
        <w:t xml:space="preserve"> for (All) </w:t>
      </w:r>
      <w:proofErr w:type="spellStart"/>
      <w:r w:rsidRPr="00384E8F">
        <w:rPr>
          <w:rFonts w:ascii="Times New Roman" w:hAnsi="Times New Roman" w:cs="Times New Roman"/>
        </w:rPr>
        <w:t>Historians</w:t>
      </w:r>
      <w:proofErr w:type="spellEnd"/>
      <w:r w:rsidRPr="00384E8F">
        <w:rPr>
          <w:rFonts w:ascii="Times New Roman" w:hAnsi="Times New Roman" w:cs="Times New Roman"/>
        </w:rPr>
        <w:t xml:space="preserve">.” </w:t>
      </w:r>
      <w:r w:rsidRPr="00384E8F">
        <w:rPr>
          <w:rFonts w:ascii="Times New Roman" w:hAnsi="Times New Roman" w:cs="Times New Roman"/>
          <w:i/>
          <w:iCs/>
          <w:lang w:val="en-US"/>
        </w:rPr>
        <w:t>Media History</w:t>
      </w:r>
      <w:r w:rsidRPr="00384E8F">
        <w:rPr>
          <w:rFonts w:ascii="Times New Roman" w:hAnsi="Times New Roman" w:cs="Times New Roman"/>
          <w:lang w:val="en-US"/>
        </w:rPr>
        <w:t>, 2020. https://doi.org/10.1080/13688804.2020.1779047.</w:t>
      </w:r>
    </w:p>
    <w:p w14:paraId="7FDBB11B" w14:textId="77777777" w:rsidR="00F71967" w:rsidRPr="00384E8F" w:rsidRDefault="00F71967" w:rsidP="00F71967">
      <w:pPr>
        <w:rPr>
          <w:rFonts w:ascii="Times New Roman" w:hAnsi="Times New Roman" w:cs="Times New Roman"/>
          <w:lang w:val="en-US"/>
        </w:rPr>
      </w:pPr>
      <w:r w:rsidRPr="00384E8F">
        <w:rPr>
          <w:rFonts w:ascii="Times New Roman" w:hAnsi="Times New Roman" w:cs="Times New Roman"/>
          <w:lang w:val="en-US"/>
        </w:rPr>
        <w:t xml:space="preserve">Johnson, Jessica Marie Johnson. “Markup Bodies: Black [Life] Studies and Slavery [Death] Studies at the Digital Crossroads.” </w:t>
      </w:r>
      <w:r w:rsidRPr="00384E8F">
        <w:rPr>
          <w:rFonts w:ascii="Times New Roman" w:hAnsi="Times New Roman" w:cs="Times New Roman"/>
          <w:i/>
          <w:iCs/>
          <w:lang w:val="en-US"/>
        </w:rPr>
        <w:t>Social Text</w:t>
      </w:r>
      <w:r w:rsidRPr="00384E8F">
        <w:rPr>
          <w:rFonts w:ascii="Times New Roman" w:hAnsi="Times New Roman" w:cs="Times New Roman"/>
          <w:lang w:val="en-US"/>
        </w:rPr>
        <w:t xml:space="preserve"> 36, no. 4 (2018): 57–79.</w:t>
      </w:r>
    </w:p>
    <w:p w14:paraId="2A266826" w14:textId="77777777" w:rsidR="00F71967" w:rsidRPr="00384E8F" w:rsidRDefault="00F71967" w:rsidP="00F71967">
      <w:pPr>
        <w:rPr>
          <w:rFonts w:ascii="Times New Roman" w:hAnsi="Times New Roman" w:cs="Times New Roman"/>
          <w:lang w:val="en-US"/>
        </w:rPr>
      </w:pPr>
      <w:r w:rsidRPr="00384E8F">
        <w:rPr>
          <w:rFonts w:ascii="Times New Roman" w:hAnsi="Times New Roman" w:cs="Times New Roman"/>
          <w:lang w:val="en-US"/>
        </w:rPr>
        <w:t xml:space="preserve">Kelley, Sean M. Kelley. “DB or Not DB: Writing the History of the Slave Trade to North America in the Era of the Database.” </w:t>
      </w:r>
      <w:r w:rsidRPr="00384E8F">
        <w:rPr>
          <w:rFonts w:ascii="Times New Roman" w:hAnsi="Times New Roman" w:cs="Times New Roman"/>
          <w:i/>
          <w:iCs/>
          <w:lang w:val="en-US"/>
        </w:rPr>
        <w:t>History Compass</w:t>
      </w:r>
      <w:r w:rsidRPr="00384E8F">
        <w:rPr>
          <w:rFonts w:ascii="Times New Roman" w:hAnsi="Times New Roman" w:cs="Times New Roman"/>
          <w:lang w:val="en-US"/>
        </w:rPr>
        <w:t xml:space="preserve"> 17, no. 5 (2019): 1–8.</w:t>
      </w:r>
    </w:p>
    <w:p w14:paraId="4F2DCFE2" w14:textId="6B6BE691" w:rsidR="00EA3E6A" w:rsidRPr="00384E8F" w:rsidRDefault="00EA3E6A" w:rsidP="00F71967">
      <w:pPr>
        <w:rPr>
          <w:rFonts w:ascii="Times New Roman" w:hAnsi="Times New Roman" w:cs="Times New Roman"/>
          <w:lang w:val="en-US"/>
        </w:rPr>
      </w:pPr>
      <w:r w:rsidRPr="00384E8F">
        <w:rPr>
          <w:rFonts w:ascii="Times New Roman" w:hAnsi="Times New Roman" w:cs="Times New Roman"/>
          <w:lang w:val="en-US"/>
        </w:rPr>
        <w:lastRenderedPageBreak/>
        <w:t xml:space="preserve">Presner, Todd. </w:t>
      </w:r>
      <w:r w:rsidRPr="00384E8F">
        <w:rPr>
          <w:rFonts w:ascii="Times New Roman" w:hAnsi="Times New Roman" w:cs="Times New Roman"/>
          <w:i/>
          <w:iCs/>
          <w:lang w:val="en-US"/>
        </w:rPr>
        <w:t>Ethics of the Algorithm: Holocaust Testimony and the Digital Archive</w:t>
      </w:r>
      <w:r w:rsidRPr="00384E8F">
        <w:rPr>
          <w:rFonts w:ascii="Times New Roman" w:hAnsi="Times New Roman" w:cs="Times New Roman"/>
          <w:lang w:val="en-US"/>
        </w:rPr>
        <w:t>. Princeton: Princeton University Press, 2024.</w:t>
      </w:r>
    </w:p>
    <w:p w14:paraId="1F896FE4" w14:textId="77777777" w:rsidR="00F71967" w:rsidRPr="00384E8F" w:rsidRDefault="00F71967" w:rsidP="00F71967">
      <w:pPr>
        <w:rPr>
          <w:rFonts w:ascii="Times New Roman" w:hAnsi="Times New Roman" w:cs="Times New Roman"/>
        </w:rPr>
      </w:pPr>
      <w:r w:rsidRPr="00384E8F">
        <w:rPr>
          <w:rFonts w:ascii="Times New Roman" w:hAnsi="Times New Roman" w:cs="Times New Roman"/>
          <w:lang w:val="en-US"/>
        </w:rPr>
        <w:t xml:space="preserve">Schriver, Astrid Ølgaard Christensen Schriver, and Helle Strandgaard Jensen. </w:t>
      </w:r>
      <w:r w:rsidRPr="00384E8F">
        <w:rPr>
          <w:rFonts w:ascii="Times New Roman" w:hAnsi="Times New Roman" w:cs="Times New Roman"/>
        </w:rPr>
        <w:t xml:space="preserve">“Arkivets digitalisering. En ny udfordring til historisk metode?” </w:t>
      </w:r>
      <w:proofErr w:type="spellStart"/>
      <w:r w:rsidRPr="00384E8F">
        <w:rPr>
          <w:rFonts w:ascii="Times New Roman" w:hAnsi="Times New Roman" w:cs="Times New Roman"/>
          <w:i/>
          <w:iCs/>
        </w:rPr>
        <w:t>Temp</w:t>
      </w:r>
      <w:proofErr w:type="spellEnd"/>
      <w:r w:rsidRPr="00384E8F">
        <w:rPr>
          <w:rFonts w:ascii="Times New Roman" w:hAnsi="Times New Roman" w:cs="Times New Roman"/>
          <w:i/>
          <w:iCs/>
        </w:rPr>
        <w:t xml:space="preserve"> – Tidsskrift for Historie</w:t>
      </w:r>
      <w:r w:rsidRPr="00384E8F">
        <w:rPr>
          <w:rFonts w:ascii="Times New Roman" w:hAnsi="Times New Roman" w:cs="Times New Roman"/>
        </w:rPr>
        <w:t xml:space="preserve"> 13, no. 25 (2022): 5–27.</w:t>
      </w:r>
    </w:p>
    <w:p w14:paraId="4C811B69" w14:textId="77777777" w:rsidR="00F71967" w:rsidRPr="00384E8F" w:rsidRDefault="00F71967">
      <w:pPr>
        <w:rPr>
          <w:rFonts w:ascii="Times New Roman" w:hAnsi="Times New Roman" w:cs="Times New Roman"/>
        </w:rPr>
      </w:pPr>
    </w:p>
    <w:p w14:paraId="28304AEF" w14:textId="77777777" w:rsidR="004A1F81" w:rsidRPr="00F71967" w:rsidRDefault="004A1F81">
      <w:pPr>
        <w:rPr>
          <w:rFonts w:ascii="Calibri" w:hAnsi="Calibri" w:cs="Calibri"/>
        </w:rPr>
      </w:pPr>
    </w:p>
    <w:p w14:paraId="330CD796" w14:textId="1A21668B" w:rsidR="004A1F81" w:rsidRPr="00F71967" w:rsidRDefault="004A1F81">
      <w:pPr>
        <w:rPr>
          <w:rFonts w:ascii="Calibri" w:hAnsi="Calibri" w:cs="Calibri"/>
        </w:rPr>
      </w:pPr>
      <w:r w:rsidRPr="00F71967">
        <w:rPr>
          <w:rFonts w:ascii="Calibri" w:hAnsi="Calibri" w:cs="Calibri"/>
        </w:rPr>
        <w:t xml:space="preserve"> </w:t>
      </w:r>
    </w:p>
    <w:sectPr w:rsidR="004A1F81" w:rsidRPr="00F71967">
      <w:head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0901" w14:textId="77777777" w:rsidR="00A07E58" w:rsidRDefault="00A07E58" w:rsidP="00D35B02">
      <w:pPr>
        <w:spacing w:after="0" w:line="240" w:lineRule="auto"/>
      </w:pPr>
      <w:r>
        <w:separator/>
      </w:r>
    </w:p>
  </w:endnote>
  <w:endnote w:type="continuationSeparator" w:id="0">
    <w:p w14:paraId="5FCCD2CF" w14:textId="77777777" w:rsidR="00A07E58" w:rsidRDefault="00A07E58" w:rsidP="00D35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2C18" w14:textId="77777777" w:rsidR="00A07E58" w:rsidRDefault="00A07E58" w:rsidP="00D35B02">
      <w:pPr>
        <w:spacing w:after="0" w:line="240" w:lineRule="auto"/>
      </w:pPr>
      <w:r>
        <w:separator/>
      </w:r>
    </w:p>
  </w:footnote>
  <w:footnote w:type="continuationSeparator" w:id="0">
    <w:p w14:paraId="3DFC992B" w14:textId="77777777" w:rsidR="00A07E58" w:rsidRDefault="00A07E58" w:rsidP="00D35B02">
      <w:pPr>
        <w:spacing w:after="0" w:line="240" w:lineRule="auto"/>
      </w:pPr>
      <w:r>
        <w:continuationSeparator/>
      </w:r>
    </w:p>
  </w:footnote>
  <w:footnote w:id="1">
    <w:p w14:paraId="7F5EBD52" w14:textId="71CEC5F0" w:rsidR="001E30A7" w:rsidRPr="003D47C4" w:rsidRDefault="001E30A7">
      <w:pPr>
        <w:pStyle w:val="Fodnotetekst"/>
        <w:rPr>
          <w:lang w:val="en-US"/>
        </w:rPr>
      </w:pPr>
      <w:r>
        <w:rPr>
          <w:rStyle w:val="Fodnotehenvisning"/>
        </w:rPr>
        <w:footnoteRef/>
      </w:r>
      <w:r w:rsidRPr="003D47C4">
        <w:rPr>
          <w:lang w:val="en-US"/>
        </w:rPr>
        <w:t xml:space="preserve"> </w:t>
      </w:r>
      <w:r w:rsidR="003D47C4" w:rsidRPr="00084C98">
        <w:rPr>
          <w:lang w:val="en-US"/>
        </w:rPr>
        <w:t>Helle Strandgaard Jensen, “Digital Archival Literacy for (All) Historians,” Media History 27, no. 2 (2021): p. 1–2.</w:t>
      </w:r>
    </w:p>
  </w:footnote>
  <w:footnote w:id="2">
    <w:p w14:paraId="39BE4C60" w14:textId="3D0330EE" w:rsidR="001E30A7" w:rsidRPr="002B20BC" w:rsidRDefault="001E30A7">
      <w:pPr>
        <w:pStyle w:val="Fodnotetekst"/>
        <w:rPr>
          <w:lang w:val="en-US"/>
        </w:rPr>
      </w:pPr>
      <w:r>
        <w:rPr>
          <w:rStyle w:val="Fodnotehenvisning"/>
        </w:rPr>
        <w:footnoteRef/>
      </w:r>
      <w:r w:rsidRPr="002B20BC">
        <w:rPr>
          <w:lang w:val="en-US"/>
        </w:rPr>
        <w:t xml:space="preserve"> </w:t>
      </w:r>
      <w:r w:rsidR="00237660" w:rsidRPr="001E30A7">
        <w:rPr>
          <w:lang w:val="en-US"/>
        </w:rPr>
        <w:t>Jensen, “Digital Archival Literacy”, p. 5–6.</w:t>
      </w:r>
    </w:p>
  </w:footnote>
  <w:footnote w:id="3">
    <w:p w14:paraId="61E71FD6" w14:textId="04D0B400" w:rsidR="001E30A7" w:rsidRPr="00237660" w:rsidRDefault="001E30A7">
      <w:pPr>
        <w:pStyle w:val="Fodnotetekst"/>
        <w:rPr>
          <w:lang w:val="en-US"/>
        </w:rPr>
      </w:pPr>
      <w:r>
        <w:rPr>
          <w:rStyle w:val="Fodnotehenvisning"/>
        </w:rPr>
        <w:footnoteRef/>
      </w:r>
      <w:r w:rsidRPr="002B20BC">
        <w:rPr>
          <w:lang w:val="en-US"/>
        </w:rPr>
        <w:t xml:space="preserve"> </w:t>
      </w:r>
      <w:r w:rsidR="00237660" w:rsidRPr="001E30A7">
        <w:rPr>
          <w:lang w:val="en-US"/>
        </w:rPr>
        <w:t>Jensen, “Digital Archival Literacy”, p. 7–9.</w:t>
      </w:r>
    </w:p>
  </w:footnote>
  <w:footnote w:id="4">
    <w:p w14:paraId="4D3FC475" w14:textId="47C65DE4" w:rsidR="003D47C4" w:rsidRPr="002B20BC" w:rsidRDefault="003D47C4">
      <w:pPr>
        <w:pStyle w:val="Fodnotetekst"/>
        <w:rPr>
          <w:lang w:val="en-US"/>
        </w:rPr>
      </w:pPr>
      <w:r>
        <w:rPr>
          <w:rStyle w:val="Fodnotehenvisning"/>
        </w:rPr>
        <w:footnoteRef/>
      </w:r>
      <w:r w:rsidRPr="009E6762">
        <w:rPr>
          <w:lang w:val="en-US"/>
        </w:rPr>
        <w:t xml:space="preserve"> </w:t>
      </w:r>
      <w:r w:rsidR="009E6762" w:rsidRPr="0040661F">
        <w:rPr>
          <w:lang w:val="en-US"/>
        </w:rPr>
        <w:t xml:space="preserve">Astrid Ølgaard Christensen Schriver and Helle Strandgaard Jensen, “Digitization of Archives: A New Challenge to Historical Methods?” </w:t>
      </w:r>
      <w:r w:rsidR="009E6762" w:rsidRPr="002B20BC">
        <w:rPr>
          <w:lang w:val="en-US"/>
        </w:rPr>
        <w:t xml:space="preserve">TEMP – </w:t>
      </w:r>
      <w:proofErr w:type="spellStart"/>
      <w:r w:rsidR="009E6762" w:rsidRPr="002B20BC">
        <w:rPr>
          <w:lang w:val="en-US"/>
        </w:rPr>
        <w:t>Tidsskrift</w:t>
      </w:r>
      <w:proofErr w:type="spellEnd"/>
      <w:r w:rsidR="009E6762" w:rsidRPr="002B20BC">
        <w:rPr>
          <w:lang w:val="en-US"/>
        </w:rPr>
        <w:t xml:space="preserve"> for </w:t>
      </w:r>
      <w:proofErr w:type="spellStart"/>
      <w:r w:rsidR="009E6762" w:rsidRPr="002B20BC">
        <w:rPr>
          <w:lang w:val="en-US"/>
        </w:rPr>
        <w:t>Historie</w:t>
      </w:r>
      <w:proofErr w:type="spellEnd"/>
      <w:r w:rsidR="009E6762" w:rsidRPr="002B20BC">
        <w:rPr>
          <w:lang w:val="en-US"/>
        </w:rPr>
        <w:t xml:space="preserve"> 23 (2022): p. 9–11.</w:t>
      </w:r>
    </w:p>
  </w:footnote>
  <w:footnote w:id="5">
    <w:p w14:paraId="555AD17D" w14:textId="19DB9007" w:rsidR="004E2F9A" w:rsidRPr="002B20BC" w:rsidRDefault="004E2F9A">
      <w:pPr>
        <w:pStyle w:val="Fodnotetekst"/>
        <w:rPr>
          <w:lang w:val="en-US"/>
        </w:rPr>
      </w:pPr>
      <w:r>
        <w:rPr>
          <w:rStyle w:val="Fodnotehenvisning"/>
        </w:rPr>
        <w:footnoteRef/>
      </w:r>
      <w:r w:rsidRPr="002B20BC">
        <w:rPr>
          <w:lang w:val="en-US"/>
        </w:rPr>
        <w:t xml:space="preserve"> </w:t>
      </w:r>
      <w:r w:rsidR="00440046" w:rsidRPr="002B20BC">
        <w:rPr>
          <w:lang w:val="en-US"/>
        </w:rPr>
        <w:t>David P. Boder, “David P. Boder Interviews Esther Freilich, August 9, 1946, Paris, France,” interview, Aviary, August 9, 1946</w:t>
      </w:r>
    </w:p>
  </w:footnote>
  <w:footnote w:id="6">
    <w:p w14:paraId="2AC2B363" w14:textId="27A9AA1D" w:rsidR="004E2F9A" w:rsidRPr="00E241E5" w:rsidRDefault="004E2F9A">
      <w:pPr>
        <w:pStyle w:val="Fodnotetekst"/>
        <w:rPr>
          <w:lang w:val="de-DE"/>
        </w:rPr>
      </w:pPr>
      <w:r>
        <w:rPr>
          <w:rStyle w:val="Fodnotehenvisning"/>
        </w:rPr>
        <w:footnoteRef/>
      </w:r>
      <w:r w:rsidRPr="00E241E5">
        <w:rPr>
          <w:lang w:val="de-DE"/>
        </w:rPr>
        <w:t xml:space="preserve"> </w:t>
      </w:r>
      <w:r w:rsidR="00E241E5" w:rsidRPr="00E241E5">
        <w:rPr>
          <w:lang w:val="de-DE"/>
        </w:rPr>
        <w:t xml:space="preserve">Boder, </w:t>
      </w:r>
      <w:r w:rsidR="00E241E5" w:rsidRPr="00E241E5">
        <w:rPr>
          <w:i/>
          <w:iCs/>
          <w:lang w:val="de-DE"/>
        </w:rPr>
        <w:t>“Boder Interviews Esther Freilich.”</w:t>
      </w:r>
    </w:p>
  </w:footnote>
  <w:footnote w:id="7">
    <w:p w14:paraId="44F39BCD" w14:textId="1731630D" w:rsidR="004E2F9A" w:rsidRPr="00E241E5" w:rsidRDefault="004E2F9A">
      <w:pPr>
        <w:pStyle w:val="Fodnotetekst"/>
        <w:rPr>
          <w:lang w:val="de-DE"/>
        </w:rPr>
      </w:pPr>
      <w:r>
        <w:rPr>
          <w:rStyle w:val="Fodnotehenvisning"/>
        </w:rPr>
        <w:footnoteRef/>
      </w:r>
      <w:r w:rsidRPr="00E241E5">
        <w:rPr>
          <w:lang w:val="de-DE"/>
        </w:rPr>
        <w:t xml:space="preserve"> </w:t>
      </w:r>
      <w:r w:rsidR="00E241E5" w:rsidRPr="00E241E5">
        <w:rPr>
          <w:lang w:val="de-DE"/>
        </w:rPr>
        <w:t xml:space="preserve">Boder, </w:t>
      </w:r>
      <w:r w:rsidR="00E241E5" w:rsidRPr="00E241E5">
        <w:rPr>
          <w:i/>
          <w:iCs/>
          <w:lang w:val="de-DE"/>
        </w:rPr>
        <w:t>“Boder Interviews Esther Freilich.”</w:t>
      </w:r>
    </w:p>
  </w:footnote>
  <w:footnote w:id="8">
    <w:p w14:paraId="23A4CD88" w14:textId="3CE4A9EA" w:rsidR="005054AB" w:rsidRPr="0054745F" w:rsidRDefault="005054AB">
      <w:pPr>
        <w:pStyle w:val="Fodnotetekst"/>
        <w:rPr>
          <w:lang w:val="de-DE"/>
        </w:rPr>
      </w:pPr>
      <w:r>
        <w:rPr>
          <w:rStyle w:val="Fodnotehenvisning"/>
        </w:rPr>
        <w:footnoteRef/>
      </w:r>
      <w:r w:rsidRPr="0054745F">
        <w:rPr>
          <w:lang w:val="de-DE"/>
        </w:rPr>
        <w:t xml:space="preserve"> </w:t>
      </w:r>
      <w:r w:rsidR="0054745F" w:rsidRPr="00E241E5">
        <w:rPr>
          <w:lang w:val="de-DE"/>
        </w:rPr>
        <w:t xml:space="preserve">Boder, </w:t>
      </w:r>
      <w:r w:rsidR="0054745F" w:rsidRPr="00E241E5">
        <w:rPr>
          <w:i/>
          <w:iCs/>
          <w:lang w:val="de-DE"/>
        </w:rPr>
        <w:t>“Boder Interviews Esther Freilich</w:t>
      </w:r>
      <w:r w:rsidR="0088739A">
        <w:rPr>
          <w:i/>
          <w:iCs/>
          <w:lang w:val="de-DE"/>
        </w:rPr>
        <w:t xml:space="preserve">“. </w:t>
      </w:r>
    </w:p>
  </w:footnote>
  <w:footnote w:id="9">
    <w:p w14:paraId="6D253EEA" w14:textId="6C369BA3" w:rsidR="00F14D55" w:rsidRPr="00F14D55" w:rsidRDefault="00F14D55">
      <w:pPr>
        <w:pStyle w:val="Fodnotetekst"/>
        <w:rPr>
          <w:lang w:val="en-US"/>
        </w:rPr>
      </w:pPr>
      <w:r>
        <w:rPr>
          <w:rStyle w:val="Fodnotehenvisning"/>
        </w:rPr>
        <w:footnoteRef/>
      </w:r>
      <w:r w:rsidRPr="00F14D55">
        <w:rPr>
          <w:lang w:val="en-US"/>
        </w:rPr>
        <w:t xml:space="preserve"> </w:t>
      </w:r>
      <w:r w:rsidRPr="002E4F51">
        <w:rPr>
          <w:lang w:val="en-US"/>
        </w:rPr>
        <w:t xml:space="preserve">Niels Brügger, </w:t>
      </w:r>
      <w:r w:rsidRPr="002E4F51">
        <w:rPr>
          <w:i/>
          <w:iCs/>
          <w:lang w:val="en-US"/>
        </w:rPr>
        <w:t>“Digital History and the Archived Web as Historical Source”</w:t>
      </w:r>
      <w:r w:rsidRPr="002E4F51">
        <w:rPr>
          <w:lang w:val="en-US"/>
        </w:rPr>
        <w:t xml:space="preserve"> (Aarhus University, 2019),</w:t>
      </w:r>
      <w:r>
        <w:rPr>
          <w:lang w:val="en-US"/>
        </w:rPr>
        <w:t xml:space="preserve"> p.</w:t>
      </w:r>
      <w:r w:rsidRPr="002E4F51">
        <w:rPr>
          <w:lang w:val="en-US"/>
        </w:rPr>
        <w:t xml:space="preserve"> 11.</w:t>
      </w:r>
    </w:p>
  </w:footnote>
  <w:footnote w:id="10">
    <w:p w14:paraId="24C3BBA9" w14:textId="4ACBE139" w:rsidR="00EC1718" w:rsidRPr="00EC1718" w:rsidRDefault="00EC1718">
      <w:pPr>
        <w:pStyle w:val="Fodnotetekst"/>
        <w:rPr>
          <w:lang w:val="en-US"/>
        </w:rPr>
      </w:pPr>
      <w:r>
        <w:rPr>
          <w:rStyle w:val="Fodnotehenvisning"/>
        </w:rPr>
        <w:footnoteRef/>
      </w:r>
      <w:r w:rsidRPr="00EC1718">
        <w:rPr>
          <w:lang w:val="en-US"/>
        </w:rPr>
        <w:t xml:space="preserve"> </w:t>
      </w:r>
      <w:r w:rsidRPr="002E4F51">
        <w:rPr>
          <w:lang w:val="en-US"/>
        </w:rPr>
        <w:t xml:space="preserve">Sean M. Kelley, “DB or Not DB: Writing the History of the Slave Trade to North America in the Era of the Database,” </w:t>
      </w:r>
      <w:r w:rsidRPr="002E4F51">
        <w:rPr>
          <w:i/>
          <w:iCs/>
          <w:lang w:val="en-US"/>
        </w:rPr>
        <w:t>History Compass</w:t>
      </w:r>
      <w:r w:rsidRPr="002E4F51">
        <w:rPr>
          <w:lang w:val="en-US"/>
        </w:rPr>
        <w:t xml:space="preserve"> 17, no. 5 (2019): e12530.</w:t>
      </w:r>
    </w:p>
  </w:footnote>
  <w:footnote w:id="11">
    <w:p w14:paraId="424002FC" w14:textId="3D4BC565" w:rsidR="00417CD2" w:rsidRPr="00124C41" w:rsidRDefault="00417CD2">
      <w:pPr>
        <w:pStyle w:val="Fodnotetekst"/>
        <w:rPr>
          <w:lang w:val="de-DE"/>
        </w:rPr>
      </w:pPr>
      <w:r>
        <w:rPr>
          <w:rStyle w:val="Fodnotehenvisning"/>
        </w:rPr>
        <w:footnoteRef/>
      </w:r>
      <w:r w:rsidRPr="00124C41">
        <w:rPr>
          <w:lang w:val="de-DE"/>
        </w:rPr>
        <w:t xml:space="preserve"> Brügger, </w:t>
      </w:r>
      <w:r w:rsidRPr="00124C41">
        <w:rPr>
          <w:i/>
          <w:iCs/>
          <w:lang w:val="de-DE"/>
        </w:rPr>
        <w:t xml:space="preserve">“Digital </w:t>
      </w:r>
      <w:proofErr w:type="spellStart"/>
      <w:r w:rsidRPr="00124C41">
        <w:rPr>
          <w:i/>
          <w:iCs/>
          <w:lang w:val="de-DE"/>
        </w:rPr>
        <w:t>History</w:t>
      </w:r>
      <w:proofErr w:type="spellEnd"/>
      <w:r w:rsidRPr="00124C41">
        <w:rPr>
          <w:i/>
          <w:iCs/>
          <w:lang w:val="de-DE"/>
        </w:rPr>
        <w:t>,”</w:t>
      </w:r>
      <w:r w:rsidRPr="00124C41">
        <w:rPr>
          <w:lang w:val="de-DE"/>
        </w:rPr>
        <w:t xml:space="preserve"> p. 11-12.</w:t>
      </w:r>
    </w:p>
  </w:footnote>
  <w:footnote w:id="12">
    <w:p w14:paraId="340E6515" w14:textId="6D39D2B9" w:rsidR="00504E5E" w:rsidRPr="00124C41" w:rsidRDefault="00504E5E">
      <w:pPr>
        <w:pStyle w:val="Fodnotetekst"/>
        <w:rPr>
          <w:lang w:val="de-DE"/>
        </w:rPr>
      </w:pPr>
      <w:r>
        <w:rPr>
          <w:rStyle w:val="Fodnotehenvisning"/>
        </w:rPr>
        <w:footnoteRef/>
      </w:r>
      <w:r w:rsidRPr="00124C41">
        <w:rPr>
          <w:lang w:val="de-DE"/>
        </w:rPr>
        <w:t xml:space="preserve"> </w:t>
      </w:r>
      <w:r w:rsidR="008954D6" w:rsidRPr="00124C41">
        <w:rPr>
          <w:lang w:val="de-DE"/>
        </w:rPr>
        <w:t xml:space="preserve">Jensen, “Digital </w:t>
      </w:r>
      <w:proofErr w:type="spellStart"/>
      <w:r w:rsidR="008954D6" w:rsidRPr="00124C41">
        <w:rPr>
          <w:lang w:val="de-DE"/>
        </w:rPr>
        <w:t>Archival</w:t>
      </w:r>
      <w:proofErr w:type="spellEnd"/>
      <w:r w:rsidR="008954D6" w:rsidRPr="00124C41">
        <w:rPr>
          <w:lang w:val="de-DE"/>
        </w:rPr>
        <w:t xml:space="preserve"> </w:t>
      </w:r>
      <w:proofErr w:type="spellStart"/>
      <w:r w:rsidR="008954D6" w:rsidRPr="00124C41">
        <w:rPr>
          <w:lang w:val="de-DE"/>
        </w:rPr>
        <w:t>Literacy</w:t>
      </w:r>
      <w:proofErr w:type="spellEnd"/>
      <w:r w:rsidR="008954D6" w:rsidRPr="00124C41">
        <w:rPr>
          <w:lang w:val="de-DE"/>
        </w:rPr>
        <w:t>”.</w:t>
      </w:r>
    </w:p>
  </w:footnote>
  <w:footnote w:id="13">
    <w:p w14:paraId="46EEF713" w14:textId="5E55FB17" w:rsidR="008954D6" w:rsidRPr="008954D6" w:rsidRDefault="008954D6">
      <w:pPr>
        <w:pStyle w:val="Fodnotetekst"/>
        <w:rPr>
          <w:lang w:val="en-US"/>
        </w:rPr>
      </w:pPr>
      <w:r>
        <w:rPr>
          <w:rStyle w:val="Fodnotehenvisning"/>
        </w:rPr>
        <w:footnoteRef/>
      </w:r>
      <w:r w:rsidRPr="008954D6">
        <w:rPr>
          <w:lang w:val="en-US"/>
        </w:rPr>
        <w:t xml:space="preserve"> </w:t>
      </w:r>
      <w:r w:rsidRPr="001E30A7">
        <w:rPr>
          <w:lang w:val="en-US"/>
        </w:rPr>
        <w:t>Jensen, “Digital Archival Literacy”</w:t>
      </w:r>
      <w:r>
        <w:rPr>
          <w:lang w:val="en-US"/>
        </w:rPr>
        <w:t>.</w:t>
      </w:r>
    </w:p>
  </w:footnote>
  <w:footnote w:id="14">
    <w:p w14:paraId="25D9480E" w14:textId="3A9322A8" w:rsidR="00C52194" w:rsidRPr="00C52194" w:rsidRDefault="00C52194">
      <w:pPr>
        <w:pStyle w:val="Fodnotetekst"/>
        <w:rPr>
          <w:lang w:val="en-US"/>
        </w:rPr>
      </w:pPr>
      <w:r>
        <w:rPr>
          <w:rStyle w:val="Fodnotehenvisning"/>
        </w:rPr>
        <w:footnoteRef/>
      </w:r>
      <w:r w:rsidRPr="00C52194">
        <w:rPr>
          <w:lang w:val="en-US"/>
        </w:rPr>
        <w:t xml:space="preserve"> </w:t>
      </w:r>
      <w:r w:rsidR="00124C41" w:rsidRPr="00AF43EA">
        <w:rPr>
          <w:lang w:val="en-US"/>
        </w:rPr>
        <w:t xml:space="preserve">Jessica Marie Johnson, “Markup Bodies: Black [Life] Studies and Slavery [Death] Studies at the Digital Crossroads,” </w:t>
      </w:r>
      <w:r w:rsidR="00124C41" w:rsidRPr="00AF43EA">
        <w:rPr>
          <w:i/>
          <w:iCs/>
          <w:lang w:val="en-US"/>
        </w:rPr>
        <w:t>Social Text</w:t>
      </w:r>
      <w:r w:rsidR="00124C41" w:rsidRPr="00AF43EA">
        <w:rPr>
          <w:lang w:val="en-US"/>
        </w:rPr>
        <w:t xml:space="preserve"> 36, no. 4 (2018): </w:t>
      </w:r>
      <w:r w:rsidR="00124C41">
        <w:rPr>
          <w:lang w:val="en-US"/>
        </w:rPr>
        <w:t xml:space="preserve">p. </w:t>
      </w:r>
      <w:r w:rsidR="00124C41" w:rsidRPr="00AF43EA">
        <w:rPr>
          <w:lang w:val="en-US"/>
        </w:rPr>
        <w:t>60.</w:t>
      </w:r>
    </w:p>
  </w:footnote>
  <w:footnote w:id="15">
    <w:p w14:paraId="5A391272" w14:textId="4735BF49" w:rsidR="00124C41" w:rsidRPr="00124C41" w:rsidRDefault="00124C41">
      <w:pPr>
        <w:pStyle w:val="Fodnotetekst"/>
        <w:rPr>
          <w:lang w:val="en-US"/>
        </w:rPr>
      </w:pPr>
      <w:r>
        <w:rPr>
          <w:rStyle w:val="Fodnotehenvisning"/>
        </w:rPr>
        <w:footnoteRef/>
      </w:r>
      <w:r w:rsidRPr="00124C41">
        <w:rPr>
          <w:lang w:val="en-US"/>
        </w:rPr>
        <w:t xml:space="preserve"> </w:t>
      </w:r>
      <w:r w:rsidRPr="0093709A">
        <w:t>Johnson, “</w:t>
      </w:r>
      <w:proofErr w:type="spellStart"/>
      <w:r w:rsidRPr="0093709A">
        <w:t>Markup</w:t>
      </w:r>
      <w:proofErr w:type="spellEnd"/>
      <w:r w:rsidRPr="0093709A">
        <w:t xml:space="preserve"> </w:t>
      </w:r>
      <w:proofErr w:type="spellStart"/>
      <w:r w:rsidRPr="0093709A">
        <w:t>Bodies</w:t>
      </w:r>
      <w:proofErr w:type="spellEnd"/>
      <w:r w:rsidRPr="0093709A">
        <w:t xml:space="preserve">,” </w:t>
      </w:r>
      <w:r>
        <w:t xml:space="preserve">p. </w:t>
      </w:r>
      <w:r w:rsidRPr="0093709A">
        <w:t>62–64.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7893" w14:textId="4E288D24" w:rsidR="00F07385" w:rsidRPr="00F07385" w:rsidRDefault="00F07385" w:rsidP="00F07385">
    <w:pPr>
      <w:pStyle w:val="Sidehoved"/>
      <w:rPr>
        <w:sz w:val="22"/>
        <w:szCs w:val="22"/>
        <w:lang w:val="en-US"/>
      </w:rPr>
    </w:pPr>
    <w:r w:rsidRPr="00F07385">
      <w:rPr>
        <w:sz w:val="22"/>
        <w:szCs w:val="22"/>
        <w:lang w:val="en-US"/>
      </w:rPr>
      <w:t>Jesper,</w:t>
    </w:r>
    <w:r w:rsidR="00FC49D4">
      <w:rPr>
        <w:sz w:val="22"/>
        <w:szCs w:val="22"/>
        <w:lang w:val="en-US"/>
      </w:rPr>
      <w:t xml:space="preserve"> </w:t>
    </w:r>
    <w:r w:rsidR="00FC49D4" w:rsidRPr="00F07385">
      <w:rPr>
        <w:sz w:val="22"/>
        <w:szCs w:val="22"/>
        <w:lang w:val="en-US"/>
      </w:rPr>
      <w:t>Sebastian </w:t>
    </w:r>
    <w:r w:rsidR="00FC49D4">
      <w:rPr>
        <w:sz w:val="22"/>
        <w:szCs w:val="22"/>
        <w:lang w:val="en-US"/>
      </w:rPr>
      <w:t>and</w:t>
    </w:r>
    <w:r w:rsidRPr="00F07385">
      <w:rPr>
        <w:sz w:val="22"/>
        <w:szCs w:val="22"/>
        <w:lang w:val="en-US"/>
      </w:rPr>
      <w:t xml:space="preserve"> Simon                                                                                                     April </w:t>
    </w:r>
    <w:r w:rsidR="00F11050" w:rsidRPr="00F07385">
      <w:rPr>
        <w:sz w:val="22"/>
        <w:szCs w:val="22"/>
        <w:lang w:val="en-US"/>
      </w:rPr>
      <w:t>23rd, 2026</w:t>
    </w:r>
  </w:p>
  <w:p w14:paraId="5BC56D1A" w14:textId="77777777" w:rsidR="00F07385" w:rsidRPr="00F07385" w:rsidRDefault="00F07385" w:rsidP="00F07385">
    <w:pPr>
      <w:pStyle w:val="Sidehoved"/>
      <w:rPr>
        <w:sz w:val="22"/>
        <w:szCs w:val="22"/>
        <w:lang w:val="en-US"/>
      </w:rPr>
    </w:pPr>
    <w:r w:rsidRPr="00F07385">
      <w:rPr>
        <w:sz w:val="22"/>
        <w:szCs w:val="22"/>
        <w:lang w:val="en-US"/>
      </w:rPr>
      <w:t>Digital archives and methods </w:t>
    </w:r>
  </w:p>
  <w:p w14:paraId="3FF76625" w14:textId="77777777" w:rsidR="00F07385" w:rsidRPr="00F07385" w:rsidRDefault="00F07385" w:rsidP="00F07385">
    <w:pPr>
      <w:pStyle w:val="Sidehoved"/>
      <w:rPr>
        <w:sz w:val="22"/>
        <w:szCs w:val="22"/>
        <w:lang w:val="en-US"/>
      </w:rPr>
    </w:pPr>
    <w:r w:rsidRPr="00F07385">
      <w:rPr>
        <w:sz w:val="22"/>
        <w:szCs w:val="22"/>
        <w:lang w:val="en-US"/>
      </w:rPr>
      <w:t xml:space="preserve">Aarhus University </w:t>
    </w:r>
  </w:p>
  <w:p w14:paraId="4503B4AB" w14:textId="77777777" w:rsidR="00683D25" w:rsidRPr="00F07385" w:rsidRDefault="00683D25">
    <w:pPr>
      <w:pStyle w:val="Sidehove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7DAE"/>
    <w:multiLevelType w:val="multilevel"/>
    <w:tmpl w:val="A4D4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27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71"/>
    <w:rsid w:val="00014ABA"/>
    <w:rsid w:val="00033DC4"/>
    <w:rsid w:val="00043F66"/>
    <w:rsid w:val="000672B8"/>
    <w:rsid w:val="0008429D"/>
    <w:rsid w:val="00084C98"/>
    <w:rsid w:val="000972B3"/>
    <w:rsid w:val="00097881"/>
    <w:rsid w:val="000D4B9C"/>
    <w:rsid w:val="000D5FE8"/>
    <w:rsid w:val="001244A9"/>
    <w:rsid w:val="00124C41"/>
    <w:rsid w:val="001563BF"/>
    <w:rsid w:val="00175E42"/>
    <w:rsid w:val="00177B1E"/>
    <w:rsid w:val="00190AEF"/>
    <w:rsid w:val="00192991"/>
    <w:rsid w:val="001B0BA9"/>
    <w:rsid w:val="001B1327"/>
    <w:rsid w:val="001B26F8"/>
    <w:rsid w:val="001C7086"/>
    <w:rsid w:val="001D7D09"/>
    <w:rsid w:val="001E30A7"/>
    <w:rsid w:val="00202B27"/>
    <w:rsid w:val="00202D0D"/>
    <w:rsid w:val="00237660"/>
    <w:rsid w:val="00240076"/>
    <w:rsid w:val="00243F31"/>
    <w:rsid w:val="0024592E"/>
    <w:rsid w:val="00246320"/>
    <w:rsid w:val="00261657"/>
    <w:rsid w:val="002706C0"/>
    <w:rsid w:val="0027760C"/>
    <w:rsid w:val="002813A3"/>
    <w:rsid w:val="002869D2"/>
    <w:rsid w:val="002923A4"/>
    <w:rsid w:val="00292450"/>
    <w:rsid w:val="002B20BC"/>
    <w:rsid w:val="002B5510"/>
    <w:rsid w:val="002B6EB3"/>
    <w:rsid w:val="002D3BE6"/>
    <w:rsid w:val="002E4F51"/>
    <w:rsid w:val="002F0443"/>
    <w:rsid w:val="00307104"/>
    <w:rsid w:val="00313BBB"/>
    <w:rsid w:val="00340F68"/>
    <w:rsid w:val="00347BB1"/>
    <w:rsid w:val="003731B1"/>
    <w:rsid w:val="003750DF"/>
    <w:rsid w:val="003779B0"/>
    <w:rsid w:val="00384E8F"/>
    <w:rsid w:val="003D47C4"/>
    <w:rsid w:val="003D545C"/>
    <w:rsid w:val="003E211D"/>
    <w:rsid w:val="003F19DC"/>
    <w:rsid w:val="004023B4"/>
    <w:rsid w:val="0040661F"/>
    <w:rsid w:val="0041338C"/>
    <w:rsid w:val="00414D2F"/>
    <w:rsid w:val="00416118"/>
    <w:rsid w:val="00417CD2"/>
    <w:rsid w:val="0043467B"/>
    <w:rsid w:val="00440046"/>
    <w:rsid w:val="00441E6C"/>
    <w:rsid w:val="00451DFA"/>
    <w:rsid w:val="004616FD"/>
    <w:rsid w:val="00473552"/>
    <w:rsid w:val="004765E6"/>
    <w:rsid w:val="00485F9A"/>
    <w:rsid w:val="004A1F81"/>
    <w:rsid w:val="004B6725"/>
    <w:rsid w:val="004C1818"/>
    <w:rsid w:val="004D658C"/>
    <w:rsid w:val="004D713D"/>
    <w:rsid w:val="004E2F9A"/>
    <w:rsid w:val="004F56CC"/>
    <w:rsid w:val="00504E5E"/>
    <w:rsid w:val="005054AB"/>
    <w:rsid w:val="00505C91"/>
    <w:rsid w:val="0051090E"/>
    <w:rsid w:val="00514DD0"/>
    <w:rsid w:val="00524038"/>
    <w:rsid w:val="00533E7D"/>
    <w:rsid w:val="00546472"/>
    <w:rsid w:val="0054745F"/>
    <w:rsid w:val="005527F0"/>
    <w:rsid w:val="0055410F"/>
    <w:rsid w:val="00563304"/>
    <w:rsid w:val="00584AA4"/>
    <w:rsid w:val="00585F8E"/>
    <w:rsid w:val="00592F99"/>
    <w:rsid w:val="005978B9"/>
    <w:rsid w:val="005A4EDA"/>
    <w:rsid w:val="005E276C"/>
    <w:rsid w:val="005E43C4"/>
    <w:rsid w:val="0060428B"/>
    <w:rsid w:val="006068BE"/>
    <w:rsid w:val="00611368"/>
    <w:rsid w:val="006218DE"/>
    <w:rsid w:val="00666164"/>
    <w:rsid w:val="00682E57"/>
    <w:rsid w:val="00683CB0"/>
    <w:rsid w:val="00683D25"/>
    <w:rsid w:val="006B09E1"/>
    <w:rsid w:val="006D1DFC"/>
    <w:rsid w:val="006E0A71"/>
    <w:rsid w:val="006E58C1"/>
    <w:rsid w:val="006E64FC"/>
    <w:rsid w:val="00722A3C"/>
    <w:rsid w:val="00732AA5"/>
    <w:rsid w:val="00735171"/>
    <w:rsid w:val="00751E05"/>
    <w:rsid w:val="00762EB3"/>
    <w:rsid w:val="0076506B"/>
    <w:rsid w:val="00775E82"/>
    <w:rsid w:val="00791B59"/>
    <w:rsid w:val="007A626D"/>
    <w:rsid w:val="007C7980"/>
    <w:rsid w:val="007D58B6"/>
    <w:rsid w:val="007E36A1"/>
    <w:rsid w:val="007E3F6C"/>
    <w:rsid w:val="007F3372"/>
    <w:rsid w:val="007F6A60"/>
    <w:rsid w:val="00804560"/>
    <w:rsid w:val="008325E1"/>
    <w:rsid w:val="00844F00"/>
    <w:rsid w:val="00867A66"/>
    <w:rsid w:val="0088049E"/>
    <w:rsid w:val="0088739A"/>
    <w:rsid w:val="008954D6"/>
    <w:rsid w:val="0089759B"/>
    <w:rsid w:val="008A29FC"/>
    <w:rsid w:val="008A5DB0"/>
    <w:rsid w:val="008E7E75"/>
    <w:rsid w:val="008F6031"/>
    <w:rsid w:val="00900D66"/>
    <w:rsid w:val="009042C5"/>
    <w:rsid w:val="009119A5"/>
    <w:rsid w:val="00935CEE"/>
    <w:rsid w:val="0093709A"/>
    <w:rsid w:val="0098773E"/>
    <w:rsid w:val="009A0EA1"/>
    <w:rsid w:val="009A2F6A"/>
    <w:rsid w:val="009A79C8"/>
    <w:rsid w:val="009B0B06"/>
    <w:rsid w:val="009B529A"/>
    <w:rsid w:val="009D74F6"/>
    <w:rsid w:val="009E6762"/>
    <w:rsid w:val="009E7E94"/>
    <w:rsid w:val="009F4B33"/>
    <w:rsid w:val="00A07E58"/>
    <w:rsid w:val="00A62337"/>
    <w:rsid w:val="00A70A16"/>
    <w:rsid w:val="00A71F7C"/>
    <w:rsid w:val="00A72E7E"/>
    <w:rsid w:val="00A95C5A"/>
    <w:rsid w:val="00AA049C"/>
    <w:rsid w:val="00AA1043"/>
    <w:rsid w:val="00AB21E4"/>
    <w:rsid w:val="00AB49DC"/>
    <w:rsid w:val="00AD305D"/>
    <w:rsid w:val="00AD776A"/>
    <w:rsid w:val="00AE3C76"/>
    <w:rsid w:val="00AF43EA"/>
    <w:rsid w:val="00B12FBB"/>
    <w:rsid w:val="00B9281A"/>
    <w:rsid w:val="00BC3BBE"/>
    <w:rsid w:val="00BC6068"/>
    <w:rsid w:val="00BE790C"/>
    <w:rsid w:val="00C03958"/>
    <w:rsid w:val="00C056D8"/>
    <w:rsid w:val="00C26EE8"/>
    <w:rsid w:val="00C2783E"/>
    <w:rsid w:val="00C417A4"/>
    <w:rsid w:val="00C52194"/>
    <w:rsid w:val="00C5367C"/>
    <w:rsid w:val="00C653CE"/>
    <w:rsid w:val="00C8085A"/>
    <w:rsid w:val="00CB298C"/>
    <w:rsid w:val="00CC15DA"/>
    <w:rsid w:val="00CE74BF"/>
    <w:rsid w:val="00CF4E44"/>
    <w:rsid w:val="00CF7AEB"/>
    <w:rsid w:val="00CF7FE5"/>
    <w:rsid w:val="00D10267"/>
    <w:rsid w:val="00D35B02"/>
    <w:rsid w:val="00D60A47"/>
    <w:rsid w:val="00D71D32"/>
    <w:rsid w:val="00D8100A"/>
    <w:rsid w:val="00DA4D8D"/>
    <w:rsid w:val="00DA7D59"/>
    <w:rsid w:val="00DB1E20"/>
    <w:rsid w:val="00DD2423"/>
    <w:rsid w:val="00DF35C5"/>
    <w:rsid w:val="00E143C1"/>
    <w:rsid w:val="00E1506F"/>
    <w:rsid w:val="00E241E5"/>
    <w:rsid w:val="00E42A22"/>
    <w:rsid w:val="00E44995"/>
    <w:rsid w:val="00E47ED0"/>
    <w:rsid w:val="00E507CB"/>
    <w:rsid w:val="00E509D0"/>
    <w:rsid w:val="00E759C2"/>
    <w:rsid w:val="00EA3E6A"/>
    <w:rsid w:val="00EC1718"/>
    <w:rsid w:val="00EE04ED"/>
    <w:rsid w:val="00EE27A1"/>
    <w:rsid w:val="00EF2416"/>
    <w:rsid w:val="00EF571F"/>
    <w:rsid w:val="00F0366B"/>
    <w:rsid w:val="00F05EEC"/>
    <w:rsid w:val="00F07385"/>
    <w:rsid w:val="00F11050"/>
    <w:rsid w:val="00F13F3C"/>
    <w:rsid w:val="00F14D55"/>
    <w:rsid w:val="00F1672A"/>
    <w:rsid w:val="00F250EB"/>
    <w:rsid w:val="00F418D1"/>
    <w:rsid w:val="00F6564A"/>
    <w:rsid w:val="00F711D6"/>
    <w:rsid w:val="00F71967"/>
    <w:rsid w:val="00F74FBE"/>
    <w:rsid w:val="00F862A8"/>
    <w:rsid w:val="00FA1875"/>
    <w:rsid w:val="00FA3935"/>
    <w:rsid w:val="00FB0DA6"/>
    <w:rsid w:val="00FC49D4"/>
    <w:rsid w:val="00FD7CE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2E4C"/>
  <w15:chartTrackingRefBased/>
  <w15:docId w15:val="{42DF0BA0-0719-4A1A-ABF7-B7FD6466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35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35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3517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3517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3517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3517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3517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3517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3517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3517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73517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3517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3517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3517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3517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3517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3517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35171"/>
    <w:rPr>
      <w:rFonts w:eastAsiaTheme="majorEastAsia" w:cstheme="majorBidi"/>
      <w:color w:val="272727" w:themeColor="text1" w:themeTint="D8"/>
    </w:rPr>
  </w:style>
  <w:style w:type="paragraph" w:styleId="Titel">
    <w:name w:val="Title"/>
    <w:basedOn w:val="Normal"/>
    <w:next w:val="Normal"/>
    <w:link w:val="TitelTegn"/>
    <w:uiPriority w:val="10"/>
    <w:qFormat/>
    <w:rsid w:val="00735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3517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3517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3517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3517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35171"/>
    <w:rPr>
      <w:i/>
      <w:iCs/>
      <w:color w:val="404040" w:themeColor="text1" w:themeTint="BF"/>
    </w:rPr>
  </w:style>
  <w:style w:type="paragraph" w:styleId="Listeafsnit">
    <w:name w:val="List Paragraph"/>
    <w:basedOn w:val="Normal"/>
    <w:uiPriority w:val="34"/>
    <w:qFormat/>
    <w:rsid w:val="00735171"/>
    <w:pPr>
      <w:ind w:left="720"/>
      <w:contextualSpacing/>
    </w:pPr>
  </w:style>
  <w:style w:type="character" w:styleId="Kraftigfremhvning">
    <w:name w:val="Intense Emphasis"/>
    <w:basedOn w:val="Standardskrifttypeiafsnit"/>
    <w:uiPriority w:val="21"/>
    <w:qFormat/>
    <w:rsid w:val="00735171"/>
    <w:rPr>
      <w:i/>
      <w:iCs/>
      <w:color w:val="0F4761" w:themeColor="accent1" w:themeShade="BF"/>
    </w:rPr>
  </w:style>
  <w:style w:type="paragraph" w:styleId="Strktcitat">
    <w:name w:val="Intense Quote"/>
    <w:basedOn w:val="Normal"/>
    <w:next w:val="Normal"/>
    <w:link w:val="StrktcitatTegn"/>
    <w:uiPriority w:val="30"/>
    <w:qFormat/>
    <w:rsid w:val="00735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35171"/>
    <w:rPr>
      <w:i/>
      <w:iCs/>
      <w:color w:val="0F4761" w:themeColor="accent1" w:themeShade="BF"/>
    </w:rPr>
  </w:style>
  <w:style w:type="character" w:styleId="Kraftighenvisning">
    <w:name w:val="Intense Reference"/>
    <w:basedOn w:val="Standardskrifttypeiafsnit"/>
    <w:uiPriority w:val="32"/>
    <w:qFormat/>
    <w:rsid w:val="00735171"/>
    <w:rPr>
      <w:b/>
      <w:bCs/>
      <w:smallCaps/>
      <w:color w:val="0F4761" w:themeColor="accent1" w:themeShade="BF"/>
      <w:spacing w:val="5"/>
    </w:rPr>
  </w:style>
  <w:style w:type="paragraph" w:styleId="Fodnotetekst">
    <w:name w:val="footnote text"/>
    <w:basedOn w:val="Normal"/>
    <w:link w:val="FodnotetekstTegn"/>
    <w:uiPriority w:val="99"/>
    <w:semiHidden/>
    <w:unhideWhenUsed/>
    <w:rsid w:val="00D35B02"/>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35B02"/>
    <w:rPr>
      <w:sz w:val="20"/>
      <w:szCs w:val="20"/>
    </w:rPr>
  </w:style>
  <w:style w:type="character" w:styleId="Fodnotehenvisning">
    <w:name w:val="footnote reference"/>
    <w:basedOn w:val="Standardskrifttypeiafsnit"/>
    <w:uiPriority w:val="99"/>
    <w:semiHidden/>
    <w:unhideWhenUsed/>
    <w:rsid w:val="00D35B02"/>
    <w:rPr>
      <w:vertAlign w:val="superscript"/>
    </w:rPr>
  </w:style>
  <w:style w:type="paragraph" w:styleId="Sidehoved">
    <w:name w:val="header"/>
    <w:basedOn w:val="Normal"/>
    <w:link w:val="SidehovedTegn"/>
    <w:uiPriority w:val="99"/>
    <w:unhideWhenUsed/>
    <w:rsid w:val="00683D2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83D25"/>
  </w:style>
  <w:style w:type="paragraph" w:styleId="Sidefod">
    <w:name w:val="footer"/>
    <w:basedOn w:val="Normal"/>
    <w:link w:val="SidefodTegn"/>
    <w:uiPriority w:val="99"/>
    <w:unhideWhenUsed/>
    <w:rsid w:val="00683D2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83D25"/>
  </w:style>
  <w:style w:type="character" w:styleId="Hyperlink">
    <w:name w:val="Hyperlink"/>
    <w:basedOn w:val="Standardskrifttypeiafsnit"/>
    <w:uiPriority w:val="99"/>
    <w:unhideWhenUsed/>
    <w:rsid w:val="00F71967"/>
    <w:rPr>
      <w:color w:val="467886" w:themeColor="hyperlink"/>
      <w:u w:val="single"/>
    </w:rPr>
  </w:style>
  <w:style w:type="character" w:styleId="Ulstomtale">
    <w:name w:val="Unresolved Mention"/>
    <w:basedOn w:val="Standardskrifttypeiafsnit"/>
    <w:uiPriority w:val="99"/>
    <w:semiHidden/>
    <w:unhideWhenUsed/>
    <w:rsid w:val="00F71967"/>
    <w:rPr>
      <w:color w:val="605E5C"/>
      <w:shd w:val="clear" w:color="auto" w:fill="E1DFDD"/>
    </w:rPr>
  </w:style>
  <w:style w:type="paragraph" w:styleId="NormalWeb">
    <w:name w:val="Normal (Web)"/>
    <w:basedOn w:val="Normal"/>
    <w:uiPriority w:val="99"/>
    <w:semiHidden/>
    <w:unhideWhenUsed/>
    <w:rsid w:val="00A72E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x101.com" TargetMode="External"/><Relationship Id="rId13" Type="http://schemas.openxmlformats.org/officeDocument/2006/relationships/hyperlink" Target="https://bold.dk/fodbold/klubber" TargetMode="External"/><Relationship Id="rId3" Type="http://schemas.openxmlformats.org/officeDocument/2006/relationships/settings" Target="settings.xml"/><Relationship Id="rId7" Type="http://schemas.openxmlformats.org/officeDocument/2006/relationships/hyperlink" Target="https://openrefine.org" TargetMode="External"/><Relationship Id="rId12" Type="http://schemas.openxmlformats.org/officeDocument/2006/relationships/hyperlink" Target="https://www.rstudio.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x.dk/konger%C3%A6kken_i_Danmar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kongehuset.dk/monarkiet-i-danmark/kongerakken" TargetMode="External"/><Relationship Id="rId4" Type="http://schemas.openxmlformats.org/officeDocument/2006/relationships/webSettings" Target="webSettings.xml"/><Relationship Id="rId9" Type="http://schemas.openxmlformats.org/officeDocument/2006/relationships/hyperlink" Target="https://www.rstudio.com" TargetMode="External"/><Relationship Id="rId14" Type="http://schemas.openxmlformats.org/officeDocument/2006/relationships/hyperlink" Target="https://iit.aviaryplatform.com/collections/231/collection_resources/17608"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363</TotalTime>
  <Pages>7</Pages>
  <Words>1682</Words>
  <Characters>9745</Characters>
  <Application>Microsoft Office Word</Application>
  <DocSecurity>0</DocSecurity>
  <Lines>170</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Søgaard Engedal Jensen</dc:creator>
  <cp:keywords/>
  <dc:description/>
  <cp:lastModifiedBy>Jesper Søgaard Engedal Jensen</cp:lastModifiedBy>
  <cp:revision>212</cp:revision>
  <dcterms:created xsi:type="dcterms:W3CDTF">2026-04-21T12:23:00Z</dcterms:created>
  <dcterms:modified xsi:type="dcterms:W3CDTF">2026-05-07T16:09:00Z</dcterms:modified>
</cp:coreProperties>
</file>