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80B1" w14:textId="77777777" w:rsidR="002A6C11" w:rsidRPr="002A6C11" w:rsidRDefault="002A6C11" w:rsidP="002A6C11">
      <w:pPr>
        <w:rPr>
          <w:b/>
          <w:bCs/>
        </w:rPr>
      </w:pPr>
      <w:r w:rsidRPr="002A6C11">
        <w:rPr>
          <w:b/>
          <w:bCs/>
        </w:rPr>
        <w:t xml:space="preserve">1. </w:t>
      </w:r>
      <w:proofErr w:type="spellStart"/>
      <w:r w:rsidRPr="002A6C11">
        <w:rPr>
          <w:b/>
          <w:bCs/>
        </w:rPr>
        <w:t>Update</w:t>
      </w:r>
      <w:proofErr w:type="spellEnd"/>
      <w:r w:rsidRPr="002A6C11">
        <w:rPr>
          <w:b/>
          <w:bCs/>
        </w:rPr>
        <w:t xml:space="preserve"> </w:t>
      </w:r>
      <w:proofErr w:type="spellStart"/>
      <w:r w:rsidRPr="002A6C11">
        <w:rPr>
          <w:b/>
          <w:bCs/>
        </w:rPr>
        <w:t>All</w:t>
      </w:r>
      <w:proofErr w:type="spellEnd"/>
      <w:r w:rsidRPr="002A6C11">
        <w:rPr>
          <w:b/>
          <w:bCs/>
        </w:rPr>
        <w:t xml:space="preserve"> </w:t>
      </w:r>
      <w:proofErr w:type="spellStart"/>
      <w:r w:rsidRPr="002A6C11">
        <w:rPr>
          <w:b/>
          <w:bCs/>
        </w:rPr>
        <w:t>Relevant</w:t>
      </w:r>
      <w:proofErr w:type="spellEnd"/>
      <w:r w:rsidRPr="002A6C11">
        <w:rPr>
          <w:b/>
          <w:bCs/>
        </w:rPr>
        <w:t xml:space="preserve"> </w:t>
      </w:r>
      <w:proofErr w:type="spellStart"/>
      <w:r w:rsidRPr="002A6C11">
        <w:rPr>
          <w:b/>
          <w:bCs/>
        </w:rPr>
        <w:t>Functions</w:t>
      </w:r>
      <w:proofErr w:type="spellEnd"/>
    </w:p>
    <w:p w14:paraId="352CD8B9" w14:textId="77777777" w:rsidR="002A6C11" w:rsidRPr="002A6C11" w:rsidRDefault="002A6C11" w:rsidP="002A6C11">
      <w:pPr>
        <w:numPr>
          <w:ilvl w:val="0"/>
          <w:numId w:val="1"/>
        </w:numPr>
        <w:rPr>
          <w:lang w:val="en-US"/>
        </w:rPr>
      </w:pPr>
      <w:r w:rsidRPr="002A6C11">
        <w:rPr>
          <w:lang w:val="en-US"/>
        </w:rPr>
        <w:t xml:space="preserve">Ensure that all surface creation functions (e.g., rear spar surfaces, stringer surfaces, etc.) conform to the </w:t>
      </w:r>
      <w:r w:rsidRPr="002A6C11">
        <w:rPr>
          <w:b/>
          <w:bCs/>
          <w:lang w:val="en-US"/>
        </w:rPr>
        <w:t>top-left, counterclockwise order</w:t>
      </w:r>
      <w:r w:rsidRPr="002A6C11">
        <w:rPr>
          <w:lang w:val="en-US"/>
        </w:rPr>
        <w:t>.</w:t>
      </w:r>
    </w:p>
    <w:p w14:paraId="1483038E" w14:textId="77777777" w:rsidR="002A6C11" w:rsidRPr="002A6C11" w:rsidRDefault="002A6C11" w:rsidP="002A6C11">
      <w:pPr>
        <w:numPr>
          <w:ilvl w:val="0"/>
          <w:numId w:val="1"/>
        </w:numPr>
      </w:pPr>
      <w:proofErr w:type="spellStart"/>
      <w:r w:rsidRPr="002A6C11">
        <w:t>Adjust</w:t>
      </w:r>
      <w:proofErr w:type="spellEnd"/>
      <w:r w:rsidRPr="002A6C11">
        <w:t xml:space="preserve"> </w:t>
      </w:r>
      <w:proofErr w:type="spellStart"/>
      <w:r w:rsidRPr="002A6C11">
        <w:t>the</w:t>
      </w:r>
      <w:proofErr w:type="spellEnd"/>
      <w:r w:rsidRPr="002A6C11">
        <w:t xml:space="preserve"> </w:t>
      </w:r>
      <w:proofErr w:type="spellStart"/>
      <w:r w:rsidRPr="002A6C11">
        <w:t>order</w:t>
      </w:r>
      <w:proofErr w:type="spellEnd"/>
      <w:r w:rsidRPr="002A6C11">
        <w:t xml:space="preserve"> in:</w:t>
      </w:r>
    </w:p>
    <w:p w14:paraId="012C29F8" w14:textId="77777777" w:rsidR="002A6C11" w:rsidRPr="002A6C11" w:rsidRDefault="002A6C11" w:rsidP="002A6C11">
      <w:pPr>
        <w:numPr>
          <w:ilvl w:val="1"/>
          <w:numId w:val="1"/>
        </w:numPr>
        <w:rPr>
          <w:lang w:val="en-US"/>
        </w:rPr>
      </w:pPr>
      <w:proofErr w:type="spellStart"/>
      <w:r w:rsidRPr="002A6C11">
        <w:rPr>
          <w:lang w:val="en-US"/>
        </w:rPr>
        <w:t>surface_coords</w:t>
      </w:r>
      <w:proofErr w:type="spellEnd"/>
      <w:r w:rsidRPr="002A6C11">
        <w:rPr>
          <w:lang w:val="en-US"/>
        </w:rPr>
        <w:t xml:space="preserve"> array for calculations.</w:t>
      </w:r>
    </w:p>
    <w:p w14:paraId="1652B83B" w14:textId="77777777" w:rsidR="002A6C11" w:rsidRPr="002A6C11" w:rsidRDefault="002A6C11" w:rsidP="002A6C11">
      <w:pPr>
        <w:numPr>
          <w:ilvl w:val="1"/>
          <w:numId w:val="1"/>
        </w:numPr>
        <w:rPr>
          <w:lang w:val="en-US"/>
        </w:rPr>
      </w:pPr>
      <w:r w:rsidRPr="002A6C11">
        <w:rPr>
          <w:lang w:val="en-US"/>
        </w:rPr>
        <w:t>Plotting logic to maintain the correct visualization.</w:t>
      </w:r>
    </w:p>
    <w:p w14:paraId="7E727E8E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Example:</w:t>
      </w:r>
    </w:p>
    <w:p w14:paraId="096E121A" w14:textId="77777777" w:rsidR="002A6C11" w:rsidRPr="002A6C11" w:rsidRDefault="002A6C11" w:rsidP="002A6C11">
      <w:pPr>
        <w:rPr>
          <w:lang w:val="en-US"/>
        </w:rPr>
      </w:pPr>
      <w:proofErr w:type="spellStart"/>
      <w:r w:rsidRPr="002A6C11">
        <w:rPr>
          <w:lang w:val="en-US"/>
        </w:rPr>
        <w:t>matlab</w:t>
      </w:r>
      <w:proofErr w:type="spellEnd"/>
    </w:p>
    <w:p w14:paraId="5EB918BB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Copy code</w:t>
      </w:r>
    </w:p>
    <w:p w14:paraId="7DF69AFE" w14:textId="77777777" w:rsidR="002A6C11" w:rsidRPr="002A6C11" w:rsidRDefault="002A6C11" w:rsidP="002A6C11">
      <w:pPr>
        <w:rPr>
          <w:lang w:val="en-US"/>
        </w:rPr>
      </w:pPr>
      <w:proofErr w:type="spellStart"/>
      <w:r w:rsidRPr="002A6C11">
        <w:rPr>
          <w:lang w:val="en-US"/>
        </w:rPr>
        <w:t>surface_coords</w:t>
      </w:r>
      <w:proofErr w:type="spellEnd"/>
      <w:r w:rsidRPr="002A6C11">
        <w:rPr>
          <w:lang w:val="en-US"/>
        </w:rPr>
        <w:t xml:space="preserve"> = [</w:t>
      </w:r>
    </w:p>
    <w:p w14:paraId="78A4F30A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 xml:space="preserve">    node_1.x, node_</w:t>
      </w:r>
      <w:proofErr w:type="gramStart"/>
      <w:r w:rsidRPr="002A6C11">
        <w:rPr>
          <w:lang w:val="en-US"/>
        </w:rPr>
        <w:t>1.y</w:t>
      </w:r>
      <w:proofErr w:type="gramEnd"/>
      <w:r w:rsidRPr="002A6C11">
        <w:rPr>
          <w:lang w:val="en-US"/>
        </w:rPr>
        <w:t>; % Top-left</w:t>
      </w:r>
    </w:p>
    <w:p w14:paraId="6B0CAEB5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 xml:space="preserve">    node_2.x, node_</w:t>
      </w:r>
      <w:proofErr w:type="gramStart"/>
      <w:r w:rsidRPr="002A6C11">
        <w:rPr>
          <w:lang w:val="en-US"/>
        </w:rPr>
        <w:t>2.y</w:t>
      </w:r>
      <w:proofErr w:type="gramEnd"/>
      <w:r w:rsidRPr="002A6C11">
        <w:rPr>
          <w:lang w:val="en-US"/>
        </w:rPr>
        <w:t>; % Lower-left</w:t>
      </w:r>
    </w:p>
    <w:p w14:paraId="60973B21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 xml:space="preserve">    node_3.x, node_</w:t>
      </w:r>
      <w:proofErr w:type="gramStart"/>
      <w:r w:rsidRPr="002A6C11">
        <w:rPr>
          <w:lang w:val="en-US"/>
        </w:rPr>
        <w:t>3.y</w:t>
      </w:r>
      <w:proofErr w:type="gramEnd"/>
      <w:r w:rsidRPr="002A6C11">
        <w:rPr>
          <w:lang w:val="en-US"/>
        </w:rPr>
        <w:t>; % Lower-right</w:t>
      </w:r>
    </w:p>
    <w:p w14:paraId="24C4580D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 xml:space="preserve">    node_4.x, node_</w:t>
      </w:r>
      <w:proofErr w:type="gramStart"/>
      <w:r w:rsidRPr="002A6C11">
        <w:rPr>
          <w:lang w:val="en-US"/>
        </w:rPr>
        <w:t>4.y</w:t>
      </w:r>
      <w:proofErr w:type="gramEnd"/>
      <w:r w:rsidRPr="002A6C11">
        <w:rPr>
          <w:lang w:val="en-US"/>
        </w:rPr>
        <w:t>; % Upper-right</w:t>
      </w:r>
    </w:p>
    <w:p w14:paraId="1B72B641" w14:textId="77777777" w:rsidR="002A6C11" w:rsidRPr="002A6C11" w:rsidRDefault="002A6C11" w:rsidP="002A6C11">
      <w:r w:rsidRPr="002A6C11">
        <w:t>];</w:t>
      </w:r>
    </w:p>
    <w:p w14:paraId="1AC692B0" w14:textId="77777777" w:rsidR="002A6C11" w:rsidRPr="002A6C11" w:rsidRDefault="002A6C11" w:rsidP="002A6C11">
      <w:r w:rsidRPr="002A6C11">
        <w:pict w14:anchorId="6077470E">
          <v:rect id="_x0000_i1055" style="width:0;height:1.5pt" o:hralign="center" o:hrstd="t" o:hr="t" fillcolor="#a0a0a0" stroked="f"/>
        </w:pict>
      </w:r>
    </w:p>
    <w:p w14:paraId="4EF630D2" w14:textId="77777777" w:rsidR="002A6C11" w:rsidRPr="002A6C11" w:rsidRDefault="002A6C11" w:rsidP="002A6C11">
      <w:pPr>
        <w:rPr>
          <w:b/>
          <w:bCs/>
          <w:lang w:val="en-US"/>
        </w:rPr>
      </w:pPr>
      <w:r w:rsidRPr="002A6C11">
        <w:rPr>
          <w:b/>
          <w:bCs/>
          <w:lang w:val="en-US"/>
        </w:rPr>
        <w:t>2. Update Documentation</w:t>
      </w:r>
    </w:p>
    <w:p w14:paraId="55BBBBAF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Include the order standard in your documentation to ensure consistency:</w:t>
      </w:r>
    </w:p>
    <w:p w14:paraId="1E1C08C9" w14:textId="77777777" w:rsidR="002A6C11" w:rsidRPr="002A6C11" w:rsidRDefault="002A6C11" w:rsidP="002A6C11">
      <w:pPr>
        <w:numPr>
          <w:ilvl w:val="0"/>
          <w:numId w:val="2"/>
        </w:numPr>
        <w:rPr>
          <w:lang w:val="en-US"/>
        </w:rPr>
      </w:pPr>
      <w:r w:rsidRPr="002A6C11">
        <w:rPr>
          <w:b/>
          <w:bCs/>
          <w:lang w:val="en-US"/>
        </w:rPr>
        <w:t>Order of Nodes:</w:t>
      </w:r>
      <w:r w:rsidRPr="002A6C11">
        <w:rPr>
          <w:lang w:val="en-US"/>
        </w:rPr>
        <w:t xml:space="preserve"> All quadrilateral surfaces follow the </w:t>
      </w:r>
      <w:r w:rsidRPr="002A6C11">
        <w:rPr>
          <w:b/>
          <w:bCs/>
          <w:lang w:val="en-US"/>
        </w:rPr>
        <w:t>top-left, counterclockwise order</w:t>
      </w:r>
      <w:r w:rsidRPr="002A6C11">
        <w:rPr>
          <w:lang w:val="en-US"/>
        </w:rPr>
        <w:t xml:space="preserve">: </w:t>
      </w:r>
      <w:r w:rsidRPr="002A6C11">
        <w:rPr>
          <w:b/>
          <w:bCs/>
          <w:lang w:val="en-US"/>
        </w:rPr>
        <w:t>node_1 → node_2 → node_3 → node_4</w:t>
      </w:r>
      <w:r w:rsidRPr="002A6C11">
        <w:rPr>
          <w:lang w:val="en-US"/>
        </w:rPr>
        <w:t>.</w:t>
      </w:r>
    </w:p>
    <w:p w14:paraId="3489C330" w14:textId="77777777" w:rsidR="002A6C11" w:rsidRPr="002A6C11" w:rsidRDefault="002A6C11" w:rsidP="002A6C11">
      <w:pPr>
        <w:numPr>
          <w:ilvl w:val="0"/>
          <w:numId w:val="2"/>
        </w:numPr>
        <w:rPr>
          <w:lang w:val="en-US"/>
        </w:rPr>
      </w:pPr>
      <w:r w:rsidRPr="002A6C11">
        <w:rPr>
          <w:b/>
          <w:bCs/>
          <w:lang w:val="en-US"/>
        </w:rPr>
        <w:t>Usage Context:</w:t>
      </w:r>
      <w:r w:rsidRPr="002A6C11">
        <w:rPr>
          <w:lang w:val="en-US"/>
        </w:rPr>
        <w:t xml:space="preserve"> Mention that this standard is used for:</w:t>
      </w:r>
    </w:p>
    <w:p w14:paraId="2411DCCF" w14:textId="77777777" w:rsidR="002A6C11" w:rsidRPr="002A6C11" w:rsidRDefault="002A6C11" w:rsidP="002A6C11">
      <w:pPr>
        <w:numPr>
          <w:ilvl w:val="1"/>
          <w:numId w:val="2"/>
        </w:numPr>
      </w:pPr>
      <w:r w:rsidRPr="002A6C11">
        <w:t xml:space="preserve">Surface </w:t>
      </w:r>
      <w:proofErr w:type="spellStart"/>
      <w:r w:rsidRPr="002A6C11">
        <w:t>creation</w:t>
      </w:r>
      <w:proofErr w:type="spellEnd"/>
      <w:r w:rsidRPr="002A6C11">
        <w:t>.</w:t>
      </w:r>
    </w:p>
    <w:p w14:paraId="5C50B8E7" w14:textId="77777777" w:rsidR="002A6C11" w:rsidRPr="002A6C11" w:rsidRDefault="002A6C11" w:rsidP="002A6C11">
      <w:pPr>
        <w:numPr>
          <w:ilvl w:val="1"/>
          <w:numId w:val="2"/>
        </w:numPr>
        <w:rPr>
          <w:lang w:val="en-US"/>
        </w:rPr>
      </w:pPr>
      <w:r w:rsidRPr="002A6C11">
        <w:rPr>
          <w:lang w:val="en-US"/>
        </w:rPr>
        <w:t>Area and aspect ratio calculations.</w:t>
      </w:r>
    </w:p>
    <w:p w14:paraId="1FD26F9B" w14:textId="77777777" w:rsidR="002A6C11" w:rsidRPr="002A6C11" w:rsidRDefault="002A6C11" w:rsidP="002A6C11">
      <w:pPr>
        <w:numPr>
          <w:ilvl w:val="1"/>
          <w:numId w:val="2"/>
        </w:numPr>
      </w:pPr>
      <w:proofErr w:type="spellStart"/>
      <w:r w:rsidRPr="002A6C11">
        <w:t>Visualization</w:t>
      </w:r>
      <w:proofErr w:type="spellEnd"/>
      <w:r w:rsidRPr="002A6C11">
        <w:t xml:space="preserve"> (</w:t>
      </w:r>
      <w:proofErr w:type="spellStart"/>
      <w:r w:rsidRPr="002A6C11">
        <w:t>e.g</w:t>
      </w:r>
      <w:proofErr w:type="spellEnd"/>
      <w:r w:rsidRPr="002A6C11">
        <w:t xml:space="preserve">., </w:t>
      </w:r>
      <w:proofErr w:type="spellStart"/>
      <w:r w:rsidRPr="002A6C11">
        <w:t>plotting</w:t>
      </w:r>
      <w:proofErr w:type="spellEnd"/>
      <w:r w:rsidRPr="002A6C11">
        <w:t>).</w:t>
      </w:r>
    </w:p>
    <w:p w14:paraId="6710402F" w14:textId="77777777" w:rsidR="002A6C11" w:rsidRPr="002A6C11" w:rsidRDefault="002A6C11" w:rsidP="002A6C11">
      <w:r w:rsidRPr="002A6C11">
        <w:pict w14:anchorId="5AEDCFE8">
          <v:rect id="_x0000_i1056" style="width:0;height:1.5pt" o:hralign="center" o:hrstd="t" o:hr="t" fillcolor="#a0a0a0" stroked="f"/>
        </w:pict>
      </w:r>
    </w:p>
    <w:p w14:paraId="757B31B9" w14:textId="77777777" w:rsidR="002A6C11" w:rsidRPr="002A6C11" w:rsidRDefault="002A6C11" w:rsidP="002A6C11">
      <w:pPr>
        <w:rPr>
          <w:b/>
          <w:bCs/>
          <w:lang w:val="en-US"/>
        </w:rPr>
      </w:pPr>
      <w:r w:rsidRPr="002A6C11">
        <w:rPr>
          <w:b/>
          <w:bCs/>
          <w:lang w:val="en-US"/>
        </w:rPr>
        <w:t>3. Update Plotting Functions</w:t>
      </w:r>
    </w:p>
    <w:p w14:paraId="122F8091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Adjust plotting functions to respect the node order:</w:t>
      </w:r>
    </w:p>
    <w:p w14:paraId="436405FB" w14:textId="77777777" w:rsidR="002A6C11" w:rsidRPr="002A6C11" w:rsidRDefault="002A6C11" w:rsidP="002A6C11">
      <w:pPr>
        <w:numPr>
          <w:ilvl w:val="0"/>
          <w:numId w:val="3"/>
        </w:numPr>
        <w:rPr>
          <w:lang w:val="en-US"/>
        </w:rPr>
      </w:pPr>
      <w:r w:rsidRPr="002A6C11">
        <w:rPr>
          <w:lang w:val="en-US"/>
        </w:rPr>
        <w:t xml:space="preserve">Ensure that quadrilateral surfaces are plotted using the same </w:t>
      </w:r>
      <w:r w:rsidRPr="002A6C11">
        <w:rPr>
          <w:b/>
          <w:bCs/>
          <w:lang w:val="en-US"/>
        </w:rPr>
        <w:t>top-left, counterclockwise order</w:t>
      </w:r>
      <w:r w:rsidRPr="002A6C11">
        <w:rPr>
          <w:lang w:val="en-US"/>
        </w:rPr>
        <w:t>.</w:t>
      </w:r>
    </w:p>
    <w:p w14:paraId="6F4636B6" w14:textId="77777777" w:rsidR="002A6C11" w:rsidRPr="002A6C11" w:rsidRDefault="002A6C11" w:rsidP="002A6C11">
      <w:pPr>
        <w:numPr>
          <w:ilvl w:val="0"/>
          <w:numId w:val="3"/>
        </w:numPr>
        <w:rPr>
          <w:lang w:val="en-US"/>
        </w:rPr>
      </w:pPr>
      <w:r w:rsidRPr="002A6C11">
        <w:rPr>
          <w:lang w:val="en-US"/>
        </w:rPr>
        <w:lastRenderedPageBreak/>
        <w:t>Example of correctly ordered plotting:</w:t>
      </w:r>
    </w:p>
    <w:p w14:paraId="73ADDDB9" w14:textId="77777777" w:rsidR="002A6C11" w:rsidRPr="002A6C11" w:rsidRDefault="002A6C11" w:rsidP="002A6C11">
      <w:pPr>
        <w:rPr>
          <w:lang w:val="en-US"/>
        </w:rPr>
      </w:pPr>
      <w:proofErr w:type="spellStart"/>
      <w:r w:rsidRPr="002A6C11">
        <w:rPr>
          <w:lang w:val="en-US"/>
        </w:rPr>
        <w:t>matlab</w:t>
      </w:r>
      <w:proofErr w:type="spellEnd"/>
    </w:p>
    <w:p w14:paraId="701FFAEA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Copy code</w:t>
      </w:r>
    </w:p>
    <w:p w14:paraId="15E9D4D4" w14:textId="77777777" w:rsidR="002A6C11" w:rsidRPr="002A6C11" w:rsidRDefault="002A6C11" w:rsidP="002A6C11">
      <w:pPr>
        <w:rPr>
          <w:lang w:val="en-US"/>
        </w:rPr>
      </w:pPr>
      <w:proofErr w:type="gramStart"/>
      <w:r w:rsidRPr="002A6C11">
        <w:rPr>
          <w:lang w:val="en-US"/>
        </w:rPr>
        <w:t>fill(</w:t>
      </w:r>
      <w:proofErr w:type="spellStart"/>
      <w:proofErr w:type="gramEnd"/>
      <w:r w:rsidRPr="002A6C11">
        <w:rPr>
          <w:lang w:val="en-US"/>
        </w:rPr>
        <w:t>surface_coords</w:t>
      </w:r>
      <w:proofErr w:type="spellEnd"/>
      <w:r w:rsidRPr="002A6C11">
        <w:rPr>
          <w:lang w:val="en-US"/>
        </w:rPr>
        <w:t xml:space="preserve">(:, 1), </w:t>
      </w:r>
      <w:proofErr w:type="spellStart"/>
      <w:r w:rsidRPr="002A6C11">
        <w:rPr>
          <w:lang w:val="en-US"/>
        </w:rPr>
        <w:t>surface_coords</w:t>
      </w:r>
      <w:proofErr w:type="spellEnd"/>
      <w:r w:rsidRPr="002A6C11">
        <w:rPr>
          <w:lang w:val="en-US"/>
        </w:rPr>
        <w:t>(:, 2), 'cyan', '</w:t>
      </w:r>
      <w:proofErr w:type="spellStart"/>
      <w:r w:rsidRPr="002A6C11">
        <w:rPr>
          <w:lang w:val="en-US"/>
        </w:rPr>
        <w:t>FaceAlpha</w:t>
      </w:r>
      <w:proofErr w:type="spellEnd"/>
      <w:r w:rsidRPr="002A6C11">
        <w:rPr>
          <w:lang w:val="en-US"/>
        </w:rPr>
        <w:t>', 0.3, '</w:t>
      </w:r>
      <w:proofErr w:type="spellStart"/>
      <w:r w:rsidRPr="002A6C11">
        <w:rPr>
          <w:lang w:val="en-US"/>
        </w:rPr>
        <w:t>EdgeColor</w:t>
      </w:r>
      <w:proofErr w:type="spellEnd"/>
      <w:r w:rsidRPr="002A6C11">
        <w:rPr>
          <w:lang w:val="en-US"/>
        </w:rPr>
        <w:t>', 'b', '</w:t>
      </w:r>
      <w:proofErr w:type="spellStart"/>
      <w:r w:rsidRPr="002A6C11">
        <w:rPr>
          <w:lang w:val="en-US"/>
        </w:rPr>
        <w:t>LineWidth</w:t>
      </w:r>
      <w:proofErr w:type="spellEnd"/>
      <w:r w:rsidRPr="002A6C11">
        <w:rPr>
          <w:lang w:val="en-US"/>
        </w:rPr>
        <w:t>', 1.2);</w:t>
      </w:r>
    </w:p>
    <w:p w14:paraId="46967932" w14:textId="77777777" w:rsidR="002A6C11" w:rsidRPr="002A6C11" w:rsidRDefault="002A6C11" w:rsidP="002A6C11">
      <w:r w:rsidRPr="002A6C11">
        <w:pict w14:anchorId="704DDFBB">
          <v:rect id="_x0000_i1057" style="width:0;height:1.5pt" o:hralign="center" o:hrstd="t" o:hr="t" fillcolor="#a0a0a0" stroked="f"/>
        </w:pict>
      </w:r>
    </w:p>
    <w:p w14:paraId="15B44523" w14:textId="77777777" w:rsidR="002A6C11" w:rsidRPr="002A6C11" w:rsidRDefault="002A6C11" w:rsidP="002A6C11">
      <w:pPr>
        <w:rPr>
          <w:b/>
          <w:bCs/>
        </w:rPr>
      </w:pPr>
      <w:r w:rsidRPr="002A6C11">
        <w:rPr>
          <w:b/>
          <w:bCs/>
        </w:rPr>
        <w:t xml:space="preserve">4. </w:t>
      </w:r>
      <w:proofErr w:type="spellStart"/>
      <w:r w:rsidRPr="002A6C11">
        <w:rPr>
          <w:b/>
          <w:bCs/>
        </w:rPr>
        <w:t>Consistency</w:t>
      </w:r>
      <w:proofErr w:type="spellEnd"/>
      <w:r w:rsidRPr="002A6C11">
        <w:rPr>
          <w:b/>
          <w:bCs/>
        </w:rPr>
        <w:t xml:space="preserve"> </w:t>
      </w:r>
      <w:proofErr w:type="spellStart"/>
      <w:r w:rsidRPr="002A6C11">
        <w:rPr>
          <w:b/>
          <w:bCs/>
        </w:rPr>
        <w:t>Check</w:t>
      </w:r>
      <w:proofErr w:type="spellEnd"/>
    </w:p>
    <w:p w14:paraId="3FCD1E9D" w14:textId="77777777" w:rsidR="002A6C11" w:rsidRPr="002A6C11" w:rsidRDefault="002A6C11" w:rsidP="002A6C11">
      <w:pPr>
        <w:numPr>
          <w:ilvl w:val="0"/>
          <w:numId w:val="4"/>
        </w:numPr>
        <w:rPr>
          <w:lang w:val="en-US"/>
        </w:rPr>
      </w:pPr>
      <w:r w:rsidRPr="002A6C11">
        <w:rPr>
          <w:b/>
          <w:bCs/>
          <w:lang w:val="en-US"/>
        </w:rPr>
        <w:t>Area Calculation:</w:t>
      </w:r>
      <w:r w:rsidRPr="002A6C11">
        <w:rPr>
          <w:lang w:val="en-US"/>
        </w:rPr>
        <w:t xml:space="preserve"> Verify that the calculated areas match expected results.</w:t>
      </w:r>
    </w:p>
    <w:p w14:paraId="3B1C5124" w14:textId="77777777" w:rsidR="002A6C11" w:rsidRPr="002A6C11" w:rsidRDefault="002A6C11" w:rsidP="002A6C11">
      <w:pPr>
        <w:numPr>
          <w:ilvl w:val="0"/>
          <w:numId w:val="4"/>
        </w:numPr>
        <w:rPr>
          <w:lang w:val="en-US"/>
        </w:rPr>
      </w:pPr>
      <w:r w:rsidRPr="002A6C11">
        <w:rPr>
          <w:b/>
          <w:bCs/>
          <w:lang w:val="en-US"/>
        </w:rPr>
        <w:t>Aspect Ratio:</w:t>
      </w:r>
      <w:r w:rsidRPr="002A6C11">
        <w:rPr>
          <w:lang w:val="en-US"/>
        </w:rPr>
        <w:t xml:space="preserve"> Validate that aspect ratios reflect the correct geometric proportions.</w:t>
      </w:r>
    </w:p>
    <w:p w14:paraId="48619F54" w14:textId="77777777" w:rsidR="002A6C11" w:rsidRPr="002A6C11" w:rsidRDefault="002A6C11" w:rsidP="002A6C11">
      <w:r w:rsidRPr="002A6C11">
        <w:pict w14:anchorId="768CEAB6">
          <v:rect id="_x0000_i1058" style="width:0;height:1.5pt" o:hralign="center" o:hrstd="t" o:hr="t" fillcolor="#a0a0a0" stroked="f"/>
        </w:pict>
      </w:r>
    </w:p>
    <w:p w14:paraId="642A3DC5" w14:textId="77777777" w:rsidR="002A6C11" w:rsidRPr="002A6C11" w:rsidRDefault="002A6C11" w:rsidP="002A6C11">
      <w:pPr>
        <w:rPr>
          <w:b/>
          <w:bCs/>
          <w:lang w:val="en-US"/>
        </w:rPr>
      </w:pPr>
      <w:r w:rsidRPr="002A6C11">
        <w:rPr>
          <w:b/>
          <w:bCs/>
          <w:lang w:val="en-US"/>
        </w:rPr>
        <w:t>5. Add to Thesis Framework</w:t>
      </w:r>
    </w:p>
    <w:p w14:paraId="439089C1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Incorporate the documentation into your thesis:</w:t>
      </w:r>
    </w:p>
    <w:p w14:paraId="1B018D21" w14:textId="77777777" w:rsidR="002A6C11" w:rsidRPr="002A6C11" w:rsidRDefault="002A6C11" w:rsidP="002A6C11">
      <w:pPr>
        <w:numPr>
          <w:ilvl w:val="0"/>
          <w:numId w:val="5"/>
        </w:numPr>
        <w:rPr>
          <w:lang w:val="en-US"/>
        </w:rPr>
      </w:pPr>
      <w:r w:rsidRPr="002A6C11">
        <w:rPr>
          <w:lang w:val="en-US"/>
        </w:rPr>
        <w:t xml:space="preserve">Create a section explaining the </w:t>
      </w:r>
      <w:r w:rsidRPr="002A6C11">
        <w:rPr>
          <w:b/>
          <w:bCs/>
          <w:lang w:val="en-US"/>
        </w:rPr>
        <w:t>surface node order standard</w:t>
      </w:r>
      <w:r w:rsidRPr="002A6C11">
        <w:rPr>
          <w:lang w:val="en-US"/>
        </w:rPr>
        <w:t xml:space="preserve"> in detail.</w:t>
      </w:r>
    </w:p>
    <w:p w14:paraId="258FE090" w14:textId="77777777" w:rsidR="002A6C11" w:rsidRPr="002A6C11" w:rsidRDefault="002A6C11" w:rsidP="002A6C11">
      <w:pPr>
        <w:numPr>
          <w:ilvl w:val="0"/>
          <w:numId w:val="5"/>
        </w:numPr>
        <w:rPr>
          <w:lang w:val="en-US"/>
        </w:rPr>
      </w:pPr>
      <w:r w:rsidRPr="002A6C11">
        <w:rPr>
          <w:lang w:val="en-US"/>
        </w:rPr>
        <w:t>Include diagrams or examples illustrating the order for both quadrilaterals and triangles.</w:t>
      </w:r>
    </w:p>
    <w:p w14:paraId="1BA6C949" w14:textId="77777777" w:rsidR="002A6C11" w:rsidRPr="002A6C11" w:rsidRDefault="002A6C11" w:rsidP="002A6C11">
      <w:r w:rsidRPr="002A6C11">
        <w:pict w14:anchorId="171549F9">
          <v:rect id="_x0000_i1059" style="width:0;height:1.5pt" o:hralign="center" o:hrstd="t" o:hr="t" fillcolor="#a0a0a0" stroked="f"/>
        </w:pict>
      </w:r>
    </w:p>
    <w:p w14:paraId="6884A83E" w14:textId="77777777" w:rsidR="002A6C11" w:rsidRPr="002A6C11" w:rsidRDefault="002A6C11" w:rsidP="002A6C11">
      <w:pPr>
        <w:rPr>
          <w:b/>
          <w:bCs/>
          <w:lang w:val="en-US"/>
        </w:rPr>
      </w:pPr>
      <w:r w:rsidRPr="002A6C11">
        <w:rPr>
          <w:b/>
          <w:bCs/>
          <w:lang w:val="en-US"/>
        </w:rPr>
        <w:t>6. Communication Notes</w:t>
      </w:r>
    </w:p>
    <w:p w14:paraId="4437519A" w14:textId="77777777" w:rsidR="002A6C11" w:rsidRPr="002A6C11" w:rsidRDefault="002A6C11" w:rsidP="002A6C11">
      <w:pPr>
        <w:rPr>
          <w:lang w:val="en-US"/>
        </w:rPr>
      </w:pPr>
      <w:r w:rsidRPr="002A6C11">
        <w:rPr>
          <w:lang w:val="en-US"/>
        </w:rPr>
        <w:t>When discussing with collaborators or referring to these surfaces:</w:t>
      </w:r>
    </w:p>
    <w:p w14:paraId="19425D2F" w14:textId="77777777" w:rsidR="002A6C11" w:rsidRPr="002A6C11" w:rsidRDefault="002A6C11" w:rsidP="002A6C11">
      <w:pPr>
        <w:numPr>
          <w:ilvl w:val="0"/>
          <w:numId w:val="6"/>
        </w:numPr>
        <w:rPr>
          <w:lang w:val="en-US"/>
        </w:rPr>
      </w:pPr>
      <w:r w:rsidRPr="002A6C11">
        <w:rPr>
          <w:lang w:val="en-US"/>
        </w:rPr>
        <w:t xml:space="preserve">Clearly mention that all surfaces adhere to the </w:t>
      </w:r>
      <w:r w:rsidRPr="002A6C11">
        <w:rPr>
          <w:b/>
          <w:bCs/>
          <w:lang w:val="en-US"/>
        </w:rPr>
        <w:t>top-left, counterclockwise order</w:t>
      </w:r>
      <w:r w:rsidRPr="002A6C11">
        <w:rPr>
          <w:lang w:val="en-US"/>
        </w:rPr>
        <w:t>.</w:t>
      </w:r>
    </w:p>
    <w:p w14:paraId="21FD9E8E" w14:textId="77777777" w:rsidR="002A6C11" w:rsidRPr="002A6C11" w:rsidRDefault="002A6C11" w:rsidP="002A6C11">
      <w:pPr>
        <w:numPr>
          <w:ilvl w:val="0"/>
          <w:numId w:val="6"/>
        </w:numPr>
        <w:rPr>
          <w:lang w:val="en-US"/>
        </w:rPr>
      </w:pPr>
      <w:r w:rsidRPr="002A6C11">
        <w:rPr>
          <w:lang w:val="en-US"/>
        </w:rPr>
        <w:t>If providing tables or diagrams, highlight the order visually (e.g., use labeled node positions in diagrams).</w:t>
      </w:r>
    </w:p>
    <w:p w14:paraId="064C388F" w14:textId="77777777" w:rsidR="002A6C11" w:rsidRPr="002A6C11" w:rsidRDefault="002A6C11">
      <w:pPr>
        <w:rPr>
          <w:lang w:val="en-US"/>
        </w:rPr>
      </w:pPr>
    </w:p>
    <w:sectPr w:rsidR="002A6C11" w:rsidRPr="002A6C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1D41"/>
    <w:multiLevelType w:val="multilevel"/>
    <w:tmpl w:val="D8E6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D7F98"/>
    <w:multiLevelType w:val="multilevel"/>
    <w:tmpl w:val="67F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639E2"/>
    <w:multiLevelType w:val="multilevel"/>
    <w:tmpl w:val="91CC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A1EA4"/>
    <w:multiLevelType w:val="multilevel"/>
    <w:tmpl w:val="6AE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75A1D"/>
    <w:multiLevelType w:val="multilevel"/>
    <w:tmpl w:val="9876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34F4A"/>
    <w:multiLevelType w:val="multilevel"/>
    <w:tmpl w:val="2F0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64888">
    <w:abstractNumId w:val="4"/>
  </w:num>
  <w:num w:numId="2" w16cid:durableId="1839807289">
    <w:abstractNumId w:val="5"/>
  </w:num>
  <w:num w:numId="3" w16cid:durableId="596136181">
    <w:abstractNumId w:val="3"/>
  </w:num>
  <w:num w:numId="4" w16cid:durableId="913080109">
    <w:abstractNumId w:val="1"/>
  </w:num>
  <w:num w:numId="5" w16cid:durableId="912004527">
    <w:abstractNumId w:val="2"/>
  </w:num>
  <w:num w:numId="6" w16cid:durableId="1902861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11"/>
    <w:rsid w:val="001819D3"/>
    <w:rsid w:val="002A6C11"/>
    <w:rsid w:val="0049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8F85E"/>
  <w15:chartTrackingRefBased/>
  <w15:docId w15:val="{08E212C5-46DF-44A2-A1AC-F6759882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0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7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2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5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1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2</cp:revision>
  <dcterms:created xsi:type="dcterms:W3CDTF">2025-01-11T17:47:00Z</dcterms:created>
  <dcterms:modified xsi:type="dcterms:W3CDTF">2025-01-11T17:47:00Z</dcterms:modified>
</cp:coreProperties>
</file>