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9271" w14:textId="77777777" w:rsidR="00E1171B" w:rsidRPr="00E1171B" w:rsidRDefault="00E1171B" w:rsidP="00E1171B">
      <w:pPr>
        <w:rPr>
          <w:b/>
          <w:bCs/>
          <w:lang w:val="en-US"/>
        </w:rPr>
      </w:pPr>
      <w:r w:rsidRPr="00E1171B">
        <w:rPr>
          <w:b/>
          <w:bCs/>
          <w:lang w:val="en-US"/>
        </w:rPr>
        <w:t>Function Improvements Based on Surface Tags</w:t>
      </w:r>
    </w:p>
    <w:p w14:paraId="1E9AC195" w14:textId="77777777" w:rsidR="00E1171B" w:rsidRPr="00E1171B" w:rsidRDefault="00E1171B" w:rsidP="00E1171B">
      <w:pPr>
        <w:rPr>
          <w:lang w:val="en-US"/>
        </w:rPr>
      </w:pPr>
      <w:r w:rsidRPr="00E1171B">
        <w:rPr>
          <w:lang w:val="en-US"/>
        </w:rPr>
        <w:t xml:space="preserve">The clarification </w:t>
      </w:r>
      <w:proofErr w:type="gramStart"/>
      <w:r w:rsidRPr="00E1171B">
        <w:rPr>
          <w:lang w:val="en-US"/>
        </w:rPr>
        <w:t>about</w:t>
      </w:r>
      <w:proofErr w:type="gramEnd"/>
      <w:r w:rsidRPr="00E1171B">
        <w:rPr>
          <w:lang w:val="en-US"/>
        </w:rPr>
        <w:t xml:space="preserve"> the different surface tags helps tailor the function better. Here's how we'll handle each tag and integrate them into a clean, modular function.</w:t>
      </w:r>
    </w:p>
    <w:p w14:paraId="32014460" w14:textId="77777777" w:rsidR="00E1171B" w:rsidRPr="00E1171B" w:rsidRDefault="00E1171B" w:rsidP="00E1171B">
      <w:pPr>
        <w:rPr>
          <w:b/>
          <w:bCs/>
        </w:rPr>
      </w:pPr>
      <w:proofErr w:type="spellStart"/>
      <w:r w:rsidRPr="00E1171B">
        <w:rPr>
          <w:b/>
          <w:bCs/>
        </w:rPr>
        <w:t>Updated</w:t>
      </w:r>
      <w:proofErr w:type="spellEnd"/>
      <w:r w:rsidRPr="00E1171B">
        <w:rPr>
          <w:b/>
          <w:bCs/>
        </w:rPr>
        <w:t xml:space="preserve"> </w:t>
      </w:r>
      <w:proofErr w:type="spellStart"/>
      <w:r w:rsidRPr="00E1171B">
        <w:rPr>
          <w:b/>
          <w:bCs/>
        </w:rPr>
        <w:t>Approach</w:t>
      </w:r>
      <w:proofErr w:type="spellEnd"/>
      <w:r w:rsidRPr="00E1171B">
        <w:rPr>
          <w:b/>
          <w:bCs/>
        </w:rPr>
        <w:t xml:space="preserve"> </w:t>
      </w:r>
      <w:proofErr w:type="spellStart"/>
      <w:r w:rsidRPr="00E1171B">
        <w:rPr>
          <w:b/>
          <w:bCs/>
        </w:rPr>
        <w:t>to</w:t>
      </w:r>
      <w:proofErr w:type="spellEnd"/>
      <w:r w:rsidRPr="00E1171B">
        <w:rPr>
          <w:b/>
          <w:bCs/>
        </w:rPr>
        <w:t xml:space="preserve"> Tags</w:t>
      </w:r>
    </w:p>
    <w:p w14:paraId="75A8E925" w14:textId="77777777" w:rsidR="00E1171B" w:rsidRPr="00E1171B" w:rsidRDefault="00E1171B" w:rsidP="00E1171B">
      <w:pPr>
        <w:numPr>
          <w:ilvl w:val="0"/>
          <w:numId w:val="1"/>
        </w:numPr>
      </w:pPr>
      <w:proofErr w:type="spellStart"/>
      <w:r w:rsidRPr="00E1171B">
        <w:rPr>
          <w:b/>
          <w:bCs/>
        </w:rPr>
        <w:t>Quadrilateral</w:t>
      </w:r>
      <w:proofErr w:type="spellEnd"/>
      <w:r w:rsidRPr="00E1171B">
        <w:rPr>
          <w:b/>
          <w:bCs/>
        </w:rPr>
        <w:t xml:space="preserve"> </w:t>
      </w:r>
      <w:proofErr w:type="spellStart"/>
      <w:r w:rsidRPr="00E1171B">
        <w:rPr>
          <w:b/>
          <w:bCs/>
        </w:rPr>
        <w:t>Surfaces</w:t>
      </w:r>
      <w:proofErr w:type="spellEnd"/>
      <w:r w:rsidRPr="00E1171B">
        <w:t>:</w:t>
      </w:r>
    </w:p>
    <w:p w14:paraId="6C051B36" w14:textId="77777777" w:rsidR="00E1171B" w:rsidRPr="00E1171B" w:rsidRDefault="00E1171B" w:rsidP="00E1171B">
      <w:pPr>
        <w:numPr>
          <w:ilvl w:val="1"/>
          <w:numId w:val="1"/>
        </w:numPr>
        <w:rPr>
          <w:lang w:val="en-US"/>
        </w:rPr>
      </w:pPr>
      <w:r w:rsidRPr="00E1171B">
        <w:rPr>
          <w:b/>
          <w:bCs/>
          <w:lang w:val="en-US"/>
        </w:rPr>
        <w:t>Quad Regular</w:t>
      </w:r>
      <w:r w:rsidRPr="00E1171B">
        <w:rPr>
          <w:lang w:val="en-US"/>
        </w:rPr>
        <w:t xml:space="preserve">: These are rectangular and follow the fixed dimensions: </w:t>
      </w:r>
      <w:proofErr w:type="spellStart"/>
      <w:r w:rsidRPr="00E1171B">
        <w:rPr>
          <w:lang w:val="en-US"/>
        </w:rPr>
        <w:t>distance_ribs</w:t>
      </w:r>
      <w:proofErr w:type="spellEnd"/>
      <w:r w:rsidRPr="00E1171B">
        <w:rPr>
          <w:lang w:val="en-US"/>
        </w:rPr>
        <w:t xml:space="preserve"> / 2 and </w:t>
      </w:r>
      <w:proofErr w:type="spellStart"/>
      <w:r w:rsidRPr="00E1171B">
        <w:rPr>
          <w:lang w:val="en-US"/>
        </w:rPr>
        <w:t>distance_stringers</w:t>
      </w:r>
      <w:proofErr w:type="spellEnd"/>
      <w:r w:rsidRPr="00E1171B">
        <w:rPr>
          <w:lang w:val="en-US"/>
        </w:rPr>
        <w:t>.</w:t>
      </w:r>
    </w:p>
    <w:p w14:paraId="1AF1E0AE" w14:textId="77777777" w:rsidR="00E1171B" w:rsidRPr="00E1171B" w:rsidRDefault="00E1171B" w:rsidP="00E1171B">
      <w:pPr>
        <w:numPr>
          <w:ilvl w:val="1"/>
          <w:numId w:val="1"/>
        </w:numPr>
        <w:rPr>
          <w:lang w:val="en-US"/>
        </w:rPr>
      </w:pPr>
      <w:r w:rsidRPr="00E1171B">
        <w:rPr>
          <w:b/>
          <w:bCs/>
          <w:lang w:val="en-US"/>
        </w:rPr>
        <w:t>Quad Irregular</w:t>
      </w:r>
      <w:r w:rsidRPr="00E1171B">
        <w:rPr>
          <w:lang w:val="en-US"/>
        </w:rPr>
        <w:t>: Quadrilateral surfaces that do not conform to these fixed dimensions.</w:t>
      </w:r>
    </w:p>
    <w:p w14:paraId="4C4522A4" w14:textId="77777777" w:rsidR="00E1171B" w:rsidRPr="00E1171B" w:rsidRDefault="00E1171B" w:rsidP="00E1171B">
      <w:pPr>
        <w:numPr>
          <w:ilvl w:val="1"/>
          <w:numId w:val="1"/>
        </w:numPr>
        <w:rPr>
          <w:lang w:val="en-US"/>
        </w:rPr>
      </w:pPr>
      <w:r w:rsidRPr="00E1171B">
        <w:rPr>
          <w:b/>
          <w:bCs/>
          <w:lang w:val="en-US"/>
        </w:rPr>
        <w:t>Quad Irregular P1 Inserted</w:t>
      </w:r>
      <w:r w:rsidRPr="00E1171B">
        <w:rPr>
          <w:lang w:val="en-US"/>
        </w:rPr>
        <w:t xml:space="preserve"> and </w:t>
      </w:r>
      <w:r w:rsidRPr="00E1171B">
        <w:rPr>
          <w:b/>
          <w:bCs/>
          <w:lang w:val="en-US"/>
        </w:rPr>
        <w:t>Quad Irregular P4 Inserted</w:t>
      </w:r>
      <w:r w:rsidRPr="00E1171B">
        <w:rPr>
          <w:lang w:val="en-US"/>
        </w:rPr>
        <w:t>:</w:t>
      </w:r>
    </w:p>
    <w:p w14:paraId="134EC699" w14:textId="77777777" w:rsidR="00E1171B" w:rsidRPr="00E1171B" w:rsidRDefault="00E1171B" w:rsidP="00E1171B">
      <w:pPr>
        <w:numPr>
          <w:ilvl w:val="2"/>
          <w:numId w:val="1"/>
        </w:numPr>
        <w:rPr>
          <w:lang w:val="en-US"/>
        </w:rPr>
      </w:pPr>
      <w:r w:rsidRPr="00E1171B">
        <w:rPr>
          <w:lang w:val="en-US"/>
        </w:rPr>
        <w:t xml:space="preserve">Subdivisions of </w:t>
      </w:r>
      <w:r w:rsidRPr="00E1171B">
        <w:rPr>
          <w:b/>
          <w:bCs/>
          <w:lang w:val="en-US"/>
        </w:rPr>
        <w:t xml:space="preserve">Quad </w:t>
      </w:r>
      <w:proofErr w:type="gramStart"/>
      <w:r w:rsidRPr="00E1171B">
        <w:rPr>
          <w:b/>
          <w:bCs/>
          <w:lang w:val="en-US"/>
        </w:rPr>
        <w:t>Regular</w:t>
      </w:r>
      <w:r w:rsidRPr="00E1171B">
        <w:rPr>
          <w:lang w:val="en-US"/>
        </w:rPr>
        <w:t>,</w:t>
      </w:r>
      <w:proofErr w:type="gramEnd"/>
      <w:r w:rsidRPr="00E1171B">
        <w:rPr>
          <w:lang w:val="en-US"/>
        </w:rPr>
        <w:t xml:space="preserve"> split in a non-proportional way. We'll handle these with specific logic for node_1 and node_4 assignments.</w:t>
      </w:r>
    </w:p>
    <w:p w14:paraId="502586F7" w14:textId="77777777" w:rsidR="00E1171B" w:rsidRPr="00E1171B" w:rsidRDefault="00E1171B" w:rsidP="00E1171B">
      <w:pPr>
        <w:numPr>
          <w:ilvl w:val="1"/>
          <w:numId w:val="1"/>
        </w:numPr>
        <w:rPr>
          <w:lang w:val="en-US"/>
        </w:rPr>
      </w:pPr>
      <w:r w:rsidRPr="00E1171B">
        <w:rPr>
          <w:b/>
          <w:bCs/>
          <w:lang w:val="en-US"/>
        </w:rPr>
        <w:t>Quad Irregular Root</w:t>
      </w:r>
      <w:r w:rsidRPr="00E1171B">
        <w:rPr>
          <w:lang w:val="en-US"/>
        </w:rPr>
        <w:t>: Quadrilateral surfaces near the root. These can be highlighted separately for easy identification.</w:t>
      </w:r>
    </w:p>
    <w:p w14:paraId="4AB79217" w14:textId="77777777" w:rsidR="00E1171B" w:rsidRPr="00E1171B" w:rsidRDefault="00E1171B" w:rsidP="00E1171B">
      <w:pPr>
        <w:numPr>
          <w:ilvl w:val="0"/>
          <w:numId w:val="1"/>
        </w:numPr>
      </w:pPr>
      <w:r w:rsidRPr="00E1171B">
        <w:rPr>
          <w:b/>
          <w:bCs/>
        </w:rPr>
        <w:t xml:space="preserve">Triangular </w:t>
      </w:r>
      <w:proofErr w:type="spellStart"/>
      <w:r w:rsidRPr="00E1171B">
        <w:rPr>
          <w:b/>
          <w:bCs/>
        </w:rPr>
        <w:t>Surfaces</w:t>
      </w:r>
      <w:proofErr w:type="spellEnd"/>
      <w:r w:rsidRPr="00E1171B">
        <w:t>:</w:t>
      </w:r>
    </w:p>
    <w:p w14:paraId="7F6C4675" w14:textId="77777777" w:rsidR="00E1171B" w:rsidRPr="00E1171B" w:rsidRDefault="00E1171B" w:rsidP="00E1171B">
      <w:pPr>
        <w:numPr>
          <w:ilvl w:val="1"/>
          <w:numId w:val="1"/>
        </w:numPr>
        <w:rPr>
          <w:lang w:val="en-US"/>
        </w:rPr>
      </w:pPr>
      <w:r w:rsidRPr="00E1171B">
        <w:rPr>
          <w:b/>
          <w:bCs/>
          <w:lang w:val="en-US"/>
        </w:rPr>
        <w:t>Tri</w:t>
      </w:r>
      <w:r w:rsidRPr="00E1171B">
        <w:rPr>
          <w:lang w:val="en-US"/>
        </w:rPr>
        <w:t>: These are close to the front spar and will be assigned specific nodes based on their proximity.</w:t>
      </w:r>
    </w:p>
    <w:p w14:paraId="77D7E8FE" w14:textId="77777777" w:rsidR="00E1171B" w:rsidRPr="00E1171B" w:rsidRDefault="00E1171B" w:rsidP="00E1171B">
      <w:pPr>
        <w:numPr>
          <w:ilvl w:val="1"/>
          <w:numId w:val="1"/>
        </w:numPr>
        <w:rPr>
          <w:lang w:val="en-US"/>
        </w:rPr>
      </w:pPr>
      <w:r w:rsidRPr="00E1171B">
        <w:rPr>
          <w:b/>
          <w:bCs/>
          <w:lang w:val="en-US"/>
        </w:rPr>
        <w:t>Tri Root</w:t>
      </w:r>
      <w:r w:rsidRPr="00E1171B">
        <w:rPr>
          <w:lang w:val="en-US"/>
        </w:rPr>
        <w:t xml:space="preserve">: Similar to </w:t>
      </w:r>
      <w:proofErr w:type="spellStart"/>
      <w:proofErr w:type="gramStart"/>
      <w:r w:rsidRPr="00E1171B">
        <w:rPr>
          <w:lang w:val="en-US"/>
        </w:rPr>
        <w:t>tri</w:t>
      </w:r>
      <w:proofErr w:type="spellEnd"/>
      <w:r w:rsidRPr="00E1171B">
        <w:rPr>
          <w:lang w:val="en-US"/>
        </w:rPr>
        <w:t>, but</w:t>
      </w:r>
      <w:proofErr w:type="gramEnd"/>
      <w:r w:rsidRPr="00E1171B">
        <w:rPr>
          <w:lang w:val="en-US"/>
        </w:rPr>
        <w:t xml:space="preserve"> specifically located at the root for root-specific geometries.</w:t>
      </w:r>
    </w:p>
    <w:p w14:paraId="31124718" w14:textId="77777777" w:rsidR="00E1171B" w:rsidRPr="00E1171B" w:rsidRDefault="00E1171B" w:rsidP="00E1171B">
      <w:pPr>
        <w:numPr>
          <w:ilvl w:val="0"/>
          <w:numId w:val="1"/>
        </w:numPr>
      </w:pPr>
      <w:r w:rsidRPr="00E1171B">
        <w:rPr>
          <w:b/>
          <w:bCs/>
        </w:rPr>
        <w:t xml:space="preserve">Pentagonal </w:t>
      </w:r>
      <w:proofErr w:type="spellStart"/>
      <w:r w:rsidRPr="00E1171B">
        <w:rPr>
          <w:b/>
          <w:bCs/>
        </w:rPr>
        <w:t>Surfaces</w:t>
      </w:r>
      <w:proofErr w:type="spellEnd"/>
      <w:r w:rsidRPr="00E1171B">
        <w:t>:</w:t>
      </w:r>
    </w:p>
    <w:p w14:paraId="253E3013" w14:textId="77777777" w:rsidR="00E1171B" w:rsidRPr="00E1171B" w:rsidRDefault="00E1171B" w:rsidP="00E1171B">
      <w:pPr>
        <w:numPr>
          <w:ilvl w:val="1"/>
          <w:numId w:val="1"/>
        </w:numPr>
        <w:rPr>
          <w:lang w:val="en-US"/>
        </w:rPr>
      </w:pPr>
      <w:r w:rsidRPr="00E1171B">
        <w:rPr>
          <w:b/>
          <w:bCs/>
          <w:lang w:val="en-US"/>
        </w:rPr>
        <w:t>Penta Root</w:t>
      </w:r>
      <w:r w:rsidRPr="00E1171B">
        <w:rPr>
          <w:lang w:val="en-US"/>
        </w:rPr>
        <w:t>: These are pentagonal surfaces close to the root. Future pentagonal surfaces near the front spar will follow similar logic but can be handled separately when they arise.</w:t>
      </w:r>
    </w:p>
    <w:p w14:paraId="204981F9" w14:textId="77777777" w:rsidR="00E1171B" w:rsidRPr="00E1171B" w:rsidRDefault="00E1171B">
      <w:pPr>
        <w:rPr>
          <w:lang w:val="en-US"/>
        </w:rPr>
      </w:pPr>
    </w:p>
    <w:sectPr w:rsidR="00E1171B" w:rsidRPr="00E117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958D8"/>
    <w:multiLevelType w:val="multilevel"/>
    <w:tmpl w:val="321A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47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1B"/>
    <w:rsid w:val="002B2544"/>
    <w:rsid w:val="00E1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5B76"/>
  <w15:chartTrackingRefBased/>
  <w15:docId w15:val="{FBE57EB8-8AC6-4508-A4E4-DD1E80AC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2025-01-15T15:03:00Z</dcterms:created>
  <dcterms:modified xsi:type="dcterms:W3CDTF">2025-01-15T15:04:00Z</dcterms:modified>
</cp:coreProperties>
</file>