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2"/>
      </w:pPr>
      <w:r>
        <w:t>1. Origen de la información</w:t>
      </w:r>
    </w:p>
    <w:p>
      <w:r>
        <w:t>Se usaron datos sintéticos porque StockAlert aún no tiene negocios reales y la actividad prohíbe usar datos personales reales. El script etl/src/generate.ts simula un año de operación de una tienda (del 28 de octubre de 2025 al 27 de octubre de 2026) con 8 usuarios ficticios, 93 productos en 8 categorías y 10,000 movimientos de entrada, salida y ajuste. El stock se calcula movimiento por movimiento, así que las existencias finales y las 208 alertas de stock bajo son coherentes con el historial.</w:t>
      </w:r>
    </w:p>
    <w:p>
      <w:r>
        <w:t>El generador usa una semilla fija: cada ejecución produce exactamente los mismos archivos. El esquema mínimo son las cuatro tablas definidas en la Tarea 1 (usuarios, productos, movimientos y alertas, en db/schema.sql). El repositorio incluye una muestra de 50 filas de cada archivo crudo en etl/data/sample; los archivos completos no se suben porque el generador los vuelve a crear idénticos.</w:t>
      </w:r>
    </w:p>
    <w:p/>
    <w:p>
      <w:pPr>
        <w:pStyle w:val="Heading2"/>
      </w:pPr>
      <w:r>
        <w:t>2. Flujo ETL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845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et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5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Extracción (generate.ts): </w:t>
      </w:r>
      <w:r>
        <w:t>crea los CSV crudos. Para simular una exportación manual desde Excel, agrega 450 filas que deben descartarse y altera el formato de miles de campos.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Transformación (transform.ts): </w:t>
      </w:r>
      <w:r>
        <w:t>valida cada fila, normaliza los formatos, escribe CSV limpios y un reporte en etl/output/reporte_transformacion.json.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Carga (load.ts): </w:t>
      </w:r>
      <w:r>
        <w:t>recrea el esquema e inserta todo dentro de una sola transacción; si algo falla, no queda nada a medias.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Validación (consultas.sql): </w:t>
      </w:r>
      <w:r>
        <w:t>muestra el conteo final y ejecuta consultas útiles para el proyecto.</w:t>
      </w:r>
    </w:p>
    <w:p>
      <w:r>
        <w:t>Todo el proceso se ejecuta con un solo comando: npm run etl.</w:t>
      </w:r>
    </w:p>
    <w:p/>
    <w:p>
      <w:pPr>
        <w:pStyle w:val="Heading2"/>
      </w:pPr>
      <w:r>
        <w:t>3. Transformación</w:t>
      </w:r>
    </w:p>
    <w:p>
      <w:pPr>
        <w:pStyle w:val="Heading3"/>
      </w:pPr>
      <w:r>
        <w:t>3.1. Problemas detectados y reglas aplicadas</w:t>
      </w:r>
    </w:p>
    <w:tbl>
      <w:tblPr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88"/>
        <w:gridCol w:w="3168"/>
        <w:gridCol w:w="3024"/>
        <w:gridCol w:w="1800"/>
      </w:tblGrid>
      <w:tr>
        <w:trPr>
          <w:tblHeader/>
          <w:jc w:val="center"/>
        </w:trPr>
        <w:tc>
          <w:tcPr>
            <w:tcW w:w="2088" w:type="dxa"/>
            <w:shd w:val="clear" w:color="auto" w:fill="1F4E78"/>
          </w:tcPr>
          <w:p>
            <w:pPr>
              <w:pStyle w:val="NoSpacing"/>
            </w:pPr>
            <w:r>
              <w:t xml:space="preserve">Problema</w:t>
            </w:r>
          </w:p>
        </w:tc>
        <w:tc>
          <w:tcPr>
            <w:tcW w:w="3168" w:type="dxa"/>
            <w:shd w:val="clear" w:color="auto" w:fill="1F4E78"/>
          </w:tcPr>
          <w:p>
            <w:pPr>
              <w:pStyle w:val="NoSpacing"/>
            </w:pPr>
            <w:r>
              <w:t xml:space="preserve">Ejemplo en el CSV crudo</w:t>
            </w:r>
          </w:p>
        </w:tc>
        <w:tc>
          <w:tcPr>
            <w:tcW w:w="3024" w:type="dxa"/>
            <w:shd w:val="clear" w:color="auto" w:fill="1F4E78"/>
          </w:tcPr>
          <w:p>
            <w:pPr>
              <w:pStyle w:val="NoSpacing"/>
            </w:pPr>
            <w:r>
              <w:t xml:space="preserve">Regla aplicada</w:t>
            </w:r>
          </w:p>
        </w:tc>
        <w:tc>
          <w:tcPr>
            <w:tcW w:w="1800" w:type="dxa"/>
            <w:shd w:val="clear" w:color="auto" w:fill="1F4E78"/>
          </w:tcPr>
          <w:p>
            <w:pPr>
              <w:pStyle w:val="NoSpacing"/>
            </w:pPr>
            <w:r>
              <w:t xml:space="preserve">Filas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Duplicados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El mismo folio aparece dos veces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Se conserva la primera aparición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300 descartadas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Campos vacíos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id_producto, fecha o cantidad sin valor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Descartar (son obligatorios)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76 descartadas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Tipo de dato incorrecto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cantidad = "abc" o "N/A"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Descartar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14 descartadas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Fecha imposible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31/02/2026 10:00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Descartar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10 descartadas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Referencia inexistente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id_producto que no está en el catálogo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Descartar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25 descartadas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Tipo de movimiento desconocido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"devolucion", "traspaso"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Descartar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25 descartadas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Fecha en formatos mezclados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21/11/2025 20:19 · 2026-01-23 11:25:00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ISO 8601 con zona -06:00 (normalizado)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2,056 corregidas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Tipo de movimiento con variantes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ENTRADA · Salida · out · Venta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entrada / salida / ajuste (normalizado)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1,456 corregidas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Cantidad como texto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"12 pzas" · "12.0" · salida "-5"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Entero positivo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699 corregidas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Observaciones en blanco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"   "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Se guarda como NULL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355 corregidas</w:t>
            </w:r>
          </w:p>
        </w:tc>
      </w:tr>
      <w:tr>
        <w:trPr>
          <w:jc w:val="center"/>
        </w:trPr>
        <w:tc>
          <w:tcPr>
            <w:tcW w:w="208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Productos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"PAPELERÍA", "papeleria" · "$12.50" · espacios de más</w:t>
            </w:r>
          </w:p>
        </w:tc>
        <w:tc>
          <w:tcPr>
            <w:tcW w:w="302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Categoría del catálogo, precio numérico, nombre limpio</w:t>
            </w:r>
          </w:p>
        </w:tc>
        <w:tc>
          <w:tcPr>
            <w:tcW w:w="18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56 corregidos; 5 duplicados</w:t>
            </w:r>
          </w:p>
        </w:tc>
      </w:tr>
    </w:tbl>
    <w:p/>
    <w:p>
      <w:r>
        <w:t>Una misma fila puede tener varios campos corregidos; por eso la suma de correcciones por campo es mayor que el número de filas corregidas.</w:t>
      </w:r>
    </w:p>
    <w:p/>
    <w:p>
      <w:pPr>
        <w:pStyle w:val="Heading3"/>
      </w:pPr>
      <w:r>
        <w:t>3.2. Resultado de la transformación</w:t>
      </w:r>
    </w:p>
    <w:tbl>
      <w:tblPr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16"/>
        <w:gridCol w:w="1584"/>
        <w:gridCol w:w="1584"/>
        <w:gridCol w:w="1584"/>
        <w:gridCol w:w="1584"/>
        <w:gridCol w:w="1728"/>
      </w:tblGrid>
      <w:tr>
        <w:trPr>
          <w:tblHeader/>
          <w:jc w:val="center"/>
        </w:trPr>
        <w:tc>
          <w:tcPr>
            <w:tcW w:w="2016" w:type="dxa"/>
            <w:shd w:val="clear" w:color="auto" w:fill="1F4E78"/>
          </w:tcPr>
          <w:p>
            <w:pPr>
              <w:pStyle w:val="NoSpacing"/>
            </w:pPr>
            <w:r>
              <w:t xml:space="preserve">Tabla</w:t>
            </w:r>
          </w:p>
        </w:tc>
        <w:tc>
          <w:tcPr>
            <w:tcW w:w="1584" w:type="dxa"/>
            <w:shd w:val="clear" w:color="auto" w:fill="1F4E78"/>
          </w:tcPr>
          <w:p>
            <w:pPr>
              <w:pStyle w:val="NoSpacing"/>
            </w:pPr>
            <w:r>
              <w:t xml:space="preserve">Leídos</w:t>
            </w:r>
          </w:p>
        </w:tc>
        <w:tc>
          <w:tcPr>
            <w:tcW w:w="1584" w:type="dxa"/>
            <w:shd w:val="clear" w:color="auto" w:fill="1F4E78"/>
          </w:tcPr>
          <w:p>
            <w:pPr>
              <w:pStyle w:val="NoSpacing"/>
            </w:pPr>
            <w:r>
              <w:t xml:space="preserve">Sin cambios</w:t>
            </w:r>
          </w:p>
        </w:tc>
        <w:tc>
          <w:tcPr>
            <w:tcW w:w="1584" w:type="dxa"/>
            <w:shd w:val="clear" w:color="auto" w:fill="1F4E78"/>
          </w:tcPr>
          <w:p>
            <w:pPr>
              <w:pStyle w:val="NoSpacing"/>
            </w:pPr>
            <w:r>
              <w:t xml:space="preserve">Corregidos</w:t>
            </w:r>
          </w:p>
        </w:tc>
        <w:tc>
          <w:tcPr>
            <w:tcW w:w="1584" w:type="dxa"/>
            <w:shd w:val="clear" w:color="auto" w:fill="1F4E78"/>
          </w:tcPr>
          <w:p>
            <w:pPr>
              <w:pStyle w:val="NoSpacing"/>
            </w:pPr>
            <w:r>
              <w:t xml:space="preserve">Descartados</w:t>
            </w:r>
          </w:p>
        </w:tc>
        <w:tc>
          <w:tcPr>
            <w:tcW w:w="1728" w:type="dxa"/>
            <w:shd w:val="clear" w:color="auto" w:fill="1F4E78"/>
          </w:tcPr>
          <w:p>
            <w:pPr>
              <w:pStyle w:val="NoSpacing"/>
            </w:pPr>
            <w:r>
              <w:t xml:space="preserve">Cargados</w:t>
            </w:r>
          </w:p>
        </w:tc>
      </w:tr>
      <w:tr>
        <w:trPr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usuarios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8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7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1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0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8</w:t>
            </w:r>
          </w:p>
        </w:tc>
      </w:tr>
      <w:tr>
        <w:trPr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productos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98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37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56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5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93</w:t>
            </w:r>
          </w:p>
        </w:tc>
      </w:tr>
      <w:tr>
        <w:trPr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movimientos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10,450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6,090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3,910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450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10,000</w:t>
            </w:r>
          </w:p>
        </w:tc>
      </w:tr>
      <w:tr>
        <w:trPr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alertas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208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208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0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0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208</w:t>
            </w:r>
          </w:p>
        </w:tc>
      </w:tr>
    </w:tbl>
    <w:p/>
    <w:p>
      <w:pPr>
        <w:pStyle w:val="Heading2"/>
      </w:pPr>
      <w:r>
        <w:t>4. Carga y validación</w:t>
      </w:r>
    </w:p>
    <w:p>
      <w:r>
        <w:t>La carga terminó en 0.92 s y el conteo final en PostgreSQL coincide con el reporte: 8 usuarios, 93 productos, 10,000 movimientos y 208 alertas. Las restricciones del esquema (CHECK, llaves foráneas y correo único) funcionan como segunda validación: una fila inválida que escapara a la transformación haría fallar la transacción completa.</w:t>
      </w:r>
    </w:p>
    <w:p>
      <w:r>
        <w:t>Se ejecutaron cuatro consultas de etl/sql/consultas.sql con npm run queries:</w:t>
      </w:r>
    </w:p>
    <w:tbl>
      <w:tblPr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48"/>
        <w:gridCol w:w="2520"/>
        <w:gridCol w:w="4104"/>
        <w:gridCol w:w="1008"/>
      </w:tblGrid>
      <w:tr>
        <w:trPr>
          <w:tblHeader/>
          <w:jc w:val="center"/>
        </w:trPr>
        <w:tc>
          <w:tcPr>
            <w:tcW w:w="2448" w:type="dxa"/>
            <w:shd w:val="clear" w:color="auto" w:fill="1F4E78"/>
          </w:tcPr>
          <w:p>
            <w:pPr>
              <w:pStyle w:val="NoSpacing"/>
            </w:pPr>
            <w:r>
              <w:t xml:space="preserve">Consulta</w:t>
            </w:r>
          </w:p>
        </w:tc>
        <w:tc>
          <w:tcPr>
            <w:tcW w:w="2520" w:type="dxa"/>
            <w:shd w:val="clear" w:color="auto" w:fill="1F4E78"/>
          </w:tcPr>
          <w:p>
            <w:pPr>
              <w:pStyle w:val="NoSpacing"/>
            </w:pPr>
            <w:r>
              <w:t xml:space="preserve">Para qué sirve en StockAlert</w:t>
            </w:r>
          </w:p>
        </w:tc>
        <w:tc>
          <w:tcPr>
            <w:tcW w:w="4104" w:type="dxa"/>
            <w:shd w:val="clear" w:color="auto" w:fill="1F4E78"/>
          </w:tcPr>
          <w:p>
            <w:pPr>
              <w:pStyle w:val="NoSpacing"/>
            </w:pPr>
            <w:r>
              <w:t xml:space="preserve">Resultado</w:t>
            </w:r>
          </w:p>
        </w:tc>
        <w:tc>
          <w:tcPr>
            <w:tcW w:w="1008" w:type="dxa"/>
            <w:shd w:val="clear" w:color="auto" w:fill="1F4E78"/>
          </w:tcPr>
          <w:p>
            <w:pPr>
              <w:pStyle w:val="NoSpacing"/>
            </w:pPr>
            <w:r>
              <w:t xml:space="preserve">Tiempo</w:t>
            </w:r>
          </w:p>
        </w:tc>
      </w:tr>
      <w:tr>
        <w:trPr>
          <w:jc w:val="center"/>
        </w:trPr>
        <w:tc>
          <w:tcPr>
            <w:tcW w:w="244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Productos bajo su stock mínimo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Saber qué reponer hoy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4 productos; p. ej., Hojas blancas paquete 500 (5 de 10)</w:t>
            </w:r>
          </w:p>
        </w:tc>
        <w:tc>
          <w:tcPr>
            <w:tcW w:w="100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6.1 ms</w:t>
            </w:r>
          </w:p>
        </w:tc>
      </w:tr>
      <w:tr>
        <w:trPr>
          <w:jc w:val="center"/>
        </w:trPr>
        <w:tc>
          <w:tcPr>
            <w:tcW w:w="244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Top 10 más vendidos (90 días)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Priorizar compras a proveedores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Galletas saladas 137 g, 886 unidades; Cuaderno profesional, 501</w:t>
            </w:r>
          </w:p>
        </w:tc>
        <w:tc>
          <w:tcPr>
            <w:tcW w:w="100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7.8 ms</w:t>
            </w:r>
          </w:p>
        </w:tc>
      </w:tr>
      <w:tr>
        <w:trPr>
          <w:jc w:val="center"/>
        </w:trPr>
        <w:tc>
          <w:tcPr>
            <w:tcW w:w="244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Entradas y salidas por mes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Ver la tendencia del inventario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13 meses (dos parciales); los completos tienen entre 757 y 887 movimientos</w:t>
            </w:r>
          </w:p>
        </w:tc>
        <w:tc>
          <w:tcPr>
            <w:tcW w:w="100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</w:tcPr>
          <w:p>
            <w:pPr>
              <w:pStyle w:val="NoSpacing"/>
            </w:pPr>
            <w:r>
              <w:t xml:space="preserve">17.4 ms</w:t>
            </w:r>
          </w:p>
        </w:tc>
      </w:tr>
      <w:tr>
        <w:trPr>
          <w:jc w:val="center"/>
        </w:trPr>
        <w:tc>
          <w:tcPr>
            <w:tcW w:w="244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Alertas pendientes por categoría</w:t>
            </w:r>
          </w:p>
        </w:tc>
        <w:tc>
          <w:tcPr>
            <w:tcW w:w="252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Repartir el seguimiento de alertas</w:t>
            </w:r>
          </w:p>
        </w:tc>
        <w:tc>
          <w:tcPr>
            <w:tcW w:w="410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4 pendientes: Abarrotes, Bebidas, Higiene personal y Papelería</w:t>
            </w:r>
          </w:p>
        </w:tc>
        <w:tc>
          <w:tcPr>
            <w:tcW w:w="100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4F8"/>
          </w:tcPr>
          <w:p>
            <w:pPr>
              <w:pStyle w:val="NoSpacing"/>
            </w:pPr>
            <w:r>
              <w:t xml:space="preserve">2.3 ms</w:t>
            </w:r>
          </w:p>
        </w:tc>
      </w:tr>
    </w:tbl>
    <w:p/>
    <w:p>
      <w:pPr>
        <w:pStyle w:val="Heading4"/>
      </w:pPr>
      <w:r>
        <w:t>Consulta 2. Top 10 productos más vendidos en los últimos 90 días.</w:t>
      </w:r>
    </w:p>
    <w:tbl>
      <w:tblPr>
        <w:tblW w:w="0" w:type="auto"/>
        <w:jc w:val="center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rPr>
          <w:cantSplit/>
          <w:jc w:val="center"/>
        </w:trPr>
        <w:tc>
          <w:tcPr>
            <w:tcW w:w="10080" w:type="dxa"/>
            <w:shd w:val="clear" w:color="auto" w:fill="F8F9FA"/>
          </w:tcPr>
          <w:p>
            <w:pPr>
              <w:pStyle w:val="NoSpacing"/>
            </w:pPr>
            <w:r>
              <w:t xml:space="preserve">SELECT p.nombre, p.categoria, sum(m.cantidad)::int AS unidades_vendidas, count(*)::int AS salidas</w:t>
            </w:r>
            <w:r>
              <w:br/>
              <w:t xml:space="preserve">FROM movimientos m JOIN productos p ON p.id_producto = m.id_producto</w:t>
            </w:r>
            <w:r>
              <w:br/>
              <w:t xml:space="preserve">WHERE m.tipo_movimiento = 'salida'</w:t>
            </w:r>
            <w:r>
              <w:br/>
              <w:t xml:space="preserve">  AND m.fecha_movimiento &gt;= (SELECT max(fecha_movimiento) FROM movimientos)</w:t>
            </w:r>
            <w:r>
              <w:br/>
              <w:t xml:space="preserve">                             - interval '90 days'</w:t>
            </w:r>
            <w:r>
              <w:br/>
              <w:t xml:space="preserve">GROUP BY p.id_producto, p.nombre, p.categoria</w:t>
            </w:r>
            <w:r>
              <w:br/>
              <w:t xml:space="preserve">ORDER BY unidades_vendidas DESC</w:t>
            </w:r>
            <w:r>
              <w:br/>
              <w:t xml:space="preserve">LIMIT 10;</w:t>
            </w:r>
          </w:p>
        </w:tc>
      </w:tr>
    </w:tbl>
    <w:p/>
    <w:p>
      <w:r>
        <w:t>Los tiempos son de una sola ejecución en la computadora del equipo y sirven como referencia; la medición formal (cinco corridas, antes y después de optimizar) corresponde a la Tarea 3.</w:t>
      </w:r>
    </w:p>
    <w:p/>
    <w:p>
      <w:pPr>
        <w:pStyle w:val="Heading2"/>
      </w:pPr>
      <w:r>
        <w:t>5. Uso desde la web</w:t>
      </w:r>
    </w:p>
    <w:p>
      <w:r>
        <w:t>La pantalla Movimientos de inventario (Vue 3) permite buscar por nombre de producto, filtrar por tipo de movimiento y categoría, y paginar de 10 a 100 registros. La API (Node.js + Express) arma la consulta con parámetros ($1, $2…) y resuelve la búsqueda, el filtro y la paginación en PostgreSQL con LIMIT y OFFSET, así que el navegador solo recibe la página que muestra.</w:t>
      </w:r>
    </w:p>
    <w:p>
      <w:r>
        <w:rPr>
          <w:b/>
        </w:rPr>
        <w:t xml:space="preserve">Ejemplo: </w:t>
      </w:r>
      <w:r>
        <w:t>la petición GET /api/movimientos?q=cuaderno&amp;tipo=salida&amp;page=2&amp;limit=10 devuelve 10 filas y el total de coincidencias (706) en unos 2.5 KB; enviar los 10,000 movimientos completos ocuparía unos 2.4 MB, casi mil veces más.</w:t>
      </w:r>
    </w:p>
    <w:p>
      <w:pPr>
        <w:pStyle w:val="Heading4"/>
      </w:pPr>
      <w:r>
        <w:t>Búsqueda "cuaderno" con filtro Salida, página 2 de 71 (10 por página).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247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filtros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Vista en celular: cada fila se muestra como tarjeta.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37360" cy="3563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ovil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563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Reproducción y seguridad</w:t>
      </w:r>
    </w:p>
    <w:p>
      <w:pPr>
        <w:pStyle w:val="ListParagraph"/>
        <w:numPr>
          <w:ilvl w:val="0"/>
          <w:numId w:val="12"/>
        </w:numPr>
      </w:pPr>
      <w:r>
        <w:t>Copiar .env.example a .env en la raíz del repositorio y cambiar la contraseña.</w:t>
      </w:r>
    </w:p>
    <w:p>
      <w:pPr>
        <w:pStyle w:val="ListParagraph"/>
        <w:numPr>
          <w:ilvl w:val="0"/>
          <w:numId w:val="12"/>
        </w:numPr>
      </w:pPr>
      <w:r>
        <w:t>Levantar PostgreSQL con docker compose up -d.</w:t>
      </w:r>
    </w:p>
    <w:p>
      <w:pPr>
        <w:pStyle w:val="ListParagraph"/>
        <w:numPr>
          <w:ilvl w:val="0"/>
          <w:numId w:val="12"/>
        </w:numPr>
      </w:pPr>
      <w:r>
        <w:t>Dentro de etl/, ejecutar npm install y npm run etl.</w:t>
      </w:r>
    </w:p>
    <w:p>
      <w:pPr>
        <w:pStyle w:val="ListParagraph"/>
        <w:numPr>
          <w:ilvl w:val="0"/>
          <w:numId w:val="12"/>
        </w:numPr>
      </w:pPr>
      <w:r>
        <w:t>Levantar la API y la web con npm run dev en backend/ y en frontend/.</w:t>
      </w:r>
    </w:p>
    <w:p>
      <w:r>
        <w:t>Los pasos completos están en el README. No se publican credenciales: .env está en .gitignore y el repositorio solo contiene valores de ejemplo. Se usa PostgreSQL local en Docker porque el plan gratuito de Render elimina la base de datos a los 30 días.</w:t>
      </w:r>
    </w:p>
    <w:p/>
    <w:p>
      <w:pPr>
        <w:pStyle w:val="Heading2"/>
      </w:pPr>
      <w:r>
        <w:t>Conclusión</w:t>
      </w:r>
    </w:p>
    <w:p>
      <w:r>
        <w:t>El proceso ETL es reproducible de principio a fin: el mismo comando genera, limpia y carga los mismos 10,000 movimientos y deja un reporte de lo que se corrigió (3,910 filas) y de lo que se descartó (450, cada una con su motivo). La aplicación web trabaja sobre ese volumen sin descargarlo completo, gracias a la paginación del lado del servidor.</w:t>
      </w:r>
    </w:p>
    <w:p>
      <w:r>
        <w:t>Aun así, la búsqueda por nombre y los filtros recorren la tabla completa porque todavía no existen índices secundarios. Esa será la línea base para medir la optimización en la Tarea 3.</w:t>
      </w:r>
    </w:p>
    <w:sectPr w:rsidR="008C6DF4" w:rsidRPr="0017315A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41717C"/>
    <w:multiLevelType w:val="hybridMultilevel"/>
    <w:tmpl w:val="0622B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718642">
    <w:abstractNumId w:val="8"/>
  </w:num>
  <w:num w:numId="2" w16cid:durableId="1700201653">
    <w:abstractNumId w:val="6"/>
  </w:num>
  <w:num w:numId="3" w16cid:durableId="1742294619">
    <w:abstractNumId w:val="5"/>
  </w:num>
  <w:num w:numId="4" w16cid:durableId="143547322">
    <w:abstractNumId w:val="4"/>
  </w:num>
  <w:num w:numId="5" w16cid:durableId="838547586">
    <w:abstractNumId w:val="7"/>
  </w:num>
  <w:num w:numId="6" w16cid:durableId="1886135874">
    <w:abstractNumId w:val="3"/>
  </w:num>
  <w:num w:numId="7" w16cid:durableId="732048972">
    <w:abstractNumId w:val="2"/>
  </w:num>
  <w:num w:numId="8" w16cid:durableId="1389114713">
    <w:abstractNumId w:val="1"/>
  </w:num>
  <w:num w:numId="9" w16cid:durableId="425615629">
    <w:abstractNumId w:val="0"/>
  </w:num>
  <w:num w:numId="10" w16cid:durableId="568612013">
    <w:abstractNumId w:val="9"/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15A"/>
    <w:rsid w:val="0025062B"/>
    <w:rsid w:val="0029639D"/>
    <w:rsid w:val="00326F90"/>
    <w:rsid w:val="004C396A"/>
    <w:rsid w:val="00857775"/>
    <w:rsid w:val="008C45B1"/>
    <w:rsid w:val="008C6DF4"/>
    <w:rsid w:val="00AA1D8D"/>
    <w:rsid w:val="00B47730"/>
    <w:rsid w:val="00C21ABE"/>
    <w:rsid w:val="00CB0664"/>
    <w:rsid w:val="00FC693F"/>
    <w:rsid w:val="00FE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73C74"/>
  <w14:defaultImageDpi w14:val="300"/>
  <w15:docId w15:val="{DAA9ED97-369D-4963-8A54-F1BCB898D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5A"/>
    <w:pPr>
      <w:spacing w:before="120" w:after="120" w:line="360" w:lineRule="auto"/>
      <w:ind w:firstLine="720"/>
    </w:pPr>
    <w:rPr>
      <w:rFonts w:ascii="Arial" w:eastAsia="Arial" w:hAnsi="Arial"/>
      <w:szCs w:val="28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15A"/>
    <w:pPr>
      <w:keepNext/>
      <w:keepLines/>
      <w:ind w:firstLine="0"/>
      <w:outlineLvl w:val="1"/>
    </w:pPr>
    <w:rPr>
      <w:rFonts w:eastAsiaTheme="majorEastAsia" w:cs="Arial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15A"/>
    <w:pPr>
      <w:keepNext/>
      <w:keepLines/>
      <w:ind w:firstLine="0"/>
      <w:outlineLvl w:val="2"/>
    </w:pPr>
    <w:rPr>
      <w:rFonts w:eastAsiaTheme="majorEastAsia" w:cs="Arial"/>
      <w:b/>
      <w:bCs/>
      <w:i/>
      <w:iCs/>
      <w:color w:val="4F81BD" w:themeColor="accent1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15A"/>
    <w:pPr>
      <w:keepNext/>
      <w:keepLines/>
      <w:spacing w:before="40" w:after="40"/>
      <w:ind w:firstLine="0"/>
      <w:outlineLvl w:val="3"/>
    </w:pPr>
    <w:rPr>
      <w:rFonts w:eastAsiaTheme="majorEastAsia" w:cs="Arial"/>
      <w:b/>
      <w:bCs/>
      <w:color w:val="4F81BD" w:themeColor="accent1"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7315A"/>
    <w:pPr>
      <w:spacing w:after="0" w:line="240" w:lineRule="auto"/>
    </w:pPr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7315A"/>
    <w:rPr>
      <w:rFonts w:ascii="Arial" w:eastAsiaTheme="majorEastAsia" w:hAnsi="Arial" w:cs="Arial"/>
      <w:b/>
      <w:bCs/>
      <w:color w:val="4F81BD" w:themeColor="accent1"/>
      <w:sz w:val="24"/>
      <w:szCs w:val="24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17315A"/>
    <w:rPr>
      <w:rFonts w:ascii="Arial" w:eastAsiaTheme="majorEastAsia" w:hAnsi="Arial" w:cs="Arial"/>
      <w:b/>
      <w:bCs/>
      <w:i/>
      <w:iCs/>
      <w:color w:val="4F81BD" w:themeColor="accent1"/>
      <w:sz w:val="24"/>
      <w:szCs w:val="32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7315A"/>
    <w:rPr>
      <w:rFonts w:ascii="Arial" w:eastAsiaTheme="majorEastAsia" w:hAnsi="Arial" w:cs="Arial"/>
      <w:b/>
      <w:bCs/>
      <w:color w:val="4F81BD" w:themeColor="accent1"/>
      <w:sz w:val="20"/>
      <w:szCs w:val="24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StockAlert: Mapa de datos y propuesta de arquitectura</vt:lpstr>
    </vt:vector>
  </TitlesOfParts>
  <Manager/>
  <Company/>
  <LinksUpToDate>false</LinksUpToDate>
  <CharactersWithSpaces>10337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StockAlert: Proceso ETL y base de datos de prueba</dc:title>
  <dc:subject/>
  <dc:creator>ALLAN ALEXIS MARTINEZ RIVERO</dc:creator>
  <cp:keywords/>
  <dc:description/>
  <cp:lastModifiedBy>ALLAN ALEXIS MARTINEZ RIVERO</cp:lastModifiedBy>
  <cp:revision>6</cp:revision>
  <cp:lastPrinted>2026-10-27T20:02:00Z</cp:lastPrinted>
  <dcterms:created xsi:type="dcterms:W3CDTF">2013-12-23T23:15:00Z</dcterms:created>
  <dcterms:modified xsi:type="dcterms:W3CDTF">2026-10-27T20:05:00Z</dcterms:modified>
  <cp:category/>
</cp:coreProperties>
</file>