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4BA7" w14:textId="2B042D2B" w:rsidR="00EB78F6" w:rsidRDefault="00EB78F6" w:rsidP="0074202C">
      <w:pPr>
        <w:jc w:val="center"/>
        <w:rPr>
          <w:b/>
          <w:bCs/>
        </w:rPr>
      </w:pPr>
      <w:r>
        <w:rPr>
          <w:b/>
          <w:bCs/>
        </w:rPr>
        <w:t xml:space="preserve">Strobilurin Fungicides for </w:t>
      </w:r>
      <w:r w:rsidR="0054373D">
        <w:rPr>
          <w:b/>
          <w:bCs/>
        </w:rPr>
        <w:t xml:space="preserve">Phomopsis Management </w:t>
      </w:r>
    </w:p>
    <w:p w14:paraId="60E0B887" w14:textId="50AC1CD7" w:rsidR="00DD69C8" w:rsidRDefault="00EB78F6" w:rsidP="0074202C">
      <w:pPr>
        <w:jc w:val="center"/>
        <w:rPr>
          <w:b/>
          <w:bCs/>
        </w:rPr>
      </w:pPr>
      <w:r>
        <w:rPr>
          <w:b/>
          <w:bCs/>
        </w:rPr>
        <w:t>b</w:t>
      </w:r>
      <w:r w:rsidR="00DD69C8">
        <w:rPr>
          <w:b/>
          <w:bCs/>
        </w:rPr>
        <w:t>y Jessica Clippinger</w:t>
      </w:r>
    </w:p>
    <w:p w14:paraId="1365DC73" w14:textId="206EB378" w:rsidR="009A2FCD" w:rsidRDefault="004241CF">
      <w:r>
        <w:rPr>
          <w:b/>
          <w:bCs/>
        </w:rPr>
        <w:t xml:space="preserve">Introduction: </w:t>
      </w:r>
      <w:r w:rsidR="002043DA">
        <w:t>Phomopsis cane and leaf spot is a serious</w:t>
      </w:r>
      <w:r w:rsidR="007A6CDB">
        <w:t xml:space="preserve"> disease of grapevines grown in the Lake Erie region</w:t>
      </w:r>
      <w:r w:rsidR="00D52A5A">
        <w:t xml:space="preserve"> (</w:t>
      </w:r>
      <w:r w:rsidR="007E1FB2">
        <w:t>Wilcox et al., 2015)</w:t>
      </w:r>
      <w:r w:rsidR="00776232">
        <w:t xml:space="preserve">. The </w:t>
      </w:r>
      <w:r w:rsidR="0060411A">
        <w:t>Environment Protection Agency (</w:t>
      </w:r>
      <w:r w:rsidR="00776232">
        <w:t>EPA</w:t>
      </w:r>
      <w:r w:rsidR="0060411A">
        <w:t>)</w:t>
      </w:r>
      <w:r w:rsidR="00776232">
        <w:t xml:space="preserve"> has </w:t>
      </w:r>
      <w:r w:rsidR="00403E6C">
        <w:t>proposed</w:t>
      </w:r>
      <w:r w:rsidR="00776232">
        <w:t xml:space="preserve"> dereg</w:t>
      </w:r>
      <w:r w:rsidR="000156E4">
        <w:t>istering</w:t>
      </w:r>
      <w:r w:rsidR="00776232">
        <w:t xml:space="preserve"> </w:t>
      </w:r>
      <w:r w:rsidR="0027656B">
        <w:t>Mancozeb, a multisite fungicide inhibitor that is very effective against</w:t>
      </w:r>
      <w:r w:rsidR="00A57791">
        <w:t xml:space="preserve"> Phomopsis</w:t>
      </w:r>
      <w:r w:rsidR="007C6991">
        <w:t>, limiting control options</w:t>
      </w:r>
      <w:r w:rsidR="002D6AE6">
        <w:t xml:space="preserve">. </w:t>
      </w:r>
      <w:r w:rsidR="000B35CB">
        <w:t xml:space="preserve">Strobilurins, once very </w:t>
      </w:r>
      <w:r w:rsidR="00786E8E">
        <w:t>potent</w:t>
      </w:r>
      <w:r w:rsidR="009310A7">
        <w:t xml:space="preserve"> single site fungicide</w:t>
      </w:r>
      <w:r w:rsidR="007C6991">
        <w:t>s</w:t>
      </w:r>
      <w:r w:rsidR="009310A7">
        <w:t xml:space="preserve"> for the treatment of Powdery and Downy mildew</w:t>
      </w:r>
      <w:r w:rsidR="00F46BA2">
        <w:t>, now ha</w:t>
      </w:r>
      <w:r w:rsidR="00403E6C">
        <w:t>ve</w:t>
      </w:r>
      <w:r w:rsidR="00F46BA2">
        <w:t xml:space="preserve"> widespread field resistance</w:t>
      </w:r>
      <w:r w:rsidR="00A72E95">
        <w:t xml:space="preserve"> for both diseases</w:t>
      </w:r>
      <w:r w:rsidR="003A45CC">
        <w:t xml:space="preserve"> (</w:t>
      </w:r>
      <w:r w:rsidR="005D1148">
        <w:t>Baudoin</w:t>
      </w:r>
      <w:r w:rsidR="00EC2CA1">
        <w:t xml:space="preserve"> et al., 2008</w:t>
      </w:r>
      <w:r w:rsidR="003A45CC">
        <w:t>)</w:t>
      </w:r>
      <w:r w:rsidR="00A72E95">
        <w:t xml:space="preserve">. </w:t>
      </w:r>
      <w:r w:rsidR="009B3F77">
        <w:t>However, s</w:t>
      </w:r>
      <w:r w:rsidR="00D86662">
        <w:t xml:space="preserve">trobilurins </w:t>
      </w:r>
      <w:r w:rsidR="00567A08">
        <w:t>may be an effective alternative to Mancozeb</w:t>
      </w:r>
      <w:r w:rsidR="00941D29">
        <w:t xml:space="preserve"> in controlling </w:t>
      </w:r>
      <w:r w:rsidR="00C11EF4">
        <w:t>P</w:t>
      </w:r>
      <w:r w:rsidR="00941D29">
        <w:t>homopsis</w:t>
      </w:r>
      <w:r w:rsidR="00567A08">
        <w:t xml:space="preserve">, </w:t>
      </w:r>
      <w:r w:rsidR="00E8398F">
        <w:t>but</w:t>
      </w:r>
      <w:r w:rsidR="00567A08">
        <w:t xml:space="preserve"> there is very little research on the</w:t>
      </w:r>
      <w:r w:rsidR="00A019CF">
        <w:t>ir</w:t>
      </w:r>
      <w:r w:rsidR="00567A08">
        <w:t xml:space="preserve"> effectiveness in this </w:t>
      </w:r>
      <w:r w:rsidR="00941D29">
        <w:t>region</w:t>
      </w:r>
      <w:r w:rsidR="00515A23">
        <w:t xml:space="preserve"> (Brown et al., 2024</w:t>
      </w:r>
      <w:r w:rsidR="00B84289">
        <w:t>)</w:t>
      </w:r>
      <w:r w:rsidR="00567A08">
        <w:t xml:space="preserve">. The </w:t>
      </w:r>
      <w:r w:rsidR="00567A08" w:rsidRPr="009A44C5">
        <w:rPr>
          <w:b/>
          <w:bCs/>
        </w:rPr>
        <w:t>objective</w:t>
      </w:r>
      <w:r w:rsidR="00567A08">
        <w:t xml:space="preserve"> of this study is to see if </w:t>
      </w:r>
      <w:r w:rsidR="00B8492B">
        <w:t xml:space="preserve">strobilurins are as effective as the present </w:t>
      </w:r>
      <w:r w:rsidR="00ED5FBA">
        <w:t xml:space="preserve">industry </w:t>
      </w:r>
      <w:r w:rsidR="00B8492B">
        <w:t>standard</w:t>
      </w:r>
      <w:r w:rsidR="00EF71B0">
        <w:t xml:space="preserve"> fungicide</w:t>
      </w:r>
      <w:r w:rsidR="007E1FB2">
        <w:t xml:space="preserve"> </w:t>
      </w:r>
      <w:r w:rsidR="00692A22">
        <w:t>(Mancozeb</w:t>
      </w:r>
      <w:r w:rsidR="00AA0D4A">
        <w:t>, i.e. Manzate</w:t>
      </w:r>
      <w:r w:rsidR="00692A22">
        <w:t>)</w:t>
      </w:r>
      <w:r w:rsidR="00EF71B0">
        <w:t xml:space="preserve"> used</w:t>
      </w:r>
      <w:r w:rsidR="007F7382">
        <w:t xml:space="preserve"> to control Phomopsis</w:t>
      </w:r>
      <w:r w:rsidR="005A364A">
        <w:t>.</w:t>
      </w:r>
      <w:r w:rsidR="00F8155E">
        <w:t xml:space="preserve"> </w:t>
      </w:r>
    </w:p>
    <w:p w14:paraId="63B0E1DD" w14:textId="0935EBAA" w:rsidR="00BF58BA" w:rsidRDefault="009A2FCD">
      <w:r>
        <w:rPr>
          <w:b/>
          <w:bCs/>
        </w:rPr>
        <w:t>Methods:</w:t>
      </w:r>
      <w:r w:rsidR="008E72F4">
        <w:t xml:space="preserve"> A randomized complete block design was set up for two grape cultivars: Concord and Niagara.  </w:t>
      </w:r>
      <w:r w:rsidR="00081801">
        <w:t>The</w:t>
      </w:r>
      <w:r w:rsidR="008E72F4" w:rsidRPr="00E77A84">
        <w:t xml:space="preserve"> </w:t>
      </w:r>
      <w:r w:rsidR="008E72F4">
        <w:t xml:space="preserve">Concord </w:t>
      </w:r>
      <w:r w:rsidR="00081801">
        <w:t xml:space="preserve">trial </w:t>
      </w:r>
      <w:r w:rsidR="008E72F4">
        <w:t xml:space="preserve">had 5 replicates or blocks. </w:t>
      </w:r>
      <w:r w:rsidR="00480273">
        <w:t xml:space="preserve"> </w:t>
      </w:r>
      <w:r w:rsidR="002E31C2">
        <w:t>We</w:t>
      </w:r>
      <w:r w:rsidR="00C46A83">
        <w:t xml:space="preserve"> applied</w:t>
      </w:r>
      <w:r w:rsidR="00A76A77">
        <w:t xml:space="preserve"> </w:t>
      </w:r>
      <w:r w:rsidR="007A58CB">
        <w:t>5</w:t>
      </w:r>
      <w:r w:rsidR="00480273">
        <w:t xml:space="preserve"> spray</w:t>
      </w:r>
      <w:r w:rsidR="00C46A83">
        <w:t xml:space="preserve"> treatments</w:t>
      </w:r>
      <w:r w:rsidR="008C4F32">
        <w:t xml:space="preserve"> at about 10 day intervals from pre</w:t>
      </w:r>
      <w:r w:rsidR="004A243C">
        <w:t>-</w:t>
      </w:r>
      <w:r w:rsidR="008C4F32">
        <w:t>bloom to pos</w:t>
      </w:r>
      <w:r w:rsidR="00EC15B9">
        <w:t>t</w:t>
      </w:r>
      <w:r w:rsidR="00B704F3">
        <w:t>-</w:t>
      </w:r>
      <w:r w:rsidR="00E44BAE">
        <w:t>b</w:t>
      </w:r>
      <w:r w:rsidR="008C4F32">
        <w:t>loom.</w:t>
      </w:r>
      <w:r w:rsidR="00383316">
        <w:t xml:space="preserve"> The treatments included a water</w:t>
      </w:r>
      <w:r w:rsidR="00F32E25">
        <w:t xml:space="preserve"> spray negative</w:t>
      </w:r>
      <w:r w:rsidR="00383316">
        <w:t xml:space="preserve"> control</w:t>
      </w:r>
      <w:r w:rsidR="00117C39">
        <w:t>, a positive control (</w:t>
      </w:r>
      <w:r w:rsidR="00D70EF4">
        <w:t>Man</w:t>
      </w:r>
      <w:r w:rsidR="00AD0369">
        <w:t>zate</w:t>
      </w:r>
      <w:r w:rsidR="00117C39">
        <w:t>) and high and low concentrations of 2 different strob</w:t>
      </w:r>
      <w:r w:rsidR="00D52A5A">
        <w:t>i</w:t>
      </w:r>
      <w:r w:rsidR="00117C39">
        <w:t>lurins</w:t>
      </w:r>
      <w:r w:rsidR="0080739A">
        <w:t xml:space="preserve"> (Abound and Sovran)</w:t>
      </w:r>
      <w:r w:rsidR="00A615D4">
        <w:t>. Mid</w:t>
      </w:r>
      <w:r w:rsidR="00E44BAE">
        <w:t>-</w:t>
      </w:r>
      <w:r w:rsidR="00A615D4">
        <w:t>season</w:t>
      </w:r>
      <w:r w:rsidR="005959F6">
        <w:t xml:space="preserve"> and post sprays</w:t>
      </w:r>
      <w:r w:rsidR="00A77F3C">
        <w:t>,</w:t>
      </w:r>
      <w:r w:rsidR="00A615D4">
        <w:t xml:space="preserve"> </w:t>
      </w:r>
      <w:r w:rsidR="00003E67">
        <w:t>for each block/treatment,</w:t>
      </w:r>
      <w:r w:rsidR="00FE6D41">
        <w:t xml:space="preserve"> I </w:t>
      </w:r>
      <w:r w:rsidR="00E6678C">
        <w:t xml:space="preserve">randomly </w:t>
      </w:r>
      <w:r w:rsidR="00561C8D">
        <w:t>selected</w:t>
      </w:r>
      <w:r w:rsidR="00E6678C">
        <w:t xml:space="preserve"> 10</w:t>
      </w:r>
      <w:r w:rsidR="00561C8D">
        <w:t xml:space="preserve"> shoots </w:t>
      </w:r>
      <w:r w:rsidR="00E6678C">
        <w:t>and</w:t>
      </w:r>
      <w:r w:rsidR="00561C8D">
        <w:t xml:space="preserve"> rated</w:t>
      </w:r>
      <w:r w:rsidR="0029707C">
        <w:t xml:space="preserve"> the cane, clusters, and leaves separately</w:t>
      </w:r>
      <w:r w:rsidR="003B69DE">
        <w:t xml:space="preserve"> </w:t>
      </w:r>
      <w:r w:rsidR="00FE6D41">
        <w:t xml:space="preserve">for disease severity using </w:t>
      </w:r>
      <w:r w:rsidR="00E6678C">
        <w:t xml:space="preserve">the </w:t>
      </w:r>
      <w:r w:rsidR="003B69DE">
        <w:t>H</w:t>
      </w:r>
      <w:r w:rsidR="00E6678C">
        <w:t>orsfall</w:t>
      </w:r>
      <w:r w:rsidR="00AD0369">
        <w:t>-Bar</w:t>
      </w:r>
      <w:r w:rsidR="00760428">
        <w:t>r</w:t>
      </w:r>
      <w:r w:rsidR="00AD0369">
        <w:t>att</w:t>
      </w:r>
      <w:r w:rsidR="00E6678C">
        <w:t xml:space="preserve"> </w:t>
      </w:r>
      <w:r w:rsidR="0029707C">
        <w:t>scale</w:t>
      </w:r>
      <w:r w:rsidR="005959F6">
        <w:t xml:space="preserve"> </w:t>
      </w:r>
      <w:r w:rsidR="00794C3D">
        <w:t>(</w:t>
      </w:r>
      <w:r w:rsidR="00722350">
        <w:t>Bock et al., 2010</w:t>
      </w:r>
      <w:r w:rsidR="00794C3D">
        <w:t>)</w:t>
      </w:r>
      <w:r w:rsidR="00760428">
        <w:t xml:space="preserve">. </w:t>
      </w:r>
      <w:r w:rsidR="00477C38">
        <w:t xml:space="preserve">The data consists </w:t>
      </w:r>
      <w:r w:rsidR="00FF3DD2">
        <w:t xml:space="preserve">of </w:t>
      </w:r>
      <w:r w:rsidR="00477C38">
        <w:t>response variables of disease severity</w:t>
      </w:r>
      <w:r w:rsidR="00095697">
        <w:t xml:space="preserve"> </w:t>
      </w:r>
      <w:r w:rsidR="001C6718">
        <w:t>and incidence</w:t>
      </w:r>
      <w:r w:rsidR="00ED78BF">
        <w:t xml:space="preserve"> </w:t>
      </w:r>
      <w:r w:rsidR="00095697">
        <w:t xml:space="preserve">for </w:t>
      </w:r>
      <w:r w:rsidR="00ED78BF">
        <w:t>cane</w:t>
      </w:r>
      <w:r w:rsidR="00095697">
        <w:t>s</w:t>
      </w:r>
      <w:r w:rsidR="00ED78BF">
        <w:t>, lea</w:t>
      </w:r>
      <w:r w:rsidR="00095697">
        <w:t>ves and</w:t>
      </w:r>
      <w:r w:rsidR="00ED78BF">
        <w:t xml:space="preserve"> cluster</w:t>
      </w:r>
      <w:r w:rsidR="00095697">
        <w:t>s</w:t>
      </w:r>
      <w:r w:rsidR="001C6718">
        <w:t xml:space="preserve">. Independent variables are </w:t>
      </w:r>
      <w:r w:rsidR="00FF3DD2">
        <w:t>treatments</w:t>
      </w:r>
      <w:r w:rsidR="00E52218">
        <w:t xml:space="preserve"> (fixed effect)</w:t>
      </w:r>
      <w:r w:rsidR="00044A33">
        <w:t xml:space="preserve"> and </w:t>
      </w:r>
      <w:r w:rsidR="00FF3DD2">
        <w:t>blocks</w:t>
      </w:r>
      <w:r w:rsidR="00A77F3C">
        <w:t xml:space="preserve"> </w:t>
      </w:r>
      <w:r w:rsidR="00E52218">
        <w:t>(random effect)</w:t>
      </w:r>
      <w:r w:rsidR="00FF3DD2">
        <w:t>.</w:t>
      </w:r>
      <w:r w:rsidR="00940816">
        <w:t xml:space="preserve"> </w:t>
      </w:r>
      <w:r w:rsidR="00D5301C">
        <w:t>The severity data</w:t>
      </w:r>
      <w:r w:rsidR="00D16E2B">
        <w:t xml:space="preserve"> estimates the percent of diseased area and</w:t>
      </w:r>
      <w:r w:rsidR="005D57E0">
        <w:t xml:space="preserve"> was generated from the Horsfall-Barratt scale data using </w:t>
      </w:r>
      <w:r w:rsidR="00794C3D">
        <w:t xml:space="preserve">the </w:t>
      </w:r>
      <w:r w:rsidR="00976D18">
        <w:t>Elanco conversion</w:t>
      </w:r>
      <w:r w:rsidR="003E0F4E">
        <w:t>. Severity data</w:t>
      </w:r>
      <w:r w:rsidR="00976D18">
        <w:t xml:space="preserve"> </w:t>
      </w:r>
      <w:r w:rsidR="00D5301C">
        <w:t>is continuous</w:t>
      </w:r>
      <w:r w:rsidR="00146CDE">
        <w:t xml:space="preserve">, but </w:t>
      </w:r>
      <w:r w:rsidR="00794C3D">
        <w:t>does</w:t>
      </w:r>
      <w:r w:rsidR="00146CDE">
        <w:t xml:space="preserve"> not</w:t>
      </w:r>
      <w:r w:rsidR="00794C3D">
        <w:t xml:space="preserve"> appear</w:t>
      </w:r>
      <w:r w:rsidR="00146CDE">
        <w:t xml:space="preserve"> normal</w:t>
      </w:r>
      <w:r w:rsidR="00867470">
        <w:t>ly distributed</w:t>
      </w:r>
      <w:r w:rsidR="001766EA">
        <w:t xml:space="preserve"> (Chart 1</w:t>
      </w:r>
      <w:r w:rsidR="00035B33">
        <w:t>)</w:t>
      </w:r>
      <w:r w:rsidR="00146CDE">
        <w:t xml:space="preserve"> </w:t>
      </w:r>
      <w:r w:rsidR="000F7DE7">
        <w:t>or</w:t>
      </w:r>
      <w:r w:rsidR="00146CDE">
        <w:t xml:space="preserve"> have </w:t>
      </w:r>
      <w:r w:rsidR="00FE25B8">
        <w:t>homoscedastic variance</w:t>
      </w:r>
      <w:r w:rsidR="00035B33">
        <w:t xml:space="preserve"> (Chart 2</w:t>
      </w:r>
      <w:r w:rsidR="00C6068F">
        <w:t>, 3</w:t>
      </w:r>
      <w:r w:rsidR="00035B33">
        <w:t>)</w:t>
      </w:r>
      <w:r w:rsidR="000921FE">
        <w:t xml:space="preserve"> </w:t>
      </w:r>
      <w:r w:rsidR="000F7DE7">
        <w:t>based on data visualizations and dia</w:t>
      </w:r>
      <w:r w:rsidR="000D698E">
        <w:t>gnostics</w:t>
      </w:r>
      <w:r w:rsidR="00FE25B8">
        <w:t>, therefore I decided not to use ANOVA</w:t>
      </w:r>
      <w:r w:rsidR="00F936EE">
        <w:t xml:space="preserve"> or General Linear Models</w:t>
      </w:r>
      <w:r w:rsidR="00566E4E">
        <w:t xml:space="preserve"> and chose Beta Regression modeling instead that does not require</w:t>
      </w:r>
      <w:r w:rsidR="001F2BBD">
        <w:t xml:space="preserve"> normality or homoscedasticity</w:t>
      </w:r>
      <w:r w:rsidR="006B7F4A">
        <w:t xml:space="preserve"> and can accommodate skewed and bounded data</w:t>
      </w:r>
      <w:r w:rsidR="001F2BBD">
        <w:t xml:space="preserve">. For </w:t>
      </w:r>
      <w:r w:rsidR="007C48F6">
        <w:t>the incidence data (presence/absence), I used</w:t>
      </w:r>
      <w:r w:rsidR="00EA793A">
        <w:t xml:space="preserve"> mixed effects </w:t>
      </w:r>
      <w:r w:rsidR="002B0193">
        <w:t>(</w:t>
      </w:r>
      <w:r w:rsidR="00EA793A">
        <w:t>binomial</w:t>
      </w:r>
      <w:r w:rsidR="002B0193">
        <w:t xml:space="preserve">) models. </w:t>
      </w:r>
      <w:r w:rsidR="009E20AF">
        <w:t xml:space="preserve">These </w:t>
      </w:r>
      <w:r w:rsidR="002B0193">
        <w:t>models were followed with post hoc</w:t>
      </w:r>
      <w:r w:rsidR="00DC0097">
        <w:t xml:space="preserve"> </w:t>
      </w:r>
      <w:r w:rsidR="002B0193">
        <w:t xml:space="preserve">Tukey </w:t>
      </w:r>
      <w:r w:rsidR="00763B5F">
        <w:t xml:space="preserve">HSD </w:t>
      </w:r>
      <w:r w:rsidR="00391EFE">
        <w:t>tests to distinguish mean differences.</w:t>
      </w:r>
    </w:p>
    <w:p w14:paraId="2176F12E" w14:textId="6D5AE440" w:rsidR="0013375E" w:rsidRDefault="009A2FCD">
      <w:r>
        <w:rPr>
          <w:b/>
          <w:bCs/>
        </w:rPr>
        <w:t>Results:</w:t>
      </w:r>
      <w:r w:rsidR="0054623C">
        <w:rPr>
          <w:b/>
          <w:bCs/>
        </w:rPr>
        <w:t xml:space="preserve"> </w:t>
      </w:r>
      <w:r w:rsidR="0054623C">
        <w:t xml:space="preserve">Results were consistent </w:t>
      </w:r>
      <w:r w:rsidR="00A01A3A">
        <w:t xml:space="preserve">between both severity data and incidence data as well as </w:t>
      </w:r>
      <w:r w:rsidR="000E2B56">
        <w:t>organ types (cane, leaves, clusters</w:t>
      </w:r>
      <w:r w:rsidR="00954164">
        <w:t xml:space="preserve">; </w:t>
      </w:r>
      <w:r w:rsidR="00C6068F">
        <w:t xml:space="preserve">Chart 4, </w:t>
      </w:r>
      <w:r w:rsidR="000E2B56">
        <w:t>Table 1)</w:t>
      </w:r>
      <w:r w:rsidR="00954164">
        <w:t xml:space="preserve">. </w:t>
      </w:r>
      <w:r w:rsidR="0037391A">
        <w:t>High and low concentrations of strob</w:t>
      </w:r>
      <w:r w:rsidR="005E51AF">
        <w:t>ilurins performed as well as the industry standard</w:t>
      </w:r>
      <w:r w:rsidR="0043455D">
        <w:t xml:space="preserve"> (Manzate) and significantly reduced</w:t>
      </w:r>
      <w:r w:rsidR="00D94127">
        <w:t xml:space="preserve"> both the incidence and severity of Phomopsis disease on the canes, leaves, and clusters</w:t>
      </w:r>
      <w:r w:rsidR="00883FE5">
        <w:t xml:space="preserve"> (Table 1</w:t>
      </w:r>
      <w:r w:rsidR="0088262F">
        <w:t>; Chart 5</w:t>
      </w:r>
      <w:r w:rsidR="00883FE5">
        <w:t>)</w:t>
      </w:r>
      <w:r w:rsidR="00474201">
        <w:t xml:space="preserve"> as compared to the water control</w:t>
      </w:r>
      <w:r w:rsidR="00883FE5">
        <w:t>. This supports the</w:t>
      </w:r>
      <w:r w:rsidR="00313B53">
        <w:t xml:space="preserve"> use of strobilurins as another alternative to </w:t>
      </w:r>
      <w:r w:rsidR="00100D2A">
        <w:t>mancozeb products should they be dere</w:t>
      </w:r>
      <w:r w:rsidR="004F0F95">
        <w:t>gistered</w:t>
      </w:r>
      <w:r w:rsidR="00100D2A">
        <w:t xml:space="preserve"> by the EPA.</w:t>
      </w:r>
      <w:r w:rsidR="006C7135">
        <w:t xml:space="preserve"> </w:t>
      </w:r>
    </w:p>
    <w:p w14:paraId="1F766382" w14:textId="3DDA648F" w:rsidR="00747534" w:rsidRDefault="00914821">
      <w:pPr>
        <w:rPr>
          <w:b/>
          <w:bCs/>
        </w:rPr>
      </w:pPr>
      <w:r>
        <w:rPr>
          <w:b/>
          <w:bCs/>
        </w:rPr>
        <w:lastRenderedPageBreak/>
        <w:t>Chart 1</w:t>
      </w:r>
    </w:p>
    <w:p w14:paraId="34865E43" w14:textId="7A4C5FE1" w:rsidR="00747534" w:rsidRDefault="007805D0">
      <w:pPr>
        <w:rPr>
          <w:b/>
          <w:bCs/>
        </w:rPr>
      </w:pPr>
      <w:r w:rsidRPr="007805D0">
        <w:rPr>
          <w:b/>
          <w:bCs/>
          <w:noProof/>
        </w:rPr>
        <w:drawing>
          <wp:inline distT="0" distB="0" distL="0" distR="0" wp14:anchorId="69654F1B" wp14:editId="40AE008A">
            <wp:extent cx="5943600" cy="4446270"/>
            <wp:effectExtent l="0" t="0" r="0" b="0"/>
            <wp:docPr id="138253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44AB" w14:textId="77777777" w:rsidR="00747534" w:rsidRDefault="00747534">
      <w:pPr>
        <w:rPr>
          <w:b/>
          <w:bCs/>
        </w:rPr>
      </w:pPr>
    </w:p>
    <w:p w14:paraId="72009B3C" w14:textId="77777777" w:rsidR="00747534" w:rsidRDefault="00747534">
      <w:pPr>
        <w:rPr>
          <w:b/>
          <w:bCs/>
        </w:rPr>
      </w:pPr>
    </w:p>
    <w:p w14:paraId="33C41F1D" w14:textId="77777777" w:rsidR="00AA0A2C" w:rsidRDefault="00AA0A2C">
      <w:pPr>
        <w:rPr>
          <w:b/>
          <w:bCs/>
        </w:rPr>
      </w:pPr>
    </w:p>
    <w:p w14:paraId="0F287FAA" w14:textId="77777777" w:rsidR="00AA0A2C" w:rsidRDefault="00AA0A2C">
      <w:pPr>
        <w:rPr>
          <w:b/>
          <w:bCs/>
        </w:rPr>
      </w:pPr>
    </w:p>
    <w:p w14:paraId="33A4C7B4" w14:textId="77777777" w:rsidR="00AA0A2C" w:rsidRDefault="00AA0A2C">
      <w:pPr>
        <w:rPr>
          <w:b/>
          <w:bCs/>
        </w:rPr>
      </w:pPr>
    </w:p>
    <w:p w14:paraId="0B0A0320" w14:textId="77777777" w:rsidR="00AA0A2C" w:rsidRDefault="00AA0A2C">
      <w:pPr>
        <w:rPr>
          <w:b/>
          <w:bCs/>
        </w:rPr>
      </w:pPr>
    </w:p>
    <w:p w14:paraId="57AC3A58" w14:textId="77777777" w:rsidR="00AA0A2C" w:rsidRDefault="00AA0A2C">
      <w:pPr>
        <w:rPr>
          <w:b/>
          <w:bCs/>
        </w:rPr>
      </w:pPr>
    </w:p>
    <w:p w14:paraId="18555415" w14:textId="77777777" w:rsidR="00AA0A2C" w:rsidRDefault="00AA0A2C">
      <w:pPr>
        <w:rPr>
          <w:b/>
          <w:bCs/>
        </w:rPr>
      </w:pPr>
    </w:p>
    <w:p w14:paraId="13AC1CB6" w14:textId="77777777" w:rsidR="00AA0A2C" w:rsidRDefault="00AA0A2C">
      <w:pPr>
        <w:rPr>
          <w:b/>
          <w:bCs/>
        </w:rPr>
      </w:pPr>
    </w:p>
    <w:p w14:paraId="5019569F" w14:textId="77777777" w:rsidR="00AA0A2C" w:rsidRDefault="00AA0A2C">
      <w:pPr>
        <w:rPr>
          <w:b/>
          <w:bCs/>
        </w:rPr>
      </w:pPr>
    </w:p>
    <w:p w14:paraId="2B6D65C8" w14:textId="5C21DFE4" w:rsidR="00AA0A2C" w:rsidRDefault="00AA0A2C">
      <w:pPr>
        <w:rPr>
          <w:b/>
          <w:bCs/>
        </w:rPr>
      </w:pPr>
      <w:r>
        <w:rPr>
          <w:b/>
          <w:bCs/>
        </w:rPr>
        <w:lastRenderedPageBreak/>
        <w:t>Chart 2</w:t>
      </w:r>
    </w:p>
    <w:p w14:paraId="4BEF557A" w14:textId="3A9C76FE" w:rsidR="00747534" w:rsidRDefault="00D4079F">
      <w:pPr>
        <w:rPr>
          <w:b/>
          <w:bCs/>
        </w:rPr>
      </w:pPr>
      <w:r w:rsidRPr="00D4079F">
        <w:rPr>
          <w:b/>
          <w:bCs/>
          <w:noProof/>
        </w:rPr>
        <w:drawing>
          <wp:inline distT="0" distB="0" distL="0" distR="0" wp14:anchorId="258BD318" wp14:editId="4F6AC8EC">
            <wp:extent cx="5943600" cy="4451350"/>
            <wp:effectExtent l="0" t="0" r="0" b="6350"/>
            <wp:docPr id="1073101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D21FB" w14:textId="77777777" w:rsidR="00AA0A2C" w:rsidRPr="009D134B" w:rsidRDefault="00AA0A2C" w:rsidP="00AA0A2C">
      <w:pPr>
        <w:rPr>
          <w:b/>
          <w:bCs/>
          <w:sz w:val="20"/>
          <w:szCs w:val="20"/>
        </w:rPr>
      </w:pPr>
      <w:r w:rsidRPr="009D134B">
        <w:rPr>
          <w:b/>
          <w:bCs/>
          <w:sz w:val="20"/>
          <w:szCs w:val="20"/>
        </w:rPr>
        <w:t>Treatment Key:</w:t>
      </w:r>
    </w:p>
    <w:p w14:paraId="777D9B95" w14:textId="77777777" w:rsidR="00AA0A2C" w:rsidRPr="009D134B" w:rsidRDefault="00AA0A2C" w:rsidP="00AA0A2C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1 - Abound Low</w:t>
      </w:r>
    </w:p>
    <w:p w14:paraId="28C697A5" w14:textId="77777777" w:rsidR="00AA0A2C" w:rsidRPr="009D134B" w:rsidRDefault="00AA0A2C" w:rsidP="00AA0A2C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2 – Abound High</w:t>
      </w:r>
    </w:p>
    <w:p w14:paraId="65B459CC" w14:textId="77777777" w:rsidR="00AA0A2C" w:rsidRPr="009D134B" w:rsidRDefault="00AA0A2C" w:rsidP="00AA0A2C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3 – Sovran Low</w:t>
      </w:r>
    </w:p>
    <w:p w14:paraId="52E5E48A" w14:textId="77777777" w:rsidR="00AA0A2C" w:rsidRPr="009D134B" w:rsidRDefault="00AA0A2C" w:rsidP="00AA0A2C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4 – Sovran High</w:t>
      </w:r>
    </w:p>
    <w:p w14:paraId="587D5E85" w14:textId="77777777" w:rsidR="00AA0A2C" w:rsidRPr="009D134B" w:rsidRDefault="00AA0A2C" w:rsidP="00AA0A2C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5 – Positive Control Manzate</w:t>
      </w:r>
    </w:p>
    <w:p w14:paraId="5C9FECBB" w14:textId="77777777" w:rsidR="00AA0A2C" w:rsidRPr="009D134B" w:rsidRDefault="00AA0A2C" w:rsidP="00AA0A2C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6 – Negative Control Water Spray</w:t>
      </w:r>
    </w:p>
    <w:p w14:paraId="533B097C" w14:textId="77777777" w:rsidR="00747534" w:rsidRDefault="00747534">
      <w:pPr>
        <w:rPr>
          <w:b/>
          <w:bCs/>
        </w:rPr>
      </w:pPr>
    </w:p>
    <w:p w14:paraId="4606BBF9" w14:textId="77777777" w:rsidR="00747534" w:rsidRDefault="00747534">
      <w:pPr>
        <w:rPr>
          <w:b/>
          <w:bCs/>
        </w:rPr>
      </w:pPr>
    </w:p>
    <w:p w14:paraId="6704E8DB" w14:textId="77777777" w:rsidR="00747534" w:rsidRDefault="00747534">
      <w:pPr>
        <w:rPr>
          <w:b/>
          <w:bCs/>
        </w:rPr>
      </w:pPr>
    </w:p>
    <w:p w14:paraId="60DA8C50" w14:textId="77777777" w:rsidR="00747534" w:rsidRDefault="00747534">
      <w:pPr>
        <w:rPr>
          <w:b/>
          <w:bCs/>
        </w:rPr>
      </w:pPr>
    </w:p>
    <w:p w14:paraId="7F821055" w14:textId="77777777" w:rsidR="00747534" w:rsidRDefault="00747534">
      <w:pPr>
        <w:rPr>
          <w:b/>
          <w:bCs/>
        </w:rPr>
      </w:pPr>
    </w:p>
    <w:p w14:paraId="182D901A" w14:textId="77777777" w:rsidR="009D134B" w:rsidRDefault="009D134B">
      <w:pPr>
        <w:rPr>
          <w:b/>
          <w:bCs/>
        </w:rPr>
      </w:pPr>
    </w:p>
    <w:p w14:paraId="56CB22CB" w14:textId="77777777" w:rsidR="00747534" w:rsidRPr="009A2FCD" w:rsidRDefault="00747534">
      <w:pPr>
        <w:rPr>
          <w:b/>
          <w:bCs/>
        </w:rPr>
      </w:pPr>
    </w:p>
    <w:p w14:paraId="08A313EA" w14:textId="7C1653DA" w:rsidR="004241CF" w:rsidRPr="00AA0A2C" w:rsidRDefault="00AA0A2C">
      <w:pPr>
        <w:rPr>
          <w:b/>
          <w:bCs/>
        </w:rPr>
      </w:pPr>
      <w:r w:rsidRPr="00AA0A2C">
        <w:rPr>
          <w:b/>
          <w:bCs/>
        </w:rPr>
        <w:lastRenderedPageBreak/>
        <w:t>Chart 3</w:t>
      </w:r>
    </w:p>
    <w:p w14:paraId="4C69753F" w14:textId="7E6ED4C5" w:rsidR="003D6C57" w:rsidRDefault="002F3D1A">
      <w:r w:rsidRPr="002F3D1A">
        <w:rPr>
          <w:noProof/>
        </w:rPr>
        <w:drawing>
          <wp:inline distT="0" distB="0" distL="0" distR="0" wp14:anchorId="77A9E799" wp14:editId="535EC6B0">
            <wp:extent cx="5943600" cy="4451350"/>
            <wp:effectExtent l="0" t="0" r="0" b="6350"/>
            <wp:docPr id="1754109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DF2B" w14:textId="77777777" w:rsidR="003D6C57" w:rsidRDefault="003D6C57"/>
    <w:p w14:paraId="15C1B672" w14:textId="77777777" w:rsidR="00570D15" w:rsidRDefault="00570D15">
      <w:pPr>
        <w:rPr>
          <w:noProof/>
        </w:rPr>
      </w:pPr>
    </w:p>
    <w:p w14:paraId="42ADCFEF" w14:textId="77777777" w:rsidR="00570D15" w:rsidRDefault="00570D15">
      <w:pPr>
        <w:rPr>
          <w:noProof/>
        </w:rPr>
      </w:pPr>
    </w:p>
    <w:p w14:paraId="4F7AB589" w14:textId="77777777" w:rsidR="00570D15" w:rsidRDefault="00570D15">
      <w:pPr>
        <w:rPr>
          <w:noProof/>
        </w:rPr>
      </w:pPr>
    </w:p>
    <w:p w14:paraId="77722C02" w14:textId="77777777" w:rsidR="00570D15" w:rsidRDefault="00570D15">
      <w:pPr>
        <w:rPr>
          <w:noProof/>
        </w:rPr>
      </w:pPr>
    </w:p>
    <w:p w14:paraId="50311B6A" w14:textId="77777777" w:rsidR="00570D15" w:rsidRDefault="00570D15">
      <w:pPr>
        <w:rPr>
          <w:noProof/>
        </w:rPr>
      </w:pPr>
    </w:p>
    <w:p w14:paraId="142C2FCD" w14:textId="77777777" w:rsidR="00570D15" w:rsidRDefault="00570D15">
      <w:pPr>
        <w:rPr>
          <w:noProof/>
        </w:rPr>
      </w:pPr>
    </w:p>
    <w:p w14:paraId="73EC2E8C" w14:textId="77777777" w:rsidR="00570D15" w:rsidRDefault="00570D15">
      <w:pPr>
        <w:rPr>
          <w:noProof/>
        </w:rPr>
      </w:pPr>
    </w:p>
    <w:p w14:paraId="4430D8CB" w14:textId="77777777" w:rsidR="001766EA" w:rsidRDefault="001766EA">
      <w:pPr>
        <w:rPr>
          <w:noProof/>
        </w:rPr>
      </w:pPr>
    </w:p>
    <w:p w14:paraId="282A3252" w14:textId="77777777" w:rsidR="001766EA" w:rsidRDefault="001766EA">
      <w:pPr>
        <w:rPr>
          <w:noProof/>
        </w:rPr>
      </w:pPr>
    </w:p>
    <w:p w14:paraId="2A5C03FE" w14:textId="14F6E602" w:rsidR="001766EA" w:rsidRPr="001766EA" w:rsidRDefault="001766EA">
      <w:pPr>
        <w:rPr>
          <w:b/>
          <w:bCs/>
          <w:noProof/>
        </w:rPr>
      </w:pPr>
      <w:r>
        <w:rPr>
          <w:b/>
          <w:bCs/>
          <w:noProof/>
        </w:rPr>
        <w:lastRenderedPageBreak/>
        <w:t>Chart 4</w:t>
      </w:r>
    </w:p>
    <w:p w14:paraId="0CE5555A" w14:textId="7E328A2F" w:rsidR="00D4079F" w:rsidRDefault="00765967">
      <w:r w:rsidRPr="00765967">
        <w:rPr>
          <w:noProof/>
        </w:rPr>
        <w:drawing>
          <wp:inline distT="0" distB="0" distL="0" distR="0" wp14:anchorId="60FC0597" wp14:editId="036C5E66">
            <wp:extent cx="5943600" cy="4456430"/>
            <wp:effectExtent l="0" t="0" r="0" b="1270"/>
            <wp:docPr id="213936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AB31" w14:textId="77777777" w:rsidR="00833AE3" w:rsidRPr="009D134B" w:rsidRDefault="00833AE3" w:rsidP="00833AE3">
      <w:pPr>
        <w:rPr>
          <w:b/>
          <w:bCs/>
          <w:sz w:val="20"/>
          <w:szCs w:val="20"/>
        </w:rPr>
      </w:pPr>
      <w:r w:rsidRPr="009D134B">
        <w:rPr>
          <w:b/>
          <w:bCs/>
          <w:sz w:val="20"/>
          <w:szCs w:val="20"/>
        </w:rPr>
        <w:t>Treatment Key:</w:t>
      </w:r>
    </w:p>
    <w:p w14:paraId="3D9245DA" w14:textId="77777777" w:rsidR="00833AE3" w:rsidRPr="009D134B" w:rsidRDefault="00833AE3" w:rsidP="00833AE3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1 - Abound Low</w:t>
      </w:r>
    </w:p>
    <w:p w14:paraId="2F8E87E0" w14:textId="77777777" w:rsidR="00833AE3" w:rsidRPr="009D134B" w:rsidRDefault="00833AE3" w:rsidP="00833AE3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2 – Abound High</w:t>
      </w:r>
    </w:p>
    <w:p w14:paraId="09FF6163" w14:textId="77777777" w:rsidR="00833AE3" w:rsidRPr="009D134B" w:rsidRDefault="00833AE3" w:rsidP="00833AE3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3 – Sovran Low</w:t>
      </w:r>
    </w:p>
    <w:p w14:paraId="2547D19B" w14:textId="77777777" w:rsidR="00833AE3" w:rsidRPr="009D134B" w:rsidRDefault="00833AE3" w:rsidP="00833AE3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4 – Sovran High</w:t>
      </w:r>
    </w:p>
    <w:p w14:paraId="4F40FB74" w14:textId="77777777" w:rsidR="00833AE3" w:rsidRPr="009D134B" w:rsidRDefault="00833AE3" w:rsidP="00833AE3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5 – Positive Control Manzate</w:t>
      </w:r>
    </w:p>
    <w:p w14:paraId="0AFB6A4F" w14:textId="77777777" w:rsidR="00833AE3" w:rsidRPr="009D134B" w:rsidRDefault="00833AE3" w:rsidP="00833AE3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6 – Negative Control Water Spray</w:t>
      </w:r>
    </w:p>
    <w:p w14:paraId="0951A8EC" w14:textId="77777777" w:rsidR="00466613" w:rsidRDefault="00466613"/>
    <w:p w14:paraId="0DF9F807" w14:textId="77777777" w:rsidR="00466613" w:rsidRDefault="00466613"/>
    <w:p w14:paraId="0901914F" w14:textId="77777777" w:rsidR="00466613" w:rsidRDefault="00466613"/>
    <w:p w14:paraId="002EF19F" w14:textId="77777777" w:rsidR="00466613" w:rsidRDefault="00466613"/>
    <w:p w14:paraId="7C1C7D23" w14:textId="77777777" w:rsidR="00466613" w:rsidRDefault="00466613"/>
    <w:p w14:paraId="61E2A89B" w14:textId="77777777" w:rsidR="00466613" w:rsidRDefault="00466613"/>
    <w:p w14:paraId="5B8B2AD2" w14:textId="77777777" w:rsidR="00466613" w:rsidRDefault="00466613"/>
    <w:p w14:paraId="034FBFA5" w14:textId="77777777" w:rsidR="00466613" w:rsidRDefault="00466613"/>
    <w:p w14:paraId="35578CD6" w14:textId="2A179C33" w:rsidR="00570D15" w:rsidRDefault="005A1D60">
      <w:r w:rsidRPr="005A1D60">
        <w:rPr>
          <w:noProof/>
        </w:rPr>
        <w:drawing>
          <wp:inline distT="0" distB="0" distL="0" distR="0" wp14:anchorId="66D021D3" wp14:editId="742BF9D0">
            <wp:extent cx="5943600" cy="4347210"/>
            <wp:effectExtent l="0" t="0" r="0" b="0"/>
            <wp:docPr id="582182565" name="Picture 1" descr="A table with numbers and percen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82565" name="Picture 1" descr="A table with numbers and percentag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1B08" w14:textId="77777777" w:rsidR="0088262F" w:rsidRDefault="0088262F"/>
    <w:p w14:paraId="1FC785CF" w14:textId="77777777" w:rsidR="0088262F" w:rsidRDefault="0088262F"/>
    <w:p w14:paraId="743C577D" w14:textId="77777777" w:rsidR="0088262F" w:rsidRDefault="0088262F"/>
    <w:p w14:paraId="6405B6FC" w14:textId="77777777" w:rsidR="0088262F" w:rsidRDefault="0088262F"/>
    <w:p w14:paraId="0C4A1840" w14:textId="77777777" w:rsidR="0088262F" w:rsidRDefault="0088262F"/>
    <w:p w14:paraId="01A9DC30" w14:textId="77777777" w:rsidR="0088262F" w:rsidRDefault="0088262F"/>
    <w:p w14:paraId="3F648EAC" w14:textId="77777777" w:rsidR="0088262F" w:rsidRDefault="0088262F"/>
    <w:p w14:paraId="2871626A" w14:textId="77777777" w:rsidR="0088262F" w:rsidRDefault="0088262F"/>
    <w:p w14:paraId="47DBDF2A" w14:textId="77777777" w:rsidR="0088262F" w:rsidRDefault="0088262F"/>
    <w:p w14:paraId="6B79F9B7" w14:textId="77777777" w:rsidR="0088262F" w:rsidRDefault="0088262F"/>
    <w:p w14:paraId="2AE8BCD4" w14:textId="77777777" w:rsidR="0088262F" w:rsidRDefault="0088262F"/>
    <w:p w14:paraId="2A37235F" w14:textId="02B4B03E" w:rsidR="0088262F" w:rsidRPr="0088262F" w:rsidRDefault="0088262F">
      <w:pPr>
        <w:rPr>
          <w:b/>
          <w:bCs/>
        </w:rPr>
      </w:pPr>
      <w:r w:rsidRPr="0088262F">
        <w:rPr>
          <w:b/>
          <w:bCs/>
        </w:rPr>
        <w:lastRenderedPageBreak/>
        <w:t>Chart 5</w:t>
      </w:r>
    </w:p>
    <w:p w14:paraId="1DB18DD4" w14:textId="46C92864" w:rsidR="00570D15" w:rsidRDefault="00D73C20">
      <w:r w:rsidRPr="00D73C20">
        <w:rPr>
          <w:noProof/>
        </w:rPr>
        <w:drawing>
          <wp:inline distT="0" distB="0" distL="0" distR="0" wp14:anchorId="2E1F64C3" wp14:editId="28DF4F0B">
            <wp:extent cx="5943600" cy="4130675"/>
            <wp:effectExtent l="0" t="0" r="0" b="3175"/>
            <wp:docPr id="353335769" name="Picture 1" descr="A group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35769" name="Picture 1" descr="A group of different colored b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BE57" w14:textId="77777777" w:rsidR="00833AE3" w:rsidRPr="009D134B" w:rsidRDefault="00833AE3" w:rsidP="00833AE3">
      <w:pPr>
        <w:rPr>
          <w:b/>
          <w:bCs/>
          <w:sz w:val="20"/>
          <w:szCs w:val="20"/>
        </w:rPr>
      </w:pPr>
      <w:r w:rsidRPr="009D134B">
        <w:rPr>
          <w:b/>
          <w:bCs/>
          <w:sz w:val="20"/>
          <w:szCs w:val="20"/>
        </w:rPr>
        <w:t>Treatment Key:</w:t>
      </w:r>
    </w:p>
    <w:p w14:paraId="75E1138D" w14:textId="77777777" w:rsidR="00833AE3" w:rsidRPr="009D134B" w:rsidRDefault="00833AE3" w:rsidP="00833AE3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1 - Abound Low</w:t>
      </w:r>
    </w:p>
    <w:p w14:paraId="56B8037B" w14:textId="77777777" w:rsidR="00833AE3" w:rsidRPr="009D134B" w:rsidRDefault="00833AE3" w:rsidP="00833AE3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2 – Abound High</w:t>
      </w:r>
    </w:p>
    <w:p w14:paraId="6C6A57E1" w14:textId="77777777" w:rsidR="00833AE3" w:rsidRPr="009D134B" w:rsidRDefault="00833AE3" w:rsidP="00833AE3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3 – Sovran Low</w:t>
      </w:r>
    </w:p>
    <w:p w14:paraId="46BA368B" w14:textId="77777777" w:rsidR="00833AE3" w:rsidRPr="009D134B" w:rsidRDefault="00833AE3" w:rsidP="00833AE3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4 – Sovran High</w:t>
      </w:r>
    </w:p>
    <w:p w14:paraId="70CB4A3C" w14:textId="77777777" w:rsidR="00833AE3" w:rsidRPr="009D134B" w:rsidRDefault="00833AE3" w:rsidP="00833AE3">
      <w:pPr>
        <w:spacing w:after="0" w:line="240" w:lineRule="auto"/>
        <w:rPr>
          <w:sz w:val="20"/>
          <w:szCs w:val="20"/>
        </w:rPr>
      </w:pPr>
      <w:r w:rsidRPr="009D134B">
        <w:rPr>
          <w:sz w:val="20"/>
          <w:szCs w:val="20"/>
        </w:rPr>
        <w:t>5 – Positive Control Manzate</w:t>
      </w:r>
    </w:p>
    <w:p w14:paraId="6393F29A" w14:textId="77777777" w:rsidR="00D73C20" w:rsidRDefault="00D73C20"/>
    <w:p w14:paraId="782E2355" w14:textId="77777777" w:rsidR="00833AE3" w:rsidRDefault="00833AE3"/>
    <w:p w14:paraId="4D68A84F" w14:textId="77777777" w:rsidR="00833AE3" w:rsidRDefault="00833AE3"/>
    <w:p w14:paraId="7FEBFD9F" w14:textId="77777777" w:rsidR="00833AE3" w:rsidRDefault="00833AE3"/>
    <w:p w14:paraId="5AF18D2B" w14:textId="77777777" w:rsidR="00833AE3" w:rsidRDefault="00833AE3"/>
    <w:p w14:paraId="426761F9" w14:textId="77777777" w:rsidR="00833AE3" w:rsidRDefault="00833AE3"/>
    <w:p w14:paraId="4344610F" w14:textId="77777777" w:rsidR="00833AE3" w:rsidRDefault="00833AE3"/>
    <w:p w14:paraId="567ABEDE" w14:textId="77777777" w:rsidR="00833AE3" w:rsidRDefault="00833AE3"/>
    <w:p w14:paraId="1B07D4EE" w14:textId="77777777" w:rsidR="00833AE3" w:rsidRDefault="00833AE3"/>
    <w:p w14:paraId="050C8E3F" w14:textId="4FD1D0CD" w:rsidR="009C7FE3" w:rsidRPr="007A58CB" w:rsidRDefault="009C7FE3">
      <w:pPr>
        <w:rPr>
          <w:b/>
          <w:bCs/>
          <w:lang w:val="es-ES"/>
        </w:rPr>
      </w:pPr>
      <w:r w:rsidRPr="007A58CB">
        <w:rPr>
          <w:b/>
          <w:bCs/>
          <w:lang w:val="es-ES"/>
        </w:rPr>
        <w:t>References:</w:t>
      </w:r>
    </w:p>
    <w:p w14:paraId="44EAA3FE" w14:textId="60BDCEBB" w:rsidR="005822DA" w:rsidRPr="007E1FB2" w:rsidRDefault="002E2211" w:rsidP="007E1FB2">
      <w:pPr>
        <w:spacing w:after="0" w:line="240" w:lineRule="auto"/>
        <w:rPr>
          <w:rFonts w:ascii="Times New Roman" w:hAnsi="Times New Roman" w:cs="Times New Roman"/>
          <w:color w:val="222222"/>
          <w:shd w:val="clear" w:color="auto" w:fill="FFFFFF"/>
        </w:rPr>
      </w:pPr>
      <w:r w:rsidRPr="002E2211">
        <w:rPr>
          <w:rFonts w:ascii="Times New Roman" w:hAnsi="Times New Roman" w:cs="Times New Roman"/>
          <w:color w:val="222222"/>
          <w:shd w:val="clear" w:color="auto" w:fill="FFFFFF"/>
          <w:lang w:val="es-ES"/>
        </w:rPr>
        <w:t xml:space="preserve">Baudoin, A., Olaya, G., Delmotte, F., Colcol, J. F., &amp; Sierotzki, H. (2008). </w:t>
      </w:r>
      <w:r w:rsidRPr="002E2211">
        <w:rPr>
          <w:rFonts w:ascii="Times New Roman" w:hAnsi="Times New Roman" w:cs="Times New Roman"/>
          <w:color w:val="222222"/>
          <w:shd w:val="clear" w:color="auto" w:fill="FFFFFF"/>
        </w:rPr>
        <w:t xml:space="preserve">QoI resistance of </w:t>
      </w:r>
      <w:r w:rsidRPr="002E2211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Plasmopara viticola</w:t>
      </w:r>
      <w:r w:rsidRPr="002E2211">
        <w:rPr>
          <w:rFonts w:ascii="Times New Roman" w:hAnsi="Times New Roman" w:cs="Times New Roman"/>
          <w:color w:val="222222"/>
          <w:shd w:val="clear" w:color="auto" w:fill="FFFFFF"/>
        </w:rPr>
        <w:t xml:space="preserve"> and </w:t>
      </w:r>
      <w:r w:rsidRPr="002E2211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Erysiphe necator</w:t>
      </w:r>
      <w:r w:rsidRPr="002E2211">
        <w:rPr>
          <w:rFonts w:ascii="Times New Roman" w:hAnsi="Times New Roman" w:cs="Times New Roman"/>
          <w:color w:val="222222"/>
          <w:shd w:val="clear" w:color="auto" w:fill="FFFFFF"/>
        </w:rPr>
        <w:t xml:space="preserve"> in the mid-Atlantic United States. </w:t>
      </w:r>
      <w:r w:rsidRPr="002E2211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Plant Health Progress, 9</w:t>
      </w:r>
      <w:r w:rsidRPr="002E2211">
        <w:rPr>
          <w:rFonts w:ascii="Times New Roman" w:hAnsi="Times New Roman" w:cs="Times New Roman"/>
          <w:color w:val="222222"/>
          <w:shd w:val="clear" w:color="auto" w:fill="FFFFFF"/>
        </w:rPr>
        <w:t>(1), 25.</w:t>
      </w:r>
    </w:p>
    <w:p w14:paraId="511EC0AC" w14:textId="77777777" w:rsidR="008B6539" w:rsidRDefault="008B6539" w:rsidP="007E1FB2">
      <w:pPr>
        <w:spacing w:after="0" w:line="240" w:lineRule="auto"/>
        <w:rPr>
          <w:rFonts w:ascii="Times New Roman" w:hAnsi="Times New Roman" w:cs="Times New Roman"/>
        </w:rPr>
      </w:pPr>
    </w:p>
    <w:p w14:paraId="3CB08E96" w14:textId="49282E92" w:rsidR="00E10AEF" w:rsidRDefault="00E10AEF" w:rsidP="007E1FB2">
      <w:pPr>
        <w:spacing w:after="0" w:line="240" w:lineRule="auto"/>
        <w:rPr>
          <w:rFonts w:ascii="Times New Roman" w:hAnsi="Times New Roman" w:cs="Times New Roman"/>
        </w:rPr>
      </w:pPr>
      <w:r w:rsidRPr="00E10AEF">
        <w:rPr>
          <w:rFonts w:ascii="Times New Roman" w:hAnsi="Times New Roman" w:cs="Times New Roman"/>
        </w:rPr>
        <w:t>Bock, C. H., Gottwald, T. R., Parker, P. E., Ferrandino, F., Welham, S., Van Den Bosch, F., &amp; Parnell, S. (2010). Some consequences of using the Horsfall-Barratt scale for hypothesis testing. </w:t>
      </w:r>
      <w:r w:rsidRPr="00E10AEF">
        <w:rPr>
          <w:rFonts w:ascii="Times New Roman" w:hAnsi="Times New Roman" w:cs="Times New Roman"/>
          <w:i/>
          <w:iCs/>
        </w:rPr>
        <w:t>Phytopathology</w:t>
      </w:r>
      <w:r w:rsidRPr="00E10AEF">
        <w:rPr>
          <w:rFonts w:ascii="Times New Roman" w:hAnsi="Times New Roman" w:cs="Times New Roman"/>
        </w:rPr>
        <w:t>, </w:t>
      </w:r>
      <w:r w:rsidRPr="00E10AEF">
        <w:rPr>
          <w:rFonts w:ascii="Times New Roman" w:hAnsi="Times New Roman" w:cs="Times New Roman"/>
          <w:i/>
          <w:iCs/>
        </w:rPr>
        <w:t>100</w:t>
      </w:r>
      <w:r w:rsidRPr="00E10AEF">
        <w:rPr>
          <w:rFonts w:ascii="Times New Roman" w:hAnsi="Times New Roman" w:cs="Times New Roman"/>
        </w:rPr>
        <w:t>(10), 1030-1041.</w:t>
      </w:r>
    </w:p>
    <w:p w14:paraId="344B43BF" w14:textId="77777777" w:rsidR="00E10AEF" w:rsidRDefault="00E10AEF" w:rsidP="007E1FB2">
      <w:pPr>
        <w:spacing w:after="0" w:line="240" w:lineRule="auto"/>
        <w:rPr>
          <w:rFonts w:ascii="Times New Roman" w:hAnsi="Times New Roman" w:cs="Times New Roman"/>
        </w:rPr>
      </w:pPr>
    </w:p>
    <w:p w14:paraId="5D1B10C5" w14:textId="77777777" w:rsidR="00E10AEF" w:rsidRDefault="00E10AEF" w:rsidP="00E10AEF">
      <w:pPr>
        <w:spacing w:after="0" w:line="240" w:lineRule="auto"/>
        <w:rPr>
          <w:rFonts w:ascii="Times New Roman" w:hAnsi="Times New Roman" w:cs="Times New Roman"/>
        </w:rPr>
      </w:pPr>
      <w:r w:rsidRPr="004F347B">
        <w:rPr>
          <w:rFonts w:ascii="Times New Roman" w:hAnsi="Times New Roman" w:cs="Times New Roman"/>
        </w:rPr>
        <w:t xml:space="preserve">Brown, B., Gold, K., Hed, B., Helms, M., Loeb, G., &amp; Sosnoskie, L. (2024). </w:t>
      </w:r>
      <w:r w:rsidRPr="004F347B">
        <w:rPr>
          <w:rFonts w:ascii="Times New Roman" w:hAnsi="Times New Roman" w:cs="Times New Roman"/>
          <w:i/>
          <w:iCs/>
        </w:rPr>
        <w:t>New York and Pennsylvania pest management guidelines for grapes</w:t>
      </w:r>
      <w:r w:rsidRPr="004F347B">
        <w:rPr>
          <w:rFonts w:ascii="Times New Roman" w:hAnsi="Times New Roman" w:cs="Times New Roman"/>
        </w:rPr>
        <w:t xml:space="preserve"> (pp. 21–25). Ithaca, NY: Cornell Cooperative Extension.</w:t>
      </w:r>
    </w:p>
    <w:p w14:paraId="26A5F303" w14:textId="77777777" w:rsidR="00E10AEF" w:rsidRPr="007E1FB2" w:rsidRDefault="00E10AEF" w:rsidP="007E1FB2">
      <w:pPr>
        <w:spacing w:after="0" w:line="240" w:lineRule="auto"/>
        <w:rPr>
          <w:rFonts w:ascii="Times New Roman" w:hAnsi="Times New Roman" w:cs="Times New Roman"/>
        </w:rPr>
      </w:pPr>
    </w:p>
    <w:p w14:paraId="5516E8CA" w14:textId="3EF33FC7" w:rsidR="002E2211" w:rsidRPr="007E1FB2" w:rsidRDefault="00330A38" w:rsidP="007E1FB2">
      <w:pPr>
        <w:spacing w:after="0" w:line="240" w:lineRule="auto"/>
        <w:rPr>
          <w:rFonts w:ascii="Times New Roman" w:hAnsi="Times New Roman" w:cs="Times New Roman"/>
        </w:rPr>
      </w:pPr>
      <w:r w:rsidRPr="00330A38">
        <w:rPr>
          <w:rFonts w:ascii="Times New Roman" w:hAnsi="Times New Roman" w:cs="Times New Roman"/>
        </w:rPr>
        <w:t xml:space="preserve">Wilcox, W. F., Gubler, W. D., &amp; Uyemoto, J. K. (2015). </w:t>
      </w:r>
      <w:r w:rsidRPr="00330A38">
        <w:rPr>
          <w:rFonts w:ascii="Times New Roman" w:hAnsi="Times New Roman" w:cs="Times New Roman"/>
          <w:i/>
          <w:iCs/>
        </w:rPr>
        <w:t>Compendium of grape diseases, disorders, and pests</w:t>
      </w:r>
      <w:r w:rsidRPr="00330A38">
        <w:rPr>
          <w:rFonts w:ascii="Times New Roman" w:hAnsi="Times New Roman" w:cs="Times New Roman"/>
        </w:rPr>
        <w:t xml:space="preserve"> (2nd ed., pp. </w:t>
      </w:r>
      <w:r w:rsidR="00EA5BBA">
        <w:rPr>
          <w:rFonts w:ascii="Times New Roman" w:hAnsi="Times New Roman" w:cs="Times New Roman"/>
        </w:rPr>
        <w:t>68</w:t>
      </w:r>
      <w:r w:rsidRPr="00330A38">
        <w:rPr>
          <w:rFonts w:ascii="Times New Roman" w:hAnsi="Times New Roman" w:cs="Times New Roman"/>
        </w:rPr>
        <w:t>–7</w:t>
      </w:r>
      <w:r w:rsidR="00EA5BBA">
        <w:rPr>
          <w:rFonts w:ascii="Times New Roman" w:hAnsi="Times New Roman" w:cs="Times New Roman"/>
        </w:rPr>
        <w:t>2</w:t>
      </w:r>
      <w:r w:rsidRPr="00330A38">
        <w:rPr>
          <w:rFonts w:ascii="Times New Roman" w:hAnsi="Times New Roman" w:cs="Times New Roman"/>
        </w:rPr>
        <w:t>). St. Paul, MN: American Phytopathological Society Press.</w:t>
      </w:r>
    </w:p>
    <w:p w14:paraId="2035EFC4" w14:textId="77777777" w:rsidR="00FB0510" w:rsidRDefault="00FB0510" w:rsidP="006148ED">
      <w:pPr>
        <w:spacing w:after="0" w:line="240" w:lineRule="auto"/>
      </w:pPr>
    </w:p>
    <w:p w14:paraId="29CC5D80" w14:textId="77777777" w:rsidR="00FB0510" w:rsidRPr="00660E8B" w:rsidRDefault="00FB0510" w:rsidP="006148ED">
      <w:pPr>
        <w:spacing w:after="0" w:line="240" w:lineRule="auto"/>
      </w:pPr>
    </w:p>
    <w:p w14:paraId="7C6CA3D3" w14:textId="77777777" w:rsidR="00660E8B" w:rsidRDefault="00660E8B"/>
    <w:p w14:paraId="55DD4A1E" w14:textId="77777777" w:rsidR="00270A38" w:rsidRDefault="00270A38"/>
    <w:p w14:paraId="6850F065" w14:textId="77777777" w:rsidR="00270A38" w:rsidRPr="009C7FE3" w:rsidRDefault="00270A38"/>
    <w:sectPr w:rsidR="00270A38" w:rsidRPr="009C7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A1A13"/>
    <w:multiLevelType w:val="hybridMultilevel"/>
    <w:tmpl w:val="F33A7E0C"/>
    <w:lvl w:ilvl="0" w:tplc="0C1835A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7029FA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AAF72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1836F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5CBF6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42B6E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EA8F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54E9B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0212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9292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2C"/>
    <w:rsid w:val="00003E67"/>
    <w:rsid w:val="000156E4"/>
    <w:rsid w:val="0003466E"/>
    <w:rsid w:val="00035B33"/>
    <w:rsid w:val="00040DC1"/>
    <w:rsid w:val="00044A33"/>
    <w:rsid w:val="00081801"/>
    <w:rsid w:val="000921FE"/>
    <w:rsid w:val="00095697"/>
    <w:rsid w:val="000B0A9D"/>
    <w:rsid w:val="000B35CB"/>
    <w:rsid w:val="000D698E"/>
    <w:rsid w:val="000E2B56"/>
    <w:rsid w:val="000F7DE7"/>
    <w:rsid w:val="00100D2A"/>
    <w:rsid w:val="00117C39"/>
    <w:rsid w:val="0013375E"/>
    <w:rsid w:val="00146CDE"/>
    <w:rsid w:val="00161D36"/>
    <w:rsid w:val="001631E0"/>
    <w:rsid w:val="0016381A"/>
    <w:rsid w:val="001766EA"/>
    <w:rsid w:val="00192F29"/>
    <w:rsid w:val="001C6718"/>
    <w:rsid w:val="001F2BBD"/>
    <w:rsid w:val="002043DA"/>
    <w:rsid w:val="0020653F"/>
    <w:rsid w:val="0021536C"/>
    <w:rsid w:val="002534EB"/>
    <w:rsid w:val="00270A38"/>
    <w:rsid w:val="0027656B"/>
    <w:rsid w:val="0029707C"/>
    <w:rsid w:val="002B0193"/>
    <w:rsid w:val="002D6AE6"/>
    <w:rsid w:val="002E2211"/>
    <w:rsid w:val="002E31C2"/>
    <w:rsid w:val="002F3D1A"/>
    <w:rsid w:val="00313B53"/>
    <w:rsid w:val="00330A38"/>
    <w:rsid w:val="0037391A"/>
    <w:rsid w:val="00383316"/>
    <w:rsid w:val="00386E38"/>
    <w:rsid w:val="00391EFE"/>
    <w:rsid w:val="003A45CC"/>
    <w:rsid w:val="003B69DE"/>
    <w:rsid w:val="003B796D"/>
    <w:rsid w:val="003D6C57"/>
    <w:rsid w:val="003E00F0"/>
    <w:rsid w:val="003E0F4E"/>
    <w:rsid w:val="003E23EF"/>
    <w:rsid w:val="00403E6C"/>
    <w:rsid w:val="00423C75"/>
    <w:rsid w:val="004241CF"/>
    <w:rsid w:val="0043455D"/>
    <w:rsid w:val="00466613"/>
    <w:rsid w:val="00474201"/>
    <w:rsid w:val="00477C38"/>
    <w:rsid w:val="00480273"/>
    <w:rsid w:val="00493055"/>
    <w:rsid w:val="004A243C"/>
    <w:rsid w:val="004B13EA"/>
    <w:rsid w:val="004E33B9"/>
    <w:rsid w:val="004F0F95"/>
    <w:rsid w:val="004F347B"/>
    <w:rsid w:val="004F66BC"/>
    <w:rsid w:val="00515A23"/>
    <w:rsid w:val="0052033A"/>
    <w:rsid w:val="005250EF"/>
    <w:rsid w:val="005345A4"/>
    <w:rsid w:val="0054373D"/>
    <w:rsid w:val="0054623C"/>
    <w:rsid w:val="00552216"/>
    <w:rsid w:val="00561C8D"/>
    <w:rsid w:val="00562D50"/>
    <w:rsid w:val="00566E4E"/>
    <w:rsid w:val="00567A08"/>
    <w:rsid w:val="00570D15"/>
    <w:rsid w:val="005822DA"/>
    <w:rsid w:val="0059046B"/>
    <w:rsid w:val="005959F6"/>
    <w:rsid w:val="005A1D60"/>
    <w:rsid w:val="005A364A"/>
    <w:rsid w:val="005D1148"/>
    <w:rsid w:val="005D57E0"/>
    <w:rsid w:val="005E51AF"/>
    <w:rsid w:val="005F456B"/>
    <w:rsid w:val="0060411A"/>
    <w:rsid w:val="006105B0"/>
    <w:rsid w:val="006148ED"/>
    <w:rsid w:val="00627468"/>
    <w:rsid w:val="00647B98"/>
    <w:rsid w:val="00660E8B"/>
    <w:rsid w:val="00684132"/>
    <w:rsid w:val="00684F47"/>
    <w:rsid w:val="00692A22"/>
    <w:rsid w:val="006B7F4A"/>
    <w:rsid w:val="006C1055"/>
    <w:rsid w:val="006C3A0B"/>
    <w:rsid w:val="006C7135"/>
    <w:rsid w:val="00722350"/>
    <w:rsid w:val="0074202C"/>
    <w:rsid w:val="00747534"/>
    <w:rsid w:val="00760428"/>
    <w:rsid w:val="00763B5F"/>
    <w:rsid w:val="00765967"/>
    <w:rsid w:val="00767D1C"/>
    <w:rsid w:val="007715F8"/>
    <w:rsid w:val="00776232"/>
    <w:rsid w:val="007805D0"/>
    <w:rsid w:val="00786E8E"/>
    <w:rsid w:val="00794C3D"/>
    <w:rsid w:val="007A58CB"/>
    <w:rsid w:val="007A6CDB"/>
    <w:rsid w:val="007C48F6"/>
    <w:rsid w:val="007C6991"/>
    <w:rsid w:val="007D3FF7"/>
    <w:rsid w:val="007E1FB2"/>
    <w:rsid w:val="007F7382"/>
    <w:rsid w:val="0080739A"/>
    <w:rsid w:val="00812D36"/>
    <w:rsid w:val="00833AE3"/>
    <w:rsid w:val="008404B1"/>
    <w:rsid w:val="0086197E"/>
    <w:rsid w:val="00867470"/>
    <w:rsid w:val="0088262F"/>
    <w:rsid w:val="00883FE5"/>
    <w:rsid w:val="008A4A4A"/>
    <w:rsid w:val="008A7C11"/>
    <w:rsid w:val="008B6539"/>
    <w:rsid w:val="008C4F32"/>
    <w:rsid w:val="008E72F4"/>
    <w:rsid w:val="00914821"/>
    <w:rsid w:val="009310A7"/>
    <w:rsid w:val="00940816"/>
    <w:rsid w:val="00941D29"/>
    <w:rsid w:val="00954164"/>
    <w:rsid w:val="00976D18"/>
    <w:rsid w:val="009A2FCD"/>
    <w:rsid w:val="009A44C5"/>
    <w:rsid w:val="009A6527"/>
    <w:rsid w:val="009B3F77"/>
    <w:rsid w:val="009C7FE3"/>
    <w:rsid w:val="009D134B"/>
    <w:rsid w:val="009D1CDF"/>
    <w:rsid w:val="009E20AF"/>
    <w:rsid w:val="009E2B3B"/>
    <w:rsid w:val="00A019CF"/>
    <w:rsid w:val="00A01A3A"/>
    <w:rsid w:val="00A10C44"/>
    <w:rsid w:val="00A42FAB"/>
    <w:rsid w:val="00A57791"/>
    <w:rsid w:val="00A615D4"/>
    <w:rsid w:val="00A62178"/>
    <w:rsid w:val="00A66587"/>
    <w:rsid w:val="00A72E95"/>
    <w:rsid w:val="00A76A77"/>
    <w:rsid w:val="00A77F3C"/>
    <w:rsid w:val="00AA0A2C"/>
    <w:rsid w:val="00AA0D4A"/>
    <w:rsid w:val="00AD0369"/>
    <w:rsid w:val="00B53A5A"/>
    <w:rsid w:val="00B704F3"/>
    <w:rsid w:val="00B84289"/>
    <w:rsid w:val="00B8492B"/>
    <w:rsid w:val="00BF58BA"/>
    <w:rsid w:val="00C11EF4"/>
    <w:rsid w:val="00C1788D"/>
    <w:rsid w:val="00C40F21"/>
    <w:rsid w:val="00C46A83"/>
    <w:rsid w:val="00C6068F"/>
    <w:rsid w:val="00C77298"/>
    <w:rsid w:val="00C9312D"/>
    <w:rsid w:val="00D16E2B"/>
    <w:rsid w:val="00D4079F"/>
    <w:rsid w:val="00D52A5A"/>
    <w:rsid w:val="00D5301C"/>
    <w:rsid w:val="00D70EF4"/>
    <w:rsid w:val="00D73C20"/>
    <w:rsid w:val="00D86662"/>
    <w:rsid w:val="00D94127"/>
    <w:rsid w:val="00DB4E0D"/>
    <w:rsid w:val="00DC0097"/>
    <w:rsid w:val="00DC4600"/>
    <w:rsid w:val="00DD69C8"/>
    <w:rsid w:val="00DE09AC"/>
    <w:rsid w:val="00E005E6"/>
    <w:rsid w:val="00E10AEF"/>
    <w:rsid w:val="00E44BAE"/>
    <w:rsid w:val="00E52218"/>
    <w:rsid w:val="00E6678C"/>
    <w:rsid w:val="00E66FE4"/>
    <w:rsid w:val="00E7036D"/>
    <w:rsid w:val="00E77A84"/>
    <w:rsid w:val="00E8398F"/>
    <w:rsid w:val="00E96EA4"/>
    <w:rsid w:val="00EA5BBA"/>
    <w:rsid w:val="00EA793A"/>
    <w:rsid w:val="00EB78F6"/>
    <w:rsid w:val="00EC15B9"/>
    <w:rsid w:val="00EC2CA1"/>
    <w:rsid w:val="00ED5FBA"/>
    <w:rsid w:val="00ED78BF"/>
    <w:rsid w:val="00EE7CB6"/>
    <w:rsid w:val="00EF71B0"/>
    <w:rsid w:val="00F32E25"/>
    <w:rsid w:val="00F46BA2"/>
    <w:rsid w:val="00F47E80"/>
    <w:rsid w:val="00F8155E"/>
    <w:rsid w:val="00F936EE"/>
    <w:rsid w:val="00F95E88"/>
    <w:rsid w:val="00FB0510"/>
    <w:rsid w:val="00FE1E99"/>
    <w:rsid w:val="00FE25B8"/>
    <w:rsid w:val="00FE6D41"/>
    <w:rsid w:val="00FF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2A345"/>
  <w15:chartTrackingRefBased/>
  <w15:docId w15:val="{7DC00B71-E13B-4266-8442-E45960B8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658</Words>
  <Characters>3593</Characters>
  <Application>Microsoft Office Word</Application>
  <DocSecurity>0</DocSecurity>
  <Lines>143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Clippinger, Jessica</dc:creator>
  <cp:keywords/>
  <dc:description/>
  <cp:lastModifiedBy>Clippinger, Jessica</cp:lastModifiedBy>
  <cp:revision>6</cp:revision>
  <cp:lastPrinted>2025-11-29T23:20:00Z</cp:lastPrinted>
  <dcterms:created xsi:type="dcterms:W3CDTF">2025-12-01T20:08:00Z</dcterms:created>
  <dcterms:modified xsi:type="dcterms:W3CDTF">2025-12-02T20:45:00Z</dcterms:modified>
</cp:coreProperties>
</file>