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Calibri" w:hAnsi="Calibri"/>
          <w:b/>
          <w:color w:val="69A99B"/>
          <w:sz w:val="20"/>
        </w:rPr>
        <w:t>COHERENCE</w:t>
      </w:r>
    </w:p>
    <w:p>
      <w:pPr>
        <w:pStyle w:val="Title"/>
      </w:pPr>
      <w:r>
        <w:t>Annual Revenue</w:t>
        <w:br/>
        <w:t>Planning Guide</w:t>
      </w:r>
    </w:p>
    <w:p>
      <w:pPr>
        <w:pStyle w:val="Subtitle"/>
      </w:pPr>
      <w:r>
        <w:t>A connected operating guide for targets, territories, capacity, pipeline, quotas, compensation, forecasting, and executive cadence</w:t>
      </w:r>
    </w:p>
    <w:p>
      <w:pPr>
        <w:spacing w:after="2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Calibri" w:hAnsi="Calibri"/>
                <w:b/>
                <w:color w:val="132E3A"/>
                <w:sz w:val="18"/>
              </w:rPr>
              <w:t xml:space="preserve">THE PLANNING TEST  </w:t>
            </w:r>
            <w:r>
              <w:rPr>
                <w:rFonts w:ascii="Calibri" w:hAnsi="Calibri"/>
                <w:b w:val="0"/>
                <w:color w:val="24323A"/>
                <w:sz w:val="18"/>
              </w:rPr>
              <w:t>Every downstream model must reconcile to one bookings target, one capacity view, and one set of operating assumptions. If two tools disagree, planning is not finished.</w:t>
            </w:r>
          </w:p>
        </w:tc>
      </w:tr>
    </w:tbl>
    <w:p>
      <w:pPr>
        <w:spacing w:after="0"/>
      </w:pPr>
    </w:p>
    <w:p>
      <w:pPr>
        <w:pStyle w:val="Heading1"/>
      </w:pPr>
      <w:r>
        <w:t>How to use this guide</w:t>
      </w:r>
    </w:p>
    <w:p>
      <w:pPr>
        <w:pStyle w:val="ListBullet"/>
        <w:spacing w:after="60"/>
      </w:pPr>
      <w:r>
        <w:t>Start 20 weeks before the fiscal year and assign one accountable owner per stage gate.</w:t>
      </w:r>
    </w:p>
    <w:p>
      <w:pPr>
        <w:pStyle w:val="ListBullet"/>
        <w:spacing w:after="60"/>
      </w:pPr>
      <w:r>
        <w:t>Use the linked spreadsheet beside each web model to expose assumptions, formulas, and tradeoffs.</w:t>
      </w:r>
    </w:p>
    <w:p>
      <w:pPr>
        <w:pStyle w:val="ListBullet"/>
        <w:spacing w:after="60"/>
      </w:pPr>
      <w:r>
        <w:t>Do not approve compensation, quotas, or territories independently; approve the connected system.</w:t>
      </w:r>
    </w:p>
    <w:p>
      <w:pPr>
        <w:pStyle w:val="ListBullet"/>
        <w:spacing w:after="60"/>
      </w:pPr>
      <w:r>
        <w:t>Freeze only what must be stable. Track approved changes with version, owner, reason, and downstream impact.</w:t>
      </w:r>
    </w:p>
    <w:p>
      <w:r>
        <w:rPr>
          <w:rFonts w:ascii="Calibri" w:hAnsi="Calibri"/>
          <w:b/>
          <w:color w:val="132E3A"/>
        </w:rPr>
        <w:t xml:space="preserve">Model hub: </w:t>
      </w:r>
      <w:hyperlink r:id="rId10">
        <w:r>
          <w:rPr>
            <w:color w:val="1E4C86"/>
            <w:u w:val="single"/>
            <w:b/>
          </w:rPr>
          <w:t>Open Coherence</w:t>
        </w:r>
      </w:hyperlink>
    </w:p>
    <w:p>
      <w:r>
        <w:rPr>
          <w:rFonts w:ascii="Calibri" w:hAnsi="Calibri"/>
          <w:b/>
          <w:color w:val="132E3A"/>
        </w:rPr>
        <w:t xml:space="preserve">Planning guide owner: </w:t>
      </w:r>
      <w:r>
        <w:rPr>
          <w:rFonts w:ascii="Calibri" w:hAnsi="Calibri"/>
          <w:b w:val="0"/>
          <w:color w:val="24323A"/>
        </w:rPr>
        <w:t>Revenue Operations  |  Core approvers: CEO, CRO, CFO, CMO, People/HR</w:t>
      </w:r>
    </w:p>
    <w:p>
      <w:r>
        <w:br w:type="page"/>
      </w:r>
    </w:p>
    <w:p>
      <w:pPr>
        <w:pStyle w:val="Heading1"/>
      </w:pPr>
      <w:r>
        <w:t>1. The connected planning system</w:t>
      </w:r>
    </w:p>
    <w:p>
      <w:r>
        <w:t>Annual planning is a dependency chain, not a collection of independent spreadsheets. Strategy sets the target; firmographics and ICP define where to play; territories and capacity determine coverage; pipeline and marketing determine demand; quotas and compensation translate the plan into field behavior; forecasting and executive reporting govern execution.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ORDER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DECISION PRODUCED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PRIMARY TOOL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Strategy &amp; bookings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Growth, ARR bridge, new vs. expansion mix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Bookings target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ICP &amp; segmentation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Priority accounts, segment definitions, motions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ICP scoring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Territories &amp; coverage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Account ownership, potential, workload balance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Territory design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Capacity &amp; hiring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Productive capacity, ramp, attrition, hiring dates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Capacity plan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Pipeline &amp; marketing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Required pipeline, source mix, funnel economics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Pipeline + Marketing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Quota allocation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Quota pool, role/segment allocation, attainability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Quota allocation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Compensation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Role behavior, measures, payout curve, crediting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Compensation design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Forecast &amp; governance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Commit logic, inspection, executive decisions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Forecast + Executive</w:t>
            </w:r>
          </w:p>
        </w:tc>
      </w:tr>
    </w:tbl>
    <w:p>
      <w:pPr>
        <w:spacing w:after="0"/>
      </w:pPr>
    </w:p>
    <w:p>
      <w:pPr>
        <w:pStyle w:val="Heading2"/>
      </w:pPr>
      <w:r>
        <w:t>Non-negotiable reconciliations</w:t>
      </w:r>
    </w:p>
    <w:p>
      <w:pPr>
        <w:pStyle w:val="ListBullet"/>
        <w:spacing w:after="60"/>
      </w:pPr>
      <w:r>
        <w:t>Bookings target = segment and motion targets = allocated quota adjusted for expected attainment.</w:t>
      </w:r>
    </w:p>
    <w:p>
      <w:pPr>
        <w:pStyle w:val="ListBullet"/>
        <w:spacing w:after="60"/>
      </w:pPr>
      <w:r>
        <w:t>Required pipeline = target ÷ win rate, with coverage evaluated by close period—not creation period alone.</w:t>
      </w:r>
    </w:p>
    <w:p>
      <w:pPr>
        <w:pStyle w:val="ListBullet"/>
        <w:spacing w:after="60"/>
      </w:pPr>
      <w:r>
        <w:t>Productive capacity reflects start dates, ramp, attrition, leave, and manager span.</w:t>
      </w:r>
    </w:p>
    <w:p>
      <w:pPr>
        <w:pStyle w:val="ListBullet"/>
        <w:spacing w:after="60"/>
      </w:pPr>
      <w:r>
        <w:t>Comp payout cost is modeled against a realistic attainment distribution and extreme upside.</w:t>
      </w:r>
    </w:p>
    <w:p>
      <w:pPr>
        <w:pStyle w:val="ListBullet"/>
        <w:spacing w:after="60"/>
      </w:pPr>
      <w:r>
        <w:t>Forecast categories use documented evidence and stage-entry timestamps, not seller sentiment alone.</w:t>
      </w:r>
    </w:p>
    <w:p>
      <w:r>
        <w:br w:type="page"/>
      </w:r>
    </w:p>
    <w:p>
      <w:pPr>
        <w:pStyle w:val="Heading1"/>
      </w:pPr>
      <w:r>
        <w:t>2. Milestone calendar and stage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WINDOW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MILESTONE / GATE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ACCOUNTABLE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EXIT CRITERIA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T–20 to T–18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Planning charter &amp; baseline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CRO / RevOps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Scope, owners, calendar, actuals, definitions signed off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T–18 to T–16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Strategy and bookings target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CEO / CFO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ARR bridge, growth, mix, margin guardrails approved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T–16 to T–14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ICP, segmentation, motions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CRO / CMO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Segments are measurable; TAM and priority-account logic agreed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T–14 to T–12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Territory and capacity draft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Sales / RevOps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Coverage, ramp, hiring and attrition scenarios reconcile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T–12 to T–10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Pipeline and marketing plan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CMO / CRO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Source targets, funnel rates, timing and spend reconcile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T–10 to T–8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Quota architecture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CRO / Finance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Quota pool, allocation rules and attainability approved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T–9 to T–6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Compensation design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CRO / Finance / HR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Roles, measures, curves, crediting, cost and governance approved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T–6 to T–4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Integrated stress test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CFO / RevOps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Base, downside, upside and hiring-delay cases pass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T–4 to T–2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Systems and manager readiness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RevOps / HR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CRM, ICM, dashboards, documents and training tested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T–2 to T+1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Launch and acknowledgment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Sales leadership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Territories, quotas and plan documents delivered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T+2 to T+4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Stabilization audit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RevOps / Finance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First crediting, forecast and payout controls validated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E9C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Calibri" w:hAnsi="Calibri"/>
                <w:b/>
                <w:color w:val="132E3A"/>
                <w:sz w:val="18"/>
              </w:rPr>
              <w:t xml:space="preserve">CHANGE CONTROL  </w:t>
            </w:r>
            <w:r>
              <w:rPr>
                <w:rFonts w:ascii="Calibri" w:hAnsi="Calibri"/>
                <w:b w:val="0"/>
                <w:color w:val="24323A"/>
                <w:sz w:val="18"/>
              </w:rPr>
              <w:t>After the integrated stress test, every change requires an owner, reason, approval, effective date, and an explicit list of affected models.</w:t>
            </w:r>
          </w:p>
        </w:tc>
      </w:tr>
    </w:tbl>
    <w:p>
      <w:pPr>
        <w:spacing w:after="0"/>
      </w:pPr>
    </w:p>
    <w:p>
      <w:pPr>
        <w:pStyle w:val="Heading2"/>
      </w:pPr>
      <w:r>
        <w:t>Stage-gate operating rule</w:t>
      </w:r>
    </w:p>
    <w:p>
      <w:r>
        <w:t>A gate is a decision, not a meeting. Pre-read materials should state the decision requested, unresolved assumptions, scenario range, recommendation, approvers, and the consequence of delay. A gate remains open until exit criteria are evidenced.</w:t>
      </w:r>
    </w:p>
    <w:p>
      <w:r>
        <w:br w:type="page"/>
      </w:r>
    </w:p>
    <w:p>
      <w:pPr>
        <w:pStyle w:val="Heading1"/>
      </w:pPr>
      <w:r>
        <w:t>3. Component playbook and tool links</w:t>
      </w:r>
    </w:p>
    <w:p>
      <w:pPr>
        <w:pStyle w:val="Heading2"/>
      </w:pPr>
      <w:r>
        <w:t>Bookings target</w:t>
      </w:r>
    </w:p>
    <w:p>
      <w:r>
        <w:rPr>
          <w:rFonts w:ascii="Calibri" w:hAnsi="Calibri"/>
          <w:b/>
          <w:color w:val="132E3A"/>
        </w:rPr>
        <w:t xml:space="preserve">Purpose: </w:t>
      </w:r>
      <w:r>
        <w:rPr>
          <w:rFonts w:ascii="Calibri" w:hAnsi="Calibri"/>
          <w:b w:val="0"/>
          <w:color w:val="24323A"/>
        </w:rPr>
        <w:t xml:space="preserve">Define the ARR bridge, target mix, growth and margin guardrails. </w:t>
      </w:r>
      <w:r>
        <w:rPr>
          <w:rFonts w:ascii="Calibri" w:hAnsi="Calibri"/>
          <w:b/>
          <w:color w:val="132E3A"/>
        </w:rPr>
        <w:t xml:space="preserve">Owner: </w:t>
      </w:r>
      <w:r>
        <w:rPr>
          <w:rFonts w:ascii="Calibri" w:hAnsi="Calibri"/>
          <w:b w:val="0"/>
          <w:color w:val="24323A"/>
        </w:rPr>
        <w:t xml:space="preserve">CFO + CEO. </w:t>
      </w:r>
      <w:r>
        <w:rPr>
          <w:rFonts w:ascii="Calibri" w:hAnsi="Calibri"/>
          <w:b/>
          <w:color w:val="132E3A"/>
        </w:rPr>
        <w:t xml:space="preserve">Best practice: </w:t>
      </w:r>
      <w:r>
        <w:rPr>
          <w:rFonts w:ascii="Calibri" w:hAnsi="Calibri"/>
          <w:b w:val="0"/>
          <w:color w:val="24323A"/>
        </w:rPr>
        <w:t xml:space="preserve">Reconcile beginning ARR, churn, contraction, expansion, new business and ending ARR. </w:t>
      </w:r>
      <w:hyperlink r:id="rId11">
        <w:r>
          <w:rPr>
            <w:color w:val="1E4C86"/>
            <w:u w:val="single"/>
          </w:rPr>
          <w:t>Open spreadsheet</w:t>
        </w:r>
      </w:hyperlink>
    </w:p>
    <w:p>
      <w:pPr>
        <w:pStyle w:val="Heading2"/>
      </w:pPr>
      <w:r>
        <w:t>ICP scoring</w:t>
      </w:r>
    </w:p>
    <w:p>
      <w:r>
        <w:rPr>
          <w:rFonts w:ascii="Calibri" w:hAnsi="Calibri"/>
          <w:b/>
          <w:color w:val="132E3A"/>
        </w:rPr>
        <w:t xml:space="preserve">Purpose: </w:t>
      </w:r>
      <w:r>
        <w:rPr>
          <w:rFonts w:ascii="Calibri" w:hAnsi="Calibri"/>
          <w:b w:val="0"/>
          <w:color w:val="24323A"/>
        </w:rPr>
        <w:t xml:space="preserve">Make “best fit” measurable using firmographic, technographic, intent and operating signals. </w:t>
      </w:r>
      <w:r>
        <w:rPr>
          <w:rFonts w:ascii="Calibri" w:hAnsi="Calibri"/>
          <w:b/>
          <w:color w:val="132E3A"/>
        </w:rPr>
        <w:t xml:space="preserve">Owner: </w:t>
      </w:r>
      <w:r>
        <w:rPr>
          <w:rFonts w:ascii="Calibri" w:hAnsi="Calibri"/>
          <w:b w:val="0"/>
          <w:color w:val="24323A"/>
        </w:rPr>
        <w:t xml:space="preserve">Marketing + Sales. </w:t>
      </w:r>
      <w:r>
        <w:rPr>
          <w:rFonts w:ascii="Calibri" w:hAnsi="Calibri"/>
          <w:b/>
          <w:color w:val="132E3A"/>
        </w:rPr>
        <w:t xml:space="preserve">Best practice: </w:t>
      </w:r>
      <w:r>
        <w:rPr>
          <w:rFonts w:ascii="Calibri" w:hAnsi="Calibri"/>
          <w:b w:val="0"/>
          <w:color w:val="24323A"/>
        </w:rPr>
        <w:t xml:space="preserve">Separate fit from intent; validate score against win rate, ASP, cycle and retention. </w:t>
      </w:r>
      <w:hyperlink r:id="rId12">
        <w:r>
          <w:rPr>
            <w:color w:val="1E4C86"/>
            <w:u w:val="single"/>
          </w:rPr>
          <w:t>Open spreadsheet</w:t>
        </w:r>
      </w:hyperlink>
    </w:p>
    <w:p>
      <w:pPr>
        <w:pStyle w:val="Heading2"/>
      </w:pPr>
      <w:r>
        <w:t>Territory design</w:t>
      </w:r>
    </w:p>
    <w:p>
      <w:r>
        <w:rPr>
          <w:rFonts w:ascii="Calibri" w:hAnsi="Calibri"/>
          <w:b/>
          <w:color w:val="132E3A"/>
        </w:rPr>
        <w:t xml:space="preserve">Purpose: </w:t>
      </w:r>
      <w:r>
        <w:rPr>
          <w:rFonts w:ascii="Calibri" w:hAnsi="Calibri"/>
          <w:b w:val="0"/>
          <w:color w:val="24323A"/>
        </w:rPr>
        <w:t xml:space="preserve">Create equitable opportunity and manageable workload. </w:t>
      </w:r>
      <w:r>
        <w:rPr>
          <w:rFonts w:ascii="Calibri" w:hAnsi="Calibri"/>
          <w:b/>
          <w:color w:val="132E3A"/>
        </w:rPr>
        <w:t xml:space="preserve">Owner: </w:t>
      </w:r>
      <w:r>
        <w:rPr>
          <w:rFonts w:ascii="Calibri" w:hAnsi="Calibri"/>
          <w:b w:val="0"/>
          <w:color w:val="24323A"/>
        </w:rPr>
        <w:t xml:space="preserve">Sales + RevOps. </w:t>
      </w:r>
      <w:r>
        <w:rPr>
          <w:rFonts w:ascii="Calibri" w:hAnsi="Calibri"/>
          <w:b/>
          <w:color w:val="132E3A"/>
        </w:rPr>
        <w:t xml:space="preserve">Best practice: </w:t>
      </w:r>
      <w:r>
        <w:rPr>
          <w:rFonts w:ascii="Calibri" w:hAnsi="Calibri"/>
          <w:b w:val="0"/>
          <w:color w:val="24323A"/>
        </w:rPr>
        <w:t xml:space="preserve">Use potential and capacity—not equal account counts; publish exception rules. </w:t>
      </w:r>
      <w:hyperlink r:id="rId13">
        <w:r>
          <w:rPr>
            <w:color w:val="1E4C86"/>
            <w:u w:val="single"/>
          </w:rPr>
          <w:t>Open spreadsheet</w:t>
        </w:r>
      </w:hyperlink>
    </w:p>
    <w:p>
      <w:pPr>
        <w:pStyle w:val="Heading2"/>
      </w:pPr>
      <w:r>
        <w:t>Capacity plan</w:t>
      </w:r>
    </w:p>
    <w:p>
      <w:r>
        <w:rPr>
          <w:rFonts w:ascii="Calibri" w:hAnsi="Calibri"/>
          <w:b/>
          <w:color w:val="132E3A"/>
        </w:rPr>
        <w:t xml:space="preserve">Purpose: </w:t>
      </w:r>
      <w:r>
        <w:rPr>
          <w:rFonts w:ascii="Calibri" w:hAnsi="Calibri"/>
          <w:b w:val="0"/>
          <w:color w:val="24323A"/>
        </w:rPr>
        <w:t xml:space="preserve">Translate headcount into productive selling capacity. </w:t>
      </w:r>
      <w:r>
        <w:rPr>
          <w:rFonts w:ascii="Calibri" w:hAnsi="Calibri"/>
          <w:b/>
          <w:color w:val="132E3A"/>
        </w:rPr>
        <w:t xml:space="preserve">Owner: </w:t>
      </w:r>
      <w:r>
        <w:rPr>
          <w:rFonts w:ascii="Calibri" w:hAnsi="Calibri"/>
          <w:b w:val="0"/>
          <w:color w:val="24323A"/>
        </w:rPr>
        <w:t xml:space="preserve">Sales + Finance. </w:t>
      </w:r>
      <w:r>
        <w:rPr>
          <w:rFonts w:ascii="Calibri" w:hAnsi="Calibri"/>
          <w:b/>
          <w:color w:val="132E3A"/>
        </w:rPr>
        <w:t xml:space="preserve">Best practice: </w:t>
      </w:r>
      <w:r>
        <w:rPr>
          <w:rFonts w:ascii="Calibri" w:hAnsi="Calibri"/>
          <w:b w:val="0"/>
          <w:color w:val="24323A"/>
        </w:rPr>
        <w:t xml:space="preserve">Model hiring by start month, ramp curves, attrition and manager capacity. </w:t>
      </w:r>
      <w:hyperlink r:id="rId14">
        <w:r>
          <w:rPr>
            <w:color w:val="1E4C86"/>
            <w:u w:val="single"/>
          </w:rPr>
          <w:t>Open spreadsheet</w:t>
        </w:r>
      </w:hyperlink>
    </w:p>
    <w:p>
      <w:pPr>
        <w:pStyle w:val="Heading2"/>
      </w:pPr>
      <w:r>
        <w:t>Pipeline plan</w:t>
      </w:r>
    </w:p>
    <w:p>
      <w:r>
        <w:rPr>
          <w:rFonts w:ascii="Calibri" w:hAnsi="Calibri"/>
          <w:b/>
          <w:color w:val="132E3A"/>
        </w:rPr>
        <w:t xml:space="preserve">Purpose: </w:t>
      </w:r>
      <w:r>
        <w:rPr>
          <w:rFonts w:ascii="Calibri" w:hAnsi="Calibri"/>
          <w:b w:val="0"/>
          <w:color w:val="24323A"/>
        </w:rPr>
        <w:t xml:space="preserve">Set pipeline creation and coverage requirements by segment, motion and close period. </w:t>
      </w:r>
      <w:r>
        <w:rPr>
          <w:rFonts w:ascii="Calibri" w:hAnsi="Calibri"/>
          <w:b/>
          <w:color w:val="132E3A"/>
        </w:rPr>
        <w:t xml:space="preserve">Owner: </w:t>
      </w:r>
      <w:r>
        <w:rPr>
          <w:rFonts w:ascii="Calibri" w:hAnsi="Calibri"/>
          <w:b w:val="0"/>
          <w:color w:val="24323A"/>
        </w:rPr>
        <w:t xml:space="preserve">CRO + RevOps. </w:t>
      </w:r>
      <w:r>
        <w:rPr>
          <w:rFonts w:ascii="Calibri" w:hAnsi="Calibri"/>
          <w:b/>
          <w:color w:val="132E3A"/>
        </w:rPr>
        <w:t xml:space="preserve">Best practice: </w:t>
      </w:r>
      <w:r>
        <w:rPr>
          <w:rFonts w:ascii="Calibri" w:hAnsi="Calibri"/>
          <w:b w:val="0"/>
          <w:color w:val="24323A"/>
        </w:rPr>
        <w:t xml:space="preserve">Use stage conversion and timing; distinguish gross pipeline from qualified pipeline. </w:t>
      </w:r>
      <w:hyperlink r:id="rId15">
        <w:r>
          <w:rPr>
            <w:color w:val="1E4C86"/>
            <w:u w:val="single"/>
          </w:rPr>
          <w:t>Open spreadsheet</w:t>
        </w:r>
      </w:hyperlink>
    </w:p>
    <w:p>
      <w:pPr>
        <w:pStyle w:val="Heading2"/>
      </w:pPr>
      <w:r>
        <w:t>Marketing plan</w:t>
      </w:r>
    </w:p>
    <w:p>
      <w:r>
        <w:rPr>
          <w:rFonts w:ascii="Calibri" w:hAnsi="Calibri"/>
          <w:b/>
          <w:color w:val="132E3A"/>
        </w:rPr>
        <w:t xml:space="preserve">Purpose: </w:t>
      </w:r>
      <w:r>
        <w:rPr>
          <w:rFonts w:ascii="Calibri" w:hAnsi="Calibri"/>
          <w:b w:val="0"/>
          <w:color w:val="24323A"/>
        </w:rPr>
        <w:t xml:space="preserve">Allocate source targets and spend to achievable funnel economics. </w:t>
      </w:r>
      <w:r>
        <w:rPr>
          <w:rFonts w:ascii="Calibri" w:hAnsi="Calibri"/>
          <w:b/>
          <w:color w:val="132E3A"/>
        </w:rPr>
        <w:t xml:space="preserve">Owner: </w:t>
      </w:r>
      <w:r>
        <w:rPr>
          <w:rFonts w:ascii="Calibri" w:hAnsi="Calibri"/>
          <w:b w:val="0"/>
          <w:color w:val="24323A"/>
        </w:rPr>
        <w:t xml:space="preserve">CMO. </w:t>
      </w:r>
      <w:r>
        <w:rPr>
          <w:rFonts w:ascii="Calibri" w:hAnsi="Calibri"/>
          <w:b/>
          <w:color w:val="132E3A"/>
        </w:rPr>
        <w:t xml:space="preserve">Best practice: </w:t>
      </w:r>
      <w:r>
        <w:rPr>
          <w:rFonts w:ascii="Calibri" w:hAnsi="Calibri"/>
          <w:b w:val="0"/>
          <w:color w:val="24323A"/>
        </w:rPr>
        <w:t xml:space="preserve">Use cohort conversion and lag; keep sourced, influenced and accepted definitions distinct. </w:t>
      </w:r>
      <w:hyperlink r:id="rId16">
        <w:r>
          <w:rPr>
            <w:color w:val="1E4C86"/>
            <w:u w:val="single"/>
          </w:rPr>
          <w:t>Open spreadsheet</w:t>
        </w:r>
      </w:hyperlink>
    </w:p>
    <w:p>
      <w:pPr>
        <w:pStyle w:val="Heading2"/>
      </w:pPr>
      <w:r>
        <w:t>Quota allocation</w:t>
      </w:r>
    </w:p>
    <w:p>
      <w:r>
        <w:rPr>
          <w:rFonts w:ascii="Calibri" w:hAnsi="Calibri"/>
          <w:b/>
          <w:color w:val="132E3A"/>
        </w:rPr>
        <w:t xml:space="preserve">Purpose: </w:t>
      </w:r>
      <w:r>
        <w:rPr>
          <w:rFonts w:ascii="Calibri" w:hAnsi="Calibri"/>
          <w:b w:val="0"/>
          <w:color w:val="24323A"/>
        </w:rPr>
        <w:t xml:space="preserve">Allocate an achievable quota pool with explicit overlays and relief rules. </w:t>
      </w:r>
      <w:r>
        <w:rPr>
          <w:rFonts w:ascii="Calibri" w:hAnsi="Calibri"/>
          <w:b/>
          <w:color w:val="132E3A"/>
        </w:rPr>
        <w:t xml:space="preserve">Owner: </w:t>
      </w:r>
      <w:r>
        <w:rPr>
          <w:rFonts w:ascii="Calibri" w:hAnsi="Calibri"/>
          <w:b w:val="0"/>
          <w:color w:val="24323A"/>
        </w:rPr>
        <w:t xml:space="preserve">CRO + Finance. </w:t>
      </w:r>
      <w:r>
        <w:rPr>
          <w:rFonts w:ascii="Calibri" w:hAnsi="Calibri"/>
          <w:b/>
          <w:color w:val="132E3A"/>
        </w:rPr>
        <w:t xml:space="preserve">Best practice: </w:t>
      </w:r>
      <w:r>
        <w:rPr>
          <w:rFonts w:ascii="Calibri" w:hAnsi="Calibri"/>
          <w:b w:val="0"/>
          <w:color w:val="24323A"/>
        </w:rPr>
        <w:t xml:space="preserve">Back-test attainment distribution and reconcile quota to capacity and target. </w:t>
      </w:r>
      <w:hyperlink r:id="rId17">
        <w:r>
          <w:rPr>
            <w:color w:val="1E4C86"/>
            <w:u w:val="single"/>
          </w:rPr>
          <w:t>Open spreadsheet</w:t>
        </w:r>
      </w:hyperlink>
    </w:p>
    <w:p>
      <w:pPr>
        <w:pStyle w:val="Heading2"/>
      </w:pPr>
      <w:r>
        <w:t>Compensation design</w:t>
      </w:r>
    </w:p>
    <w:p>
      <w:r>
        <w:rPr>
          <w:rFonts w:ascii="Calibri" w:hAnsi="Calibri"/>
          <w:b/>
          <w:color w:val="132E3A"/>
        </w:rPr>
        <w:t xml:space="preserve">Purpose: </w:t>
      </w:r>
      <w:r>
        <w:rPr>
          <w:rFonts w:ascii="Calibri" w:hAnsi="Calibri"/>
          <w:b w:val="0"/>
          <w:color w:val="24323A"/>
        </w:rPr>
        <w:t xml:space="preserve">Align eligible roles, measures, crediting and payout economics to job influence. </w:t>
      </w:r>
      <w:r>
        <w:rPr>
          <w:rFonts w:ascii="Calibri" w:hAnsi="Calibri"/>
          <w:b/>
          <w:color w:val="132E3A"/>
        </w:rPr>
        <w:t xml:space="preserve">Owner: </w:t>
      </w:r>
      <w:r>
        <w:rPr>
          <w:rFonts w:ascii="Calibri" w:hAnsi="Calibri"/>
          <w:b w:val="0"/>
          <w:color w:val="24323A"/>
        </w:rPr>
        <w:t xml:space="preserve">CRO + HR + Finance. </w:t>
      </w:r>
      <w:r>
        <w:rPr>
          <w:rFonts w:ascii="Calibri" w:hAnsi="Calibri"/>
          <w:b/>
          <w:color w:val="132E3A"/>
        </w:rPr>
        <w:t xml:space="preserve">Best practice: </w:t>
      </w:r>
      <w:r>
        <w:rPr>
          <w:rFonts w:ascii="Calibri" w:hAnsi="Calibri"/>
          <w:b w:val="0"/>
          <w:color w:val="24323A"/>
        </w:rPr>
        <w:t xml:space="preserve">Keep measures few and controllable; model cost before launch; document disputes. </w:t>
      </w:r>
      <w:hyperlink r:id="rId18">
        <w:r>
          <w:rPr>
            <w:color w:val="1E4C86"/>
            <w:u w:val="single"/>
          </w:rPr>
          <w:t>Open spreadsheet</w:t>
        </w:r>
      </w:hyperlink>
    </w:p>
    <w:p>
      <w:pPr>
        <w:pStyle w:val="Heading2"/>
      </w:pPr>
      <w:r>
        <w:t>Forecast model</w:t>
      </w:r>
    </w:p>
    <w:p>
      <w:r>
        <w:rPr>
          <w:rFonts w:ascii="Calibri" w:hAnsi="Calibri"/>
          <w:b/>
          <w:color w:val="132E3A"/>
        </w:rPr>
        <w:t xml:space="preserve">Purpose: </w:t>
      </w:r>
      <w:r>
        <w:rPr>
          <w:rFonts w:ascii="Calibri" w:hAnsi="Calibri"/>
          <w:b w:val="0"/>
          <w:color w:val="24323A"/>
        </w:rPr>
        <w:t xml:space="preserve">Define evidence-based categories and forecast hygiene. </w:t>
      </w:r>
      <w:r>
        <w:rPr>
          <w:rFonts w:ascii="Calibri" w:hAnsi="Calibri"/>
          <w:b/>
          <w:color w:val="132E3A"/>
        </w:rPr>
        <w:t xml:space="preserve">Owner: </w:t>
      </w:r>
      <w:r>
        <w:rPr>
          <w:rFonts w:ascii="Calibri" w:hAnsi="Calibri"/>
          <w:b w:val="0"/>
          <w:color w:val="24323A"/>
        </w:rPr>
        <w:t xml:space="preserve">Sales leadership. </w:t>
      </w:r>
      <w:r>
        <w:rPr>
          <w:rFonts w:ascii="Calibri" w:hAnsi="Calibri"/>
          <w:b/>
          <w:color w:val="132E3A"/>
        </w:rPr>
        <w:t xml:space="preserve">Best practice: </w:t>
      </w:r>
      <w:r>
        <w:rPr>
          <w:rFonts w:ascii="Calibri" w:hAnsi="Calibri"/>
          <w:b w:val="0"/>
          <w:color w:val="24323A"/>
        </w:rPr>
        <w:t xml:space="preserve">Use stage age, entry timestamps, next steps, close plan and inspection cadence. </w:t>
      </w:r>
      <w:hyperlink r:id="rId19">
        <w:r>
          <w:rPr>
            <w:color w:val="1E4C86"/>
            <w:u w:val="single"/>
          </w:rPr>
          <w:t>Open spreadsheet</w:t>
        </w:r>
      </w:hyperlink>
    </w:p>
    <w:p>
      <w:pPr>
        <w:pStyle w:val="Heading2"/>
      </w:pPr>
      <w:r>
        <w:t>Executive dashboard</w:t>
      </w:r>
    </w:p>
    <w:p>
      <w:r>
        <w:rPr>
          <w:rFonts w:ascii="Calibri" w:hAnsi="Calibri"/>
          <w:b/>
          <w:color w:val="132E3A"/>
        </w:rPr>
        <w:t xml:space="preserve">Purpose: </w:t>
      </w:r>
      <w:r>
        <w:rPr>
          <w:rFonts w:ascii="Calibri" w:hAnsi="Calibri"/>
          <w:b w:val="0"/>
          <w:color w:val="24323A"/>
        </w:rPr>
        <w:t xml:space="preserve">Create one operating view with decisions and owners. </w:t>
      </w:r>
      <w:r>
        <w:rPr>
          <w:rFonts w:ascii="Calibri" w:hAnsi="Calibri"/>
          <w:b/>
          <w:color w:val="132E3A"/>
        </w:rPr>
        <w:t xml:space="preserve">Owner: </w:t>
      </w:r>
      <w:r>
        <w:rPr>
          <w:rFonts w:ascii="Calibri" w:hAnsi="Calibri"/>
          <w:b w:val="0"/>
          <w:color w:val="24323A"/>
        </w:rPr>
        <w:t xml:space="preserve">CEO + CRO. </w:t>
      </w:r>
      <w:r>
        <w:rPr>
          <w:rFonts w:ascii="Calibri" w:hAnsi="Calibri"/>
          <w:b/>
          <w:color w:val="132E3A"/>
        </w:rPr>
        <w:t xml:space="preserve">Best practice: </w:t>
      </w:r>
      <w:r>
        <w:rPr>
          <w:rFonts w:ascii="Calibri" w:hAnsi="Calibri"/>
          <w:b w:val="0"/>
          <w:color w:val="24323A"/>
        </w:rPr>
        <w:t xml:space="preserve">Show target, actual, forecast, pipeline, capacity, conversion and risks together. </w:t>
      </w:r>
      <w:hyperlink r:id="rId20">
        <w:r>
          <w:rPr>
            <w:color w:val="1E4C86"/>
            <w:u w:val="single"/>
          </w:rPr>
          <w:t>Open spreadsheet</w:t>
        </w:r>
      </w:hyperlink>
    </w:p>
    <w:p>
      <w:r>
        <w:br w:type="page"/>
      </w:r>
    </w:p>
    <w:p>
      <w:pPr>
        <w:pStyle w:val="Heading1"/>
      </w:pPr>
      <w:r>
        <w:t>4. Data, definitions, and quality controls</w:t>
      </w:r>
    </w:p>
    <w:p>
      <w:r>
        <w:t>The model is only as reliable as its event history and shared definitions. Establish the planning data contract before targets are negotiated.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REQUIRED FIELDS / EVENTS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CONTROL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Account / firmographic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Employee band, annual revenue, industry, geography, ownership, growth, funding, installed technology, business model, compliance intensity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Null rate, allowed values, source and refresh date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Opportunity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Amount, ARR, segment, motion, source, owner, created/close date, stage, probability, product, competitors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Duplicate, amount and close-date tests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Stage history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Entry timestamp for every stage, exit timestamp, prior stage, next stage, actor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No negative duration; skipped-stage flag; immutable history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Outcome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Closed-won/lost timestamp, loss reason, subreason, competitor, no-decision, notes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Required controlled taxonomy and manager review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People / capacity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Role, segment, territory, manager, hire/start date, ramp, leave, termination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Effective-dated roster and monthly snapshot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Comp / crediting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Plan, measure, quota, credit amount, split, adjustment, approval, payout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Traceable source transaction and audit log</w:t>
            </w:r>
          </w:p>
        </w:tc>
      </w:tr>
    </w:tbl>
    <w:p>
      <w:pPr>
        <w:spacing w:after="0"/>
      </w:pPr>
    </w:p>
    <w:p>
      <w:pPr>
        <w:pStyle w:val="Heading2"/>
      </w:pPr>
      <w:r>
        <w:t>Metric definition minimum</w:t>
      </w:r>
    </w:p>
    <w:p>
      <w:pPr>
        <w:pStyle w:val="ListBullet"/>
        <w:spacing w:after="60"/>
      </w:pPr>
      <w:r>
        <w:t>Name and business question</w:t>
      </w:r>
    </w:p>
    <w:p>
      <w:pPr>
        <w:pStyle w:val="ListBullet"/>
        <w:spacing w:after="60"/>
      </w:pPr>
      <w:r>
        <w:t>Formula, grain and date logic</w:t>
      </w:r>
    </w:p>
    <w:p>
      <w:pPr>
        <w:pStyle w:val="ListBullet"/>
        <w:spacing w:after="60"/>
      </w:pPr>
      <w:r>
        <w:t>Inclusions, exclusions and edge cases</w:t>
      </w:r>
    </w:p>
    <w:p>
      <w:pPr>
        <w:pStyle w:val="ListBullet"/>
        <w:spacing w:after="60"/>
      </w:pPr>
      <w:r>
        <w:t>System of record and owner</w:t>
      </w:r>
    </w:p>
    <w:p>
      <w:pPr>
        <w:pStyle w:val="ListBullet"/>
        <w:spacing w:after="60"/>
      </w:pPr>
      <w:r>
        <w:t>Refresh cadence and acceptable latency</w:t>
      </w:r>
    </w:p>
    <w:p>
      <w:pPr>
        <w:pStyle w:val="ListBullet"/>
        <w:spacing w:after="60"/>
      </w:pPr>
      <w:r>
        <w:t>Example record and reconciliation test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Calibri" w:hAnsi="Calibri"/>
                <w:b/>
                <w:color w:val="132E3A"/>
                <w:sz w:val="18"/>
              </w:rPr>
              <w:t xml:space="preserve">FORECAST AND FUNNEL NOTE  </w:t>
            </w:r>
            <w:r>
              <w:rPr>
                <w:rFonts w:ascii="Calibri" w:hAnsi="Calibri"/>
                <w:b w:val="0"/>
                <w:color w:val="24323A"/>
                <w:sz w:val="18"/>
              </w:rPr>
              <w:t>Stage conversion requires timestamped stage-entry history for every opportunity. A current-stage field cannot reconstruct stage-to-stage conversion or velocity.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Compensation design adequacy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E9C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Calibri" w:hAnsi="Calibri"/>
                <w:b/>
                <w:color w:val="132E3A"/>
                <w:sz w:val="18"/>
              </w:rPr>
              <w:t xml:space="preserve">ASSESSMENT  </w:t>
            </w:r>
            <w:r>
              <w:rPr>
                <w:rFonts w:ascii="Calibri" w:hAnsi="Calibri"/>
                <w:b w:val="0"/>
                <w:color w:val="24323A"/>
                <w:sz w:val="18"/>
              </w:rPr>
              <w:t>The original compensation model was useful as an alignment check, but it was not adequate as a complete plan-design tool. It tested quota pool, OTE, pay mix, leverage and accelerator economics; it did not fully specify the rules that determine who earns what, when, and why.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DESIGN LAYER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PRIOR COVERAGE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REQUIRED STANDARD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 NOW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Role architecture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Partial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Eligibility, mission, influence, pay mix, target incentive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Added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Measures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Partial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1–3 controllable measures, weights, source, timing, quality gates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Added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Crediting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Gap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Booking event, splits, overlays, clawbacks, renewals, FX, disputes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Added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Payout curve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Partial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Threshold, target, marginal accelerators, cap policy, extremes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Expanded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Ramp / draw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Gap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Quota relief, guarantee/draw, accelerator eligibility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Added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Cost sensitivity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Gap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Attainment distribution, payout/bookings, 90th percentile exposure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Added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Scenarios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Gap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Baseline, upside, downside, cap, hiring/ramp cases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Added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Governance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Gap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Approval, audit, change control, disputes and ownership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4"/>
              </w:rPr>
              <w:t>Added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32E3A"/>
        </w:rPr>
        <w:t xml:space="preserve">Expanded tool: </w:t>
      </w:r>
      <w:hyperlink r:id="rId18">
        <w:r>
          <w:rPr>
            <w:color w:val="1E4C86"/>
            <w:u w:val="single"/>
            <w:b/>
          </w:rPr>
          <w:t>Open the compensation design workbook</w:t>
        </w:r>
      </w:hyperlink>
    </w:p>
    <w:p>
      <w:pPr>
        <w:pStyle w:val="Heading2"/>
      </w:pPr>
      <w:r>
        <w:t>Compensation design sequence</w:t>
      </w:r>
    </w:p>
    <w:p>
      <w:pPr>
        <w:pStyle w:val="ListBullet"/>
        <w:spacing w:after="60"/>
      </w:pPr>
      <w:r>
        <w:t>Design the job before the incentive: mission, persuasion, controllability and eligible population.</w:t>
      </w:r>
    </w:p>
    <w:p>
      <w:pPr>
        <w:pStyle w:val="ListBullet"/>
        <w:spacing w:after="60"/>
      </w:pPr>
      <w:r>
        <w:t>Choose measures that the role can influence; use the fewest measures that express the strategy.</w:t>
      </w:r>
    </w:p>
    <w:p>
      <w:pPr>
        <w:pStyle w:val="ListBullet"/>
        <w:spacing w:after="60"/>
      </w:pPr>
      <w:r>
        <w:t>Write crediting rules for real-world edge cases before publishing rates.</w:t>
      </w:r>
    </w:p>
    <w:p>
      <w:pPr>
        <w:pStyle w:val="ListBullet"/>
        <w:spacing w:after="60"/>
      </w:pPr>
      <w:r>
        <w:t>Design marginal payout curves and test thresholds, accelerators, caps, mega-deals and negative credit.</w:t>
      </w:r>
    </w:p>
    <w:p>
      <w:pPr>
        <w:pStyle w:val="ListBullet"/>
        <w:spacing w:after="60"/>
      </w:pPr>
      <w:r>
        <w:t>Model cost across a realistic attainment distribution; compare payout concentration and payout-to-bookings.</w:t>
      </w:r>
    </w:p>
    <w:p>
      <w:pPr>
        <w:pStyle w:val="ListBullet"/>
        <w:spacing w:after="60"/>
      </w:pPr>
      <w:r>
        <w:t>Run employee examples, legal/HR review, systems UAT, manager certification and acknowledgment.</w:t>
      </w:r>
    </w:p>
    <w:p>
      <w:pPr>
        <w:pStyle w:val="ListBullet"/>
        <w:spacing w:after="60"/>
      </w:pPr>
      <w:r>
        <w:t>Operate a documented dispute and change-control process after launch.</w:t>
      </w:r>
    </w:p>
    <w:p>
      <w:r>
        <w:br w:type="page"/>
      </w:r>
    </w:p>
    <w:p>
      <w:pPr>
        <w:pStyle w:val="Heading1"/>
      </w:pPr>
      <w:r>
        <w:t>6. Compensation best-practice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APPROVAL QUESTIONS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Eligibility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Is the role truly persuasive? Is variable pay appropriate for the role’s degree of influence?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Pay mix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Does the fixed/variable mix reflect influence, cycle length, collaboration and market practice?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Measures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Are there no more than 1–3 primary measures? Are they observable, auditable and controllable?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Weights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Are weights large enough to matter? Do strategic measures have clear gates and definitions?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Crediting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Are split, overlay, channel, renewal, clawback, FX and territory-transfer rules explicit?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Curve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Is target payout correct at 100%? Are accelerators marginal? Have cliffs and caps been challenged?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Ramp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Does relief reflect training, pipeline build and cycle length? Is guarantee/draw treatment explicit?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Cost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What happens at P10, P50, P75, P90 and extreme attainment? Is payout affordable and differentiated?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Governance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Who approves exceptions? What is the dispute SLA? Can every payout trace to a source event?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Communication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Can a seller calculate three examples? Have managers passed certification before launch?</w:t>
            </w:r>
          </w:p>
        </w:tc>
      </w:tr>
    </w:tbl>
    <w:p>
      <w:pPr>
        <w:spacing w:after="0"/>
      </w:pPr>
    </w:p>
    <w:p>
      <w:pPr>
        <w:pStyle w:val="Heading2"/>
      </w:pPr>
      <w:r>
        <w:t>Common failure modes</w:t>
      </w:r>
    </w:p>
    <w:p>
      <w:pPr>
        <w:pStyle w:val="ListBullet"/>
        <w:spacing w:after="60"/>
      </w:pPr>
      <w:r>
        <w:t>Using compensation to fix an unclear job or broken territory.</w:t>
      </w:r>
    </w:p>
    <w:p>
      <w:pPr>
        <w:pStyle w:val="ListBullet"/>
        <w:spacing w:after="60"/>
      </w:pPr>
      <w:r>
        <w:t>Adding measures for every corporate priority until none of them meaningfully motivate.</w:t>
      </w:r>
    </w:p>
    <w:p>
      <w:pPr>
        <w:pStyle w:val="ListBullet"/>
        <w:spacing w:after="60"/>
      </w:pPr>
      <w:r>
        <w:t>Applying a flat accelerator retroactively instead of using marginal bands, creating avoidable cliffs.</w:t>
      </w:r>
    </w:p>
    <w:p>
      <w:pPr>
        <w:pStyle w:val="ListBullet"/>
        <w:spacing w:after="60"/>
      </w:pPr>
      <w:r>
        <w:t>Publishing rates before defining crediting edge cases and effective dates.</w:t>
      </w:r>
    </w:p>
    <w:p>
      <w:pPr>
        <w:pStyle w:val="ListBullet"/>
        <w:spacing w:after="60"/>
      </w:pPr>
      <w:r>
        <w:t>Setting thresholds or caps without modeling behavioral and financial consequences.</w:t>
      </w:r>
    </w:p>
    <w:p>
      <w:pPr>
        <w:pStyle w:val="ListBullet"/>
        <w:spacing w:after="60"/>
      </w:pPr>
      <w:r>
        <w:t>Launching before CRM/ICM logic, manager training, examples and dispute workflow are ready.</w:t>
      </w:r>
    </w:p>
    <w:p>
      <w:r>
        <w:br w:type="page"/>
      </w:r>
    </w:p>
    <w:p>
      <w:pPr>
        <w:pStyle w:val="Heading1"/>
      </w:pPr>
      <w:r>
        <w:t>7. Governance and operating cadence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CADENCE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FORUM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DECISIONS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CORE VIEW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Weekly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Forecast and pipeline inspection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Commit changes, deal actions, pipeline creation gaps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Forecast + pipeline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Monthly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Revenue operating review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Segment/motion performance, capacity, conversion, source mix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Executive dashboard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Quarterly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Plan health review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Reforecast, hiring changes, territory exceptions, comp cost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All connected models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Semiannual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ICP and territory calibration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Score drift, whitespace, workload, account movement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ICP + territory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Annual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Plan redesign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Strategy, roles, measures, rates, quotas and governance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Full planning system</w:t>
            </w:r>
          </w:p>
        </w:tc>
      </w:tr>
    </w:tbl>
    <w:p>
      <w:pPr>
        <w:spacing w:after="0"/>
      </w:pPr>
    </w:p>
    <w:p>
      <w:pPr>
        <w:pStyle w:val="Heading2"/>
      </w:pPr>
      <w:r>
        <w:t>Decision rights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RECOMMENDS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APPROVES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CONSULTED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Bookings / ARR target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CFO + CRO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CEO / Board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CMO, Product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Segments and motions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CRO + CMO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CEO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Finance, Product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Territories and quotas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Sales + RevOps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CRO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Finance, HR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Compensation plans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Sales + RevOps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CRO + CFO + HR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Legal, Payroll, Systems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Forecast policy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RevOps + Sales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CRO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Finance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Metric definitions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RevOps / 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CRO + CFO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5"/>
              </w:rPr>
              <w:t>Functional owners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1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Calibri" w:hAnsi="Calibri"/>
                <w:b/>
                <w:color w:val="132E3A"/>
                <w:sz w:val="18"/>
              </w:rPr>
              <w:t xml:space="preserve">OPERATING PRINCIPLE  </w:t>
            </w:r>
            <w:r>
              <w:rPr>
                <w:rFonts w:ascii="Calibri" w:hAnsi="Calibri"/>
                <w:b w:val="0"/>
                <w:color w:val="24323A"/>
                <w:sz w:val="18"/>
              </w:rPr>
              <w:t>Use the executive review to make decisions, not to discover data problems. Reconciliations, definition checks, and owner commentary should be complete before the meeting.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Launch readiness and first 30 days</w:t>
      </w:r>
    </w:p>
    <w:p>
      <w:pPr>
        <w:pStyle w:val="Heading2"/>
      </w:pPr>
      <w:r>
        <w:t>Before launch</w:t>
      </w:r>
    </w:p>
    <w:p>
      <w:pPr>
        <w:pStyle w:val="ListBullet"/>
        <w:spacing w:after="60"/>
      </w:pPr>
      <w:r>
        <w:t>All model versions reconciled to the approved target and workforce plan.</w:t>
      </w:r>
    </w:p>
    <w:p>
      <w:pPr>
        <w:pStyle w:val="ListBullet"/>
        <w:spacing w:after="60"/>
      </w:pPr>
      <w:r>
        <w:t>Territory and account ownership loaded; exception queue empty or explicitly accepted.</w:t>
      </w:r>
    </w:p>
    <w:p>
      <w:pPr>
        <w:pStyle w:val="ListBullet"/>
        <w:spacing w:after="60"/>
      </w:pPr>
      <w:r>
        <w:t>Quotas, comp plans and examples generated for every eligible participant.</w:t>
      </w:r>
    </w:p>
    <w:p>
      <w:pPr>
        <w:pStyle w:val="ListBullet"/>
        <w:spacing w:after="60"/>
      </w:pPr>
      <w:r>
        <w:t>CRM stages, required fields, validation rules and stage-history capture tested.</w:t>
      </w:r>
    </w:p>
    <w:p>
      <w:pPr>
        <w:pStyle w:val="ListBullet"/>
        <w:spacing w:after="60"/>
      </w:pPr>
      <w:r>
        <w:t>Forecast dashboards, pipeline coverage and executive views match source-system totals.</w:t>
      </w:r>
    </w:p>
    <w:p>
      <w:pPr>
        <w:pStyle w:val="ListBullet"/>
        <w:spacing w:after="60"/>
      </w:pPr>
      <w:r>
        <w:t>Managers trained and certified; employee communications and acknowledgment process ready.</w:t>
      </w:r>
    </w:p>
    <w:p>
      <w:pPr>
        <w:pStyle w:val="ListBullet"/>
        <w:spacing w:after="60"/>
      </w:pPr>
      <w:r>
        <w:t>Payroll/ICM parallel calculation completed for representative scenarios.</w:t>
      </w:r>
    </w:p>
    <w:p>
      <w:pPr>
        <w:pStyle w:val="Heading2"/>
      </w:pPr>
      <w:r>
        <w:t>First 30 days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WHEN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32E3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Week 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Roster, territory, quota and plan assignment audit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100% eligible employees mapped; no duplicates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Week 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Pipeline and stage-history audit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Required fields and timestamps present; exception list owned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Week 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Forecast calibration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Category conversion and manager bias reviewed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Week 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First crediting / payout preview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Source-to-credit trace, splits, adjustments and approvals reconcile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Day 30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Stabilization gate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3A"/>
                <w:sz w:val="16"/>
              </w:rPr>
              <w:t>Open issues, policy changes and training gaps assigned</w:t>
            </w:r>
          </w:p>
        </w:tc>
      </w:tr>
    </w:tbl>
    <w:p>
      <w:pPr>
        <w:spacing w:after="0"/>
      </w:pPr>
    </w:p>
    <w:p>
      <w:pPr>
        <w:pStyle w:val="Heading2"/>
      </w:pPr>
      <w:r>
        <w:t>Success measures for the planning process</w:t>
      </w:r>
    </w:p>
    <w:p>
      <w:pPr>
        <w:pStyle w:val="ListBullet"/>
        <w:spacing w:after="60"/>
      </w:pPr>
      <w:r>
        <w:t>Models reconcile without manual bridge adjustments.</w:t>
      </w:r>
    </w:p>
    <w:p>
      <w:pPr>
        <w:pStyle w:val="ListBullet"/>
        <w:spacing w:after="60"/>
      </w:pPr>
      <w:r>
        <w:t>At least 80% of quota-bearing roles receive final territory, quota and plan before day one.</w:t>
      </w:r>
    </w:p>
    <w:p>
      <w:pPr>
        <w:pStyle w:val="ListBullet"/>
        <w:spacing w:after="60"/>
      </w:pPr>
      <w:r>
        <w:t>Forecast, pipeline, bookings and compensation use the same segment and motion taxonomy.</w:t>
      </w:r>
    </w:p>
    <w:p>
      <w:pPr>
        <w:pStyle w:val="ListBullet"/>
        <w:spacing w:after="60"/>
      </w:pPr>
      <w:r>
        <w:t>First-cycle payout exceptions are low, categorized and resolved within SLA.</w:t>
      </w:r>
    </w:p>
    <w:p>
      <w:pPr>
        <w:pStyle w:val="ListBullet"/>
        <w:spacing w:after="60"/>
      </w:pPr>
      <w:r>
        <w:t>Managers can explain target, coverage, quota logic and payout mechanics consistently.</w:t>
      </w:r>
    </w:p>
    <w:p>
      <w:r>
        <w:br w:type="page"/>
      </w:r>
    </w:p>
    <w:p>
      <w:pPr>
        <w:pStyle w:val="Heading1"/>
      </w:pPr>
      <w:r>
        <w:t>9. Source notes and further reading</w:t>
      </w:r>
    </w:p>
    <w:p>
      <w:hyperlink r:id="rId21">
        <w:r>
          <w:rPr>
            <w:color w:val="1E4C86"/>
            <w:u w:val="single"/>
            <w:b/>
          </w:rPr>
          <w:t>WorldatWork — 6 keys to sales compensation plan design</w:t>
        </w:r>
      </w:hyperlink>
      <w:r>
        <w:rPr>
          <w:rFonts w:ascii="Calibri" w:hAnsi="Calibri"/>
          <w:b w:val="0"/>
          <w:color w:val="24323A"/>
        </w:rPr>
        <w:t xml:space="preserve"> — Role design, pay mix, measure types and mechanics.</w:t>
      </w:r>
    </w:p>
    <w:p>
      <w:hyperlink r:id="rId22">
        <w:r>
          <w:rPr>
            <w:color w:val="1E4C86"/>
            <w:u w:val="single"/>
            <w:b/>
          </w:rPr>
          <w:t>WorldatWork — individual vs. team measures</w:t>
        </w:r>
      </w:hyperlink>
      <w:r>
        <w:rPr>
          <w:rFonts w:ascii="Calibri" w:hAnsi="Calibri"/>
          <w:b w:val="0"/>
          <w:color w:val="24323A"/>
        </w:rPr>
        <w:t xml:space="preserve"> — Use a small number of measures aligned to influence and collaboration.</w:t>
      </w:r>
    </w:p>
    <w:p>
      <w:hyperlink r:id="rId23">
        <w:r>
          <w:rPr>
            <w:color w:val="1E4C86"/>
            <w:u w:val="single"/>
            <w:b/>
          </w:rPr>
          <w:t>WorldatWork — power of pay for performance</w:t>
        </w:r>
      </w:hyperlink>
      <w:r>
        <w:rPr>
          <w:rFonts w:ascii="Calibri" w:hAnsi="Calibri"/>
          <w:b w:val="0"/>
          <w:color w:val="24323A"/>
        </w:rPr>
        <w:t xml:space="preserve"> — Design the job before designing the incentive.</w:t>
      </w:r>
    </w:p>
    <w:p>
      <w:hyperlink r:id="rId24">
        <w:r>
          <w:rPr>
            <w:color w:val="1E4C86"/>
            <w:u w:val="single"/>
            <w:b/>
          </w:rPr>
          <w:t>Alexander Group — thresholds</w:t>
        </w:r>
      </w:hyperlink>
      <w:r>
        <w:rPr>
          <w:rFonts w:ascii="Calibri" w:hAnsi="Calibri"/>
          <w:b w:val="0"/>
          <w:color w:val="24323A"/>
        </w:rPr>
        <w:t xml:space="preserve"> — Model cost and behavior before using thresholds.</w:t>
      </w:r>
    </w:p>
    <w:p>
      <w:hyperlink r:id="rId25">
        <w:r>
          <w:rPr>
            <w:color w:val="1E4C86"/>
            <w:u w:val="single"/>
            <w:b/>
          </w:rPr>
          <w:t>Alexander Group — design goalposts</w:t>
        </w:r>
      </w:hyperlink>
      <w:r>
        <w:rPr>
          <w:rFonts w:ascii="Calibri" w:hAnsi="Calibri"/>
          <w:b w:val="0"/>
          <w:color w:val="24323A"/>
        </w:rPr>
        <w:t xml:space="preserve"> — Use explicit design standards across plans.</w:t>
      </w:r>
    </w:p>
    <w:p>
      <w:hyperlink r:id="rId26">
        <w:r>
          <w:rPr>
            <w:color w:val="1E4C86"/>
            <w:u w:val="single"/>
            <w:b/>
          </w:rPr>
          <w:t>Alexander Group — linked formula design</w:t>
        </w:r>
      </w:hyperlink>
      <w:r>
        <w:rPr>
          <w:rFonts w:ascii="Calibri" w:hAnsi="Calibri"/>
          <w:b w:val="0"/>
          <w:color w:val="24323A"/>
        </w:rPr>
        <w:t xml:space="preserve"> — Use gates and multipliers only when the strategic logic is clear.</w:t>
      </w:r>
    </w:p>
    <w:p>
      <w:hyperlink r:id="rId27">
        <w:r>
          <w:rPr>
            <w:color w:val="1E4C86"/>
            <w:u w:val="single"/>
            <w:b/>
          </w:rPr>
          <w:t>CaptivateIQ — enterprise incentive planning</w:t>
        </w:r>
      </w:hyperlink>
      <w:r>
        <w:rPr>
          <w:rFonts w:ascii="Calibri" w:hAnsi="Calibri"/>
          <w:b w:val="0"/>
          <w:color w:val="24323A"/>
        </w:rPr>
        <w:t xml:space="preserve"> — Ramp, draws, plan rules, testing and communication.</w:t>
      </w:r>
    </w:p>
    <w:p>
      <w:hyperlink r:id="rId28">
        <w:r>
          <w:rPr>
            <w:color w:val="1E4C86"/>
            <w:u w:val="single"/>
            <w:b/>
          </w:rPr>
          <w:t>QuotaPath — accelerator plans</w:t>
        </w:r>
      </w:hyperlink>
      <w:r>
        <w:rPr>
          <w:rFonts w:ascii="Calibri" w:hAnsi="Calibri"/>
          <w:b w:val="0"/>
          <w:color w:val="24323A"/>
        </w:rPr>
        <w:t xml:space="preserve"> — Accelerator bands, tiers, caps and examples.</w:t>
      </w:r>
    </w:p>
    <w:p>
      <w:pPr>
        <w:pStyle w:val="Heading1"/>
      </w:pPr>
      <w:r>
        <w:t>Complete tool directory</w:t>
      </w:r>
    </w:p>
    <w:p>
      <w:pPr>
        <w:pStyle w:val="ListBullet"/>
      </w:pPr>
      <w:hyperlink r:id="rId11">
        <w:r>
          <w:rPr>
            <w:color w:val="1E4C86"/>
            <w:u w:val="single"/>
            <w:b/>
          </w:rPr>
          <w:t>Bookings target</w:t>
        </w:r>
      </w:hyperlink>
    </w:p>
    <w:p>
      <w:pPr>
        <w:pStyle w:val="ListBullet"/>
      </w:pPr>
      <w:hyperlink r:id="rId17">
        <w:r>
          <w:rPr>
            <w:color w:val="1E4C86"/>
            <w:u w:val="single"/>
            <w:b/>
          </w:rPr>
          <w:t>Quota allocation</w:t>
        </w:r>
      </w:hyperlink>
    </w:p>
    <w:p>
      <w:pPr>
        <w:pStyle w:val="ListBullet"/>
      </w:pPr>
      <w:hyperlink r:id="rId16">
        <w:r>
          <w:rPr>
            <w:color w:val="1E4C86"/>
            <w:u w:val="single"/>
            <w:b/>
          </w:rPr>
          <w:t>Marketing plan</w:t>
        </w:r>
      </w:hyperlink>
    </w:p>
    <w:p>
      <w:pPr>
        <w:pStyle w:val="ListBullet"/>
      </w:pPr>
      <w:hyperlink r:id="rId15">
        <w:r>
          <w:rPr>
            <w:color w:val="1E4C86"/>
            <w:u w:val="single"/>
            <w:b/>
          </w:rPr>
          <w:t>Pipeline plan</w:t>
        </w:r>
      </w:hyperlink>
    </w:p>
    <w:p>
      <w:pPr>
        <w:pStyle w:val="ListBullet"/>
      </w:pPr>
      <w:hyperlink r:id="rId14">
        <w:r>
          <w:rPr>
            <w:color w:val="1E4C86"/>
            <w:u w:val="single"/>
            <w:b/>
          </w:rPr>
          <w:t>Capacity plan</w:t>
        </w:r>
      </w:hyperlink>
    </w:p>
    <w:p>
      <w:pPr>
        <w:pStyle w:val="ListBullet"/>
      </w:pPr>
      <w:hyperlink r:id="rId19">
        <w:r>
          <w:rPr>
            <w:color w:val="1E4C86"/>
            <w:u w:val="single"/>
            <w:b/>
          </w:rPr>
          <w:t>Forecast model</w:t>
        </w:r>
      </w:hyperlink>
    </w:p>
    <w:p>
      <w:pPr>
        <w:pStyle w:val="ListBullet"/>
      </w:pPr>
      <w:hyperlink r:id="rId18">
        <w:r>
          <w:rPr>
            <w:color w:val="1E4C86"/>
            <w:u w:val="single"/>
            <w:b/>
          </w:rPr>
          <w:t>Compensation design</w:t>
        </w:r>
      </w:hyperlink>
    </w:p>
    <w:p>
      <w:pPr>
        <w:pStyle w:val="ListBullet"/>
      </w:pPr>
      <w:hyperlink r:id="rId20">
        <w:r>
          <w:rPr>
            <w:color w:val="1E4C86"/>
            <w:u w:val="single"/>
            <w:b/>
          </w:rPr>
          <w:t>Executive dashboard</w:t>
        </w:r>
      </w:hyperlink>
    </w:p>
    <w:p>
      <w:pPr>
        <w:pStyle w:val="ListBullet"/>
      </w:pPr>
      <w:hyperlink r:id="rId13">
        <w:r>
          <w:rPr>
            <w:color w:val="1E4C86"/>
            <w:u w:val="single"/>
            <w:b/>
          </w:rPr>
          <w:t>Territory design</w:t>
        </w:r>
      </w:hyperlink>
    </w:p>
    <w:p>
      <w:pPr>
        <w:pStyle w:val="ListBullet"/>
      </w:pPr>
      <w:hyperlink r:id="rId12">
        <w:r>
          <w:rPr>
            <w:color w:val="1E4C86"/>
            <w:u w:val="single"/>
            <w:b/>
          </w:rPr>
          <w:t>ICP scoring</w:t>
        </w:r>
      </w:hyperlink>
    </w:p>
    <w:p>
      <w:r>
        <w:rPr>
          <w:rFonts w:ascii="Calibri" w:hAnsi="Calibri"/>
          <w:b/>
          <w:color w:val="132E3A"/>
        </w:rPr>
        <w:t xml:space="preserve">Web model hub: </w:t>
      </w:r>
      <w:hyperlink r:id="rId10">
        <w:r>
          <w:rPr>
            <w:color w:val="1E4C86"/>
            <w:u w:val="single"/>
          </w:rPr>
          <w:t>https://jessisenhower.github.io/coherence/</w:t>
        </w:r>
      </w:hyperlink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F6B73"/>
        <w:sz w:val="16"/>
      </w:rPr>
      <w:t xml:space="preserve">COHERENCE  •  ANNUAL PLANNING GUIDE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432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E4C8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32E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32E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32E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F6B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libri" w:hAnsi="Calibr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Calibri" w:hAnsi="Calibr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jessisenhower.github.io/coherence/" TargetMode="External"/><Relationship Id="rId11" Type="http://schemas.openxmlformats.org/officeDocument/2006/relationships/hyperlink" Target="https://jessisenhower.github.io/coherence/spreadsheets/coherence_bookings_model.xlsx" TargetMode="External"/><Relationship Id="rId12" Type="http://schemas.openxmlformats.org/officeDocument/2006/relationships/hyperlink" Target="https://jessisenhower.github.io/coherence/spreadsheets/coherence_scoring_model.xlsx" TargetMode="External"/><Relationship Id="rId13" Type="http://schemas.openxmlformats.org/officeDocument/2006/relationships/hyperlink" Target="https://jessisenhower.github.io/coherence/spreadsheets/coherence_territory_model.xlsx" TargetMode="External"/><Relationship Id="rId14" Type="http://schemas.openxmlformats.org/officeDocument/2006/relationships/hyperlink" Target="https://jessisenhower.github.io/coherence/spreadsheets/coherence_capacity_model.xlsx" TargetMode="External"/><Relationship Id="rId15" Type="http://schemas.openxmlformats.org/officeDocument/2006/relationships/hyperlink" Target="https://jessisenhower.github.io/coherence/spreadsheets/coherence_pipeline_model.xlsx" TargetMode="External"/><Relationship Id="rId16" Type="http://schemas.openxmlformats.org/officeDocument/2006/relationships/hyperlink" Target="https://jessisenhower.github.io/coherence/spreadsheets/coherence_marketing_model.xlsx" TargetMode="External"/><Relationship Id="rId17" Type="http://schemas.openxmlformats.org/officeDocument/2006/relationships/hyperlink" Target="https://jessisenhower.github.io/coherence/spreadsheets/coherence_quota_model.xlsx" TargetMode="External"/><Relationship Id="rId18" Type="http://schemas.openxmlformats.org/officeDocument/2006/relationships/hyperlink" Target="https://jessisenhower.github.io/coherence/spreadsheets/coherence_comp_model.xlsx" TargetMode="External"/><Relationship Id="rId19" Type="http://schemas.openxmlformats.org/officeDocument/2006/relationships/hyperlink" Target="https://jessisenhower.github.io/coherence/spreadsheets/coherence_forecast_model.xlsx" TargetMode="External"/><Relationship Id="rId20" Type="http://schemas.openxmlformats.org/officeDocument/2006/relationships/hyperlink" Target="https://jessisenhower.github.io/coherence/spreadsheets/coherence_executive_model.xlsx" TargetMode="External"/><Relationship Id="rId21" Type="http://schemas.openxmlformats.org/officeDocument/2006/relationships/hyperlink" Target="https://worldatwork.org/publications/workspan-daily/6-keys-to-help-you-design-sales-comp-plans-like-a-pro" TargetMode="External"/><Relationship Id="rId22" Type="http://schemas.openxmlformats.org/officeDocument/2006/relationships/hyperlink" Target="https://worldatwork.org/publications/workspan-daily/sales-comp-considerations-choosing-between-individual-team-measures" TargetMode="External"/><Relationship Id="rId23" Type="http://schemas.openxmlformats.org/officeDocument/2006/relationships/hyperlink" Target="https://worldatwork.org/publications/workspan-daily/the-power-of-pay-for-performance-sales-compensation-plans" TargetMode="External"/><Relationship Id="rId24" Type="http://schemas.openxmlformats.org/officeDocument/2006/relationships/hyperlink" Target="https://www.alexandergroup.com/insights/sales-compensation-careful-about-that-threshold/" TargetMode="External"/><Relationship Id="rId25" Type="http://schemas.openxmlformats.org/officeDocument/2006/relationships/hyperlink" Target="https://www.alexandergroup.com/insights/create-design-goalposts-to-manage-sales-compensation-plan-consistency/" TargetMode="External"/><Relationship Id="rId26" Type="http://schemas.openxmlformats.org/officeDocument/2006/relationships/hyperlink" Target="https://www.alexandergroup.com/insights/sales-compensation-linked-formula-design/" TargetMode="External"/><Relationship Id="rId27" Type="http://schemas.openxmlformats.org/officeDocument/2006/relationships/hyperlink" Target="https://www.captivateiq.com/blog/enterprise-sales-incentive-plan" TargetMode="External"/><Relationship Id="rId28" Type="http://schemas.openxmlformats.org/officeDocument/2006/relationships/hyperlink" Target="https://www.quotapath.com/blog/motivational-accelerator-pla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Coherence Annual Revenue Planning Guide</dc:title>
  <dc:subject>Connected annual planning milestones, tools, best practices, and compensation design assessment</dc:subject>
  <dc:creator>Coherence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