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ab0e9911d1e18aa836dc08fb9c24256eea267cb"/>
    <w:p>
      <w:pPr>
        <w:pStyle w:val="Heading1"/>
      </w:pPr>
      <w:r>
        <w:t xml:space="preserve">Handoff: chorismate mutase ensemble and charge design</w:t>
      </w:r>
    </w:p>
    <w:p>
      <w:pPr>
        <w:pStyle w:val="FirstParagraph"/>
      </w:pPr>
      <w:r>
        <w:t xml:space="preserve">State at 23 September 2026. Written to prevent re-investigation of questions</w:t>
      </w:r>
      <w:r>
        <w:t xml:space="preserve"> </w:t>
      </w:r>
      <w:r>
        <w:t xml:space="preserve">already settled. Conclusions that were reached and later overturned are recorded</w:t>
      </w:r>
      <w:r>
        <w:t xml:space="preserve"> </w:t>
      </w:r>
      <w:r>
        <w:t xml:space="preserve">explicitly, because several were plausible enough to be re-derived.</w:t>
      </w:r>
    </w:p>
    <w:p>
      <w:r>
        <w:pict>
          <v:rect style="width:0;height:1.5pt" o:hralign="center" o:hrstd="t" o:hr="t"/>
        </w:pict>
      </w:r>
    </w:p>
    <w:bookmarkStart w:id="20" w:name="where-the-pipeline-is-now"/>
    <w:p>
      <w:pPr>
        <w:pStyle w:val="Heading2"/>
      </w:pPr>
      <w:r>
        <w:t xml:space="preserve">1. Where the pipeline is now</w:t>
      </w:r>
    </w:p>
    <w:p>
      <w:pPr>
        <w:pStyle w:val="FirstParagraph"/>
      </w:pPr>
      <w:r>
        <w:t xml:space="preserve">Thirty new frames selected from the extended molecular dynamics, all past</w:t>
      </w:r>
      <w:r>
        <w:t xml:space="preserve"> </w:t>
      </w:r>
      <w:r>
        <w:t xml:space="preserve">reactant optimisation, scan and product optimisation.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reactant optimisation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of 30 converged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of 30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optimisation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of 30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converged, 26 outstanding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transition-state optimisation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running, 3 to 5 cycles each</w:t>
            </w:r>
          </w:p>
        </w:tc>
      </w:tr>
    </w:tbl>
    <w:p>
      <w:pPr>
        <w:pStyle w:val="BodyText"/>
      </w:pPr>
      <w:r>
        <w:t xml:space="preserve">The four converged bands give barriers of</w:t>
      </w:r>
      <w:r>
        <w:t xml:space="preserve"> </w:t>
      </w:r>
      <w:r>
        <w:rPr>
          <w:bCs/>
          <w:b/>
        </w:rPr>
        <w:t xml:space="preserve">12.97, 15.97, 18.64 and 14.78</w:t>
      </w:r>
      <w:r>
        <w:rPr>
          <w:bCs/>
          <w:b/>
        </w:rPr>
        <w:t xml:space="preserve"> </w:t>
      </w:r>
      <w:r>
        <w:rPr>
          <w:bCs/>
          <w:b/>
        </w:rPr>
        <w:t xml:space="preserve">kcal/mol</w:t>
      </w:r>
      <w:r>
        <w:t xml:space="preserve">, inside the original ten-frame range of 4.48 to 25.26.</w:t>
      </w:r>
    </w:p>
    <w:p>
      <w:pPr>
        <w:pStyle w:val="BodyText"/>
      </w:pPr>
      <w:r>
        <w:t xml:space="preserve">Run the rest with</w:t>
      </w:r>
      <w:r>
        <w:t xml:space="preserve"> </w:t>
      </w:r>
      <w:r>
        <w:rPr>
          <w:rStyle w:val="VerbatimChar"/>
        </w:rPr>
        <w:t xml:space="preserve">bash run_ensemble_batched.sh stage4 4</w:t>
      </w:r>
      <w:r>
        <w:t xml:space="preserve">, four at a time, then</w:t>
      </w:r>
      <w:r>
        <w:t xml:space="preserve"> </w:t>
      </w:r>
      <w:r>
        <w:rPr>
          <w:rStyle w:val="VerbatimChar"/>
        </w:rPr>
        <w:t xml:space="preserve">harvest</w:t>
      </w:r>
      <w:r>
        <w:t xml:space="preserve"> </w:t>
      </w:r>
      <w:r>
        <w:t xml:space="preserve">between batches.</w:t>
      </w:r>
      <w:r>
        <w:t xml:space="preserve"> </w:t>
      </w:r>
      <w:r>
        <w:rPr>
          <w:rStyle w:val="VerbatimChar"/>
        </w:rPr>
        <w:t xml:space="preserve">next.sh</w:t>
      </w:r>
      <w:r>
        <w:t xml:space="preserve"> </w:t>
      </w:r>
      <w:r>
        <w:t xml:space="preserve">advances the earlier stages and is safe to</w:t>
      </w:r>
      <w:r>
        <w:t xml:space="preserve"> </w:t>
      </w:r>
      <w:r>
        <w:t xml:space="preserve">call repeatedly.</w:t>
      </w:r>
    </w:p>
    <w:bookmarkEnd w:id="20"/>
    <w:bookmarkStart w:id="21" w:name="the-ensemble-already-accepted"/>
    <w:p>
      <w:pPr>
        <w:pStyle w:val="Heading2"/>
      </w:pPr>
      <w:r>
        <w:t xml:space="preserve">2. The ensemble already accepted</w:t>
      </w:r>
    </w:p>
    <w:p>
      <w:pPr>
        <w:pStyle w:val="FirstParagraph"/>
      </w:pPr>
      <w:r>
        <w:t xml:space="preserve">Fourteen original frames, ten satisfying the full near-attack criterion.</w:t>
      </w:r>
    </w:p>
    <w:p>
      <w:pPr>
        <w:pStyle w:val="BodyText"/>
      </w:pPr>
      <w:r>
        <w:rPr>
          <w:bCs/>
          <w:b/>
        </w:rPr>
        <w:t xml:space="preserve">It reproduces the published result.</w:t>
      </w:r>
      <w:r>
        <w:t xml:space="preserve"> </w:t>
      </w:r>
      <w:r>
        <w:t xml:space="preserve">Mean transition-state stabilisation</w:t>
      </w:r>
      <w:r>
        <w:t xml:space="preserve"> </w:t>
      </w:r>
      <w:r>
        <w:rPr>
          <w:bCs/>
          <w:b/>
        </w:rPr>
        <w:t xml:space="preserve">-4.32 kcal/mol</w:t>
      </w:r>
      <w:r>
        <w:t xml:space="preserve"> </w:t>
      </w:r>
      <w:r>
        <w:t xml:space="preserve">against Claeyssens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(2005)</w:t>
      </w:r>
      <w:r>
        <w:t xml:space="preserve"> </w:t>
      </w:r>
      <w:r>
        <w:rPr>
          <w:bCs/>
          <w:b/>
        </w:rPr>
        <w:t xml:space="preserve">-4.2</w:t>
      </w:r>
      <w:r>
        <w:t xml:space="preserve">; gradient of</w:t>
      </w:r>
      <w:r>
        <w:t xml:space="preserve"> </w:t>
      </w:r>
      <w:r>
        <w:t xml:space="preserve">barrier against stabilisation</w:t>
      </w:r>
      <w:r>
        <w:t xml:space="preserve"> </w:t>
      </w:r>
      <w:r>
        <w:rPr>
          <w:bCs/>
          <w:b/>
        </w:rPr>
        <w:t xml:space="preserve">1.062</w:t>
      </w:r>
      <w:r>
        <w:t xml:space="preserve"> </w:t>
      </w:r>
      <w:r>
        <w:t xml:space="preserve">against their</w:t>
      </w:r>
      <w:r>
        <w:t xml:space="preserve"> </w:t>
      </w:r>
      <w:r>
        <w:rPr>
          <w:bCs/>
          <w:b/>
        </w:rPr>
        <w:t xml:space="preserve">0.95</w:t>
      </w:r>
      <w:r>
        <w:t xml:space="preserve">; correlation</w:t>
      </w:r>
      <w:r>
        <w:t xml:space="preserve"> </w:t>
      </w:r>
      <w:r>
        <w:t xml:space="preserve">r = +0.846. Independent system setup, different force field and basis.</w:t>
      </w:r>
    </w:p>
    <w:p>
      <w:pPr>
        <w:pStyle w:val="BodyText"/>
      </w:pPr>
      <w:r>
        <w:rPr>
          <w:bCs/>
          <w:b/>
        </w:rPr>
        <w:t xml:space="preserve">The spread is ordinary.</w:t>
      </w:r>
      <w:r>
        <w:t xml:space="preserve"> </w:t>
      </w:r>
      <w:r>
        <w:t xml:space="preserve">Ryde (2017) surveyed 24 QM/MM studies and found the</w:t>
      </w:r>
      <w:r>
        <w:t xml:space="preserve"> </w:t>
      </w:r>
      <w:r>
        <w:t xml:space="preserve">standard deviation ranges 0.6 to 97 kJ/mol, with 73 per cent exceeding 10. This</w:t>
      </w:r>
      <w:r>
        <w:t xml:space="preserve"> </w:t>
      </w:r>
      <w:r>
        <w:t xml:space="preserve">work is at 22 kJ/mol. Claeyssens at 7 is the tight end of the field, not the norm.</w:t>
      </w:r>
    </w:p>
    <w:bookmarkEnd w:id="21"/>
    <w:bookmarkStart w:id="26" w:name="faults-found-and-corrected"/>
    <w:p>
      <w:pPr>
        <w:pStyle w:val="Heading2"/>
      </w:pPr>
      <w:r>
        <w:t xml:space="preserve">3. Faults found and corrected</w:t>
      </w:r>
    </w:p>
    <w:bookmarkStart w:id="22" w:name="X012a988d82af94c0d4d9c8625008f25c1735d61"/>
    <w:p>
      <w:pPr>
        <w:pStyle w:val="Heading3"/>
      </w:pPr>
      <w:r>
        <w:t xml:space="preserve">The scan restraint was five times too weak</w:t>
      </w:r>
    </w:p>
    <w:p>
      <w:pPr>
        <w:pStyle w:val="FirstParagraph"/>
      </w:pPr>
      <w:r>
        <w:t xml:space="preserve">The restrained scan did not pass through the transition state. In every frame the</w:t>
      </w:r>
      <w:r>
        <w:t xml:space="preserve"> </w:t>
      </w:r>
      <w:r>
        <w:t xml:space="preserve">achieved distances sat 0.18 to 0.35 A on the reactant side of their targets</w:t>
      </w:r>
      <w:r>
        <w:t xml:space="preserve"> </w:t>
      </w:r>
      <w:r>
        <w:t xml:space="preserve">approaching the barrier, then flipped to the product side, so the reaction</w:t>
      </w:r>
      <w:r>
        <w:t xml:space="preserve"> </w:t>
      </w:r>
      <w:r>
        <w:t xml:space="preserve">coordinate jumped by more than an angstrom between adjacent windows whose other</w:t>
      </w:r>
      <w:r>
        <w:t xml:space="preserve"> </w:t>
      </w:r>
      <w:r>
        <w:t xml:space="preserve">steps are 0.07 to 0.15. The maximum handed to the band as its guess was the last</w:t>
      </w:r>
      <w:r>
        <w:t xml:space="preserve"> </w:t>
      </w:r>
      <w:r>
        <w:t xml:space="preserve">point before the slip.</w:t>
      </w:r>
    </w:p>
    <w:p>
      <w:pPr>
        <w:pStyle w:val="BodyText"/>
      </w:pPr>
      <w:r>
        <w:rPr>
          <w:bCs/>
          <w:b/>
        </w:rPr>
        <w:t xml:space="preserve">The cause is a unit mismatch.</w:t>
      </w:r>
      <w:r>
        <w:t xml:space="preserve"> </w:t>
      </w:r>
      <w:r>
        <w:t xml:space="preserve">The ORCA manual specifies the</w:t>
      </w:r>
      <w:r>
        <w:t xml:space="preserve"> </w:t>
      </w:r>
      <w:r>
        <w:rPr>
          <w:rStyle w:val="VerbatimChar"/>
        </w:rPr>
        <w:t xml:space="preserve">Restraint</w:t>
      </w:r>
      <w:r>
        <w:t xml:space="preserve"> </w:t>
      </w:r>
      <w:r>
        <w:t xml:space="preserve">spring constant in</w:t>
      </w:r>
      <w:r>
        <w:t xml:space="preserve"> </w:t>
      </w:r>
      <w:r>
        <w:rPr>
          <w:bCs/>
          <w:b/>
        </w:rPr>
        <w:t xml:space="preserve">kJ mol⁻¹ Å⁻²</w:t>
      </w:r>
      <w:r>
        <w:t xml:space="preserve">. The production value of 400 was therefore</w:t>
      </w:r>
      <w:r>
        <w:t xml:space="preserve"> </w:t>
      </w:r>
      <w:r>
        <w:t xml:space="preserve">about</w:t>
      </w:r>
      <w:r>
        <w:t xml:space="preserve"> </w:t>
      </w:r>
      <w:r>
        <w:rPr>
          <w:bCs/>
          <w:b/>
        </w:rPr>
        <w:t xml:space="preserve">96 kcal mol⁻¹ Å⁻²</w:t>
      </w:r>
      <w:r>
        <w:t xml:space="preserve">, five times weaker than the</w:t>
      </w:r>
      <w:r>
        <w:t xml:space="preserve"> </w:t>
      </w:r>
      <w:r>
        <w:rPr>
          <w:bCs/>
          <w:b/>
        </w:rPr>
        <w:t xml:space="preserve">500 kcal mol⁻¹ Å⁻²</w:t>
      </w:r>
      <w:r>
        <w:t xml:space="preserve"> </w:t>
      </w:r>
      <w:r>
        <w:t xml:space="preserve">used by Claeyssens</w:t>
      </w:r>
      <w:r>
        <w:t xml:space="preserve"> </w:t>
      </w:r>
      <w:r>
        <w:rPr>
          <w:iCs/>
          <w:i/>
        </w:rPr>
        <w:t xml:space="preserve">et al.</w:t>
      </w:r>
    </w:p>
    <w:p>
      <w:pPr>
        <w:pStyle w:val="BodyText"/>
      </w:pPr>
      <w:r>
        <w:t xml:space="preserve">Testing 400, 1000, 2500 and 6000 kJ on one frame gave largest deviations of</w:t>
      </w:r>
      <w:r>
        <w:t xml:space="preserve"> </w:t>
      </w:r>
      <w:r>
        <w:t xml:space="preserve">0.308, 0.104, 0.038 and 0.015 A.</w:t>
      </w:r>
      <w:r>
        <w:t xml:space="preserve"> </w:t>
      </w:r>
      <w:r>
        <w:rPr>
          <w:bCs/>
          <w:b/>
        </w:rPr>
        <w:t xml:space="preserve">2500 kJ is adopted</w:t>
      </w:r>
      <w:r>
        <w:t xml:space="preserve"> </w:t>
      </w:r>
      <w:r>
        <w:t xml:space="preserve">— 597 kcal, within twenty</w:t>
      </w:r>
      <w:r>
        <w:t xml:space="preserve"> </w:t>
      </w:r>
      <w:r>
        <w:t xml:space="preserve">per cent of the published value. Confirmed on five further frames: the step</w:t>
      </w:r>
      <w:r>
        <w:t xml:space="preserve"> </w:t>
      </w:r>
      <w:r>
        <w:t xml:space="preserve">between windows 12 and 13 is now 0.161 to 0.169 against 1.14 before, and the</w:t>
      </w:r>
      <w:r>
        <w:t xml:space="preserve"> </w:t>
      </w:r>
      <w:r>
        <w:t xml:space="preserve">transition-state guesses sit 14.4 to 17.5 kcal/mol above the scan start, matching</w:t>
      </w:r>
      <w:r>
        <w:t xml:space="preserve"> </w:t>
      </w:r>
      <w:r>
        <w:t xml:space="preserve">the reference frame’s 16.37.</w:t>
      </w:r>
    </w:p>
    <w:p>
      <w:pPr>
        <w:pStyle w:val="BodyText"/>
      </w:pPr>
      <w:r>
        <w:t xml:space="preserve">A stiffer restraint also stores</w:t>
      </w:r>
      <w:r>
        <w:t xml:space="preserve"> </w:t>
      </w:r>
      <w:r>
        <w:rPr>
          <w:iCs/>
          <w:i/>
        </w:rPr>
        <w:t xml:space="preserve">less</w:t>
      </w:r>
      <w:r>
        <w:t xml:space="preserve"> </w:t>
      </w:r>
      <w:r>
        <w:t xml:space="preserve">energy here, not more, because the</w:t>
      </w:r>
      <w:r>
        <w:t xml:space="preserve"> </w:t>
      </w:r>
      <w:r>
        <w:t xml:space="preserve">deviation falls faster than the constant rises, and it converges in a quarter of</w:t>
      </w:r>
      <w:r>
        <w:t xml:space="preserve"> </w:t>
      </w:r>
      <w:r>
        <w:t xml:space="preserve">the wall time.</w:t>
      </w:r>
    </w:p>
    <w:p>
      <w:pPr>
        <w:pStyle w:val="BodyText"/>
      </w:pPr>
      <w:r>
        <w:rPr>
          <w:bCs/>
          <w:b/>
        </w:rPr>
        <w:t xml:space="preserve">Why two restraints rather than one.</w:t>
      </w:r>
      <w:r>
        <w:t xml:space="preserve"> </w:t>
      </w:r>
      <w:r>
        <w:t xml:space="preserve">Claeyssens restrain the reaction</w:t>
      </w:r>
      <w:r>
        <w:t xml:space="preserve"> </w:t>
      </w:r>
      <w:r>
        <w:t xml:space="preserve">coordinate itself. ORCA 6.0’s</w:t>
      </w:r>
      <w:r>
        <w:t xml:space="preserve"> </w:t>
      </w:r>
      <w:r>
        <w:rPr>
          <w:rStyle w:val="VerbatimChar"/>
        </w:rPr>
        <w:t xml:space="preserve">Manage_Colvar</w:t>
      </w:r>
      <w:r>
        <w:t xml:space="preserve"> </w:t>
      </w:r>
      <w:r>
        <w:t xml:space="preserve">accepts only</w:t>
      </w:r>
      <w:r>
        <w:t xml:space="preserve"> </w:t>
      </w:r>
      <w:r>
        <w:rPr>
          <w:rStyle w:val="VerbatimChar"/>
        </w:rPr>
        <w:t xml:space="preserve">Distance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Dihedral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CoordNumber</w:t>
      </w:r>
      <w:r>
        <w:t xml:space="preserve">, with no linear combination — custom collective</w:t>
      </w:r>
      <w:r>
        <w:t xml:space="preserve"> </w:t>
      </w:r>
      <w:r>
        <w:t xml:space="preserve">variables by mathematical expression arrived in 6.1. Both distances are therefore</w:t>
      </w:r>
      <w:r>
        <w:t xml:space="preserve"> </w:t>
      </w:r>
      <w:r>
        <w:t xml:space="preserve">restrained separately, which over-determines the geometry and is why a stronger</w:t>
      </w:r>
      <w:r>
        <w:t xml:space="preserve"> </w:t>
      </w:r>
      <w:r>
        <w:t xml:space="preserve">constant is needed. Do not spend time looking for a difference-of-distances</w:t>
      </w:r>
      <w:r>
        <w:t xml:space="preserve"> </w:t>
      </w:r>
      <w:r>
        <w:t xml:space="preserve">colvar in 6.0; it does not exist.</w:t>
      </w:r>
    </w:p>
    <w:bookmarkEnd w:id="22"/>
    <w:bookmarkStart w:id="23" w:name="X3cbad717a59483d7f0be6dc0ee3de533bd73c81"/>
    <w:p>
      <w:pPr>
        <w:pStyle w:val="Heading3"/>
      </w:pPr>
      <w:r>
        <w:t xml:space="preserve">The memory requests were wrong in both directions</w:t>
      </w:r>
    </w:p>
    <w:p>
      <w:pPr>
        <w:pStyle w:val="FirstParagraph"/>
      </w:pPr>
      <w:r>
        <w:t xml:space="preserve">Measured against actual use: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reactant optimisation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optimisation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167 to 216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GB</w:t>
            </w:r>
          </w:p>
        </w:tc>
      </w:tr>
    </w:tbl>
    <w:p>
      <w:pPr>
        <w:pStyle w:val="BodyText"/>
      </w:pPr>
      <w:r>
        <w:t xml:space="preserve">The over-request excluded every job from all seventeen 48-core, 96 GB machines,</w:t>
      </w:r>
      <w:r>
        <w:t xml:space="preserve"> </w:t>
      </w:r>
      <w:r>
        <w:t xml:space="preserve">which is why five jobs queued while a fraction of 2,344 cores were in use. After</w:t>
      </w:r>
      <w:r>
        <w:t xml:space="preserve"> </w:t>
      </w:r>
      <w:r>
        <w:t xml:space="preserve">the change every job ran immediately.</w:t>
      </w:r>
    </w:p>
    <w:p>
      <w:pPr>
        <w:pStyle w:val="BodyText"/>
      </w:pPr>
      <w:r>
        <w:t xml:space="preserve">The band arithmetic:</w:t>
      </w:r>
      <w:r>
        <w:t xml:space="preserve"> </w:t>
      </w:r>
      <w:r>
        <w:rPr>
          <w:rStyle w:val="VerbatimChar"/>
        </w:rPr>
        <w:t xml:space="preserve">%MaxCore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memory per process</w:t>
      </w:r>
      <w:r>
        <w:t xml:space="preserve">, and ORCA can exceed it.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maxcore 3000</w:t>
      </w:r>
      <w:r>
        <w:t xml:space="preserve">,</w:t>
      </w:r>
      <w:r>
        <w:t xml:space="preserve"> </w:t>
      </w:r>
      <w:r>
        <w:rPr>
          <w:rStyle w:val="VerbatimChar"/>
        </w:rPr>
        <w:t xml:space="preserve">nprocs 8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NImages 8</w:t>
      </w:r>
      <w:r>
        <w:t xml:space="preserve"> </w:t>
      </w:r>
      <w:r>
        <w:t xml:space="preserve">the requirement is</w:t>
      </w:r>
      <w:r>
        <w:t xml:space="preserve"> </w:t>
      </w:r>
      <w:r>
        <w:t xml:space="preserve">8 x 8 x 3000 MB, about 192 GB. Every band before this ran roughly 70 GB over its</w:t>
      </w:r>
      <w:r>
        <w:t xml:space="preserve"> </w:t>
      </w:r>
      <w:r>
        <w:t xml:space="preserve">request.</w:t>
      </w:r>
    </w:p>
    <w:bookmarkEnd w:id="23"/>
    <w:bookmarkStart w:id="24" w:name="Xa0e37655e48dc2bb03401635bb7db8bbf68c836"/>
    <w:p>
      <w:pPr>
        <w:pStyle w:val="Heading3"/>
      </w:pPr>
      <w:r>
        <w:t xml:space="preserve">The batch runner tested files instead of the queue</w:t>
      </w:r>
    </w:p>
    <w:p>
      <w:pPr>
        <w:pStyle w:val="FirstParagraph"/>
      </w:pPr>
      <w:r>
        <w:rPr>
          <w:rStyle w:val="VerbatimChar"/>
        </w:rPr>
        <w:t xml:space="preserve">stage2</w:t>
      </w:r>
      <w:r>
        <w:t xml:space="preserve"> </w:t>
      </w:r>
      <w:r>
        <w:t xml:space="preserve">decided a scan was outstanding unless</w:t>
      </w:r>
      <w:r>
        <w:t xml:space="preserve"> </w:t>
      </w:r>
      <w:r>
        <w:rPr>
          <w:rStyle w:val="VerbatimChar"/>
        </w:rPr>
        <w:t xml:space="preserve">win_20.pdb</w:t>
      </w:r>
      <w:r>
        <w:t xml:space="preserve"> </w:t>
      </w:r>
      <w:r>
        <w:t xml:space="preserve">existed, which only</w:t>
      </w:r>
      <w:r>
        <w:t xml:space="preserve"> </w:t>
      </w:r>
      <w:r>
        <w:t xml:space="preserve">appears on completion — so a running scan and an unstarted one looked identical</w:t>
      </w:r>
      <w:r>
        <w:t xml:space="preserve"> </w:t>
      </w:r>
      <w:r>
        <w:t xml:space="preserve">and duplicates were submitted into live directories. Now it asks</w:t>
      </w:r>
      <w:r>
        <w:t xml:space="preserve"> </w:t>
      </w:r>
      <w:r>
        <w:rPr>
          <w:rStyle w:val="VerbatimChar"/>
        </w:rPr>
        <w:t xml:space="preserve">qstat</w:t>
      </w:r>
      <w:r>
        <w:t xml:space="preserve">.</w:t>
      </w:r>
    </w:p>
    <w:p>
      <w:pPr>
        <w:pStyle w:val="BodyText"/>
      </w:pPr>
      <w:r>
        <w:t xml:space="preserve">Note that</w:t>
      </w:r>
      <w:r>
        <w:t xml:space="preserve"> </w:t>
      </w:r>
      <w:r>
        <w:rPr>
          <w:rStyle w:val="VerbatimChar"/>
        </w:rPr>
        <w:t xml:space="preserve">qstat</w:t>
      </w:r>
      <w:r>
        <w:t xml:space="preserve"> </w:t>
      </w:r>
      <w:r>
        <w:t xml:space="preserve">truncates job names to ten characters</w:t>
      </w:r>
      <w:r>
        <w:t xml:space="preserve"> </w:t>
      </w:r>
      <w:r>
        <w:rPr>
          <w:iCs/>
          <w:i/>
        </w:rPr>
        <w:t xml:space="preserve">including</w:t>
      </w:r>
      <w:r>
        <w:t xml:space="preserve"> </w:t>
      </w:r>
      <w:r>
        <w:t xml:space="preserve">a trailing</w:t>
      </w:r>
      <w:r>
        <w:t xml:space="preserve"> </w:t>
      </w:r>
      <w:r>
        <w:t xml:space="preserve">asterisk, so the printed field is a</w:t>
      </w:r>
      <w:r>
        <w:t xml:space="preserve"> </w:t>
      </w:r>
      <w:r>
        <w:rPr>
          <w:bCs/>
          <w:b/>
        </w:rPr>
        <w:t xml:space="preserve">prefix</w:t>
      </w:r>
      <w:r>
        <w:t xml:space="preserve"> </w:t>
      </w:r>
      <w:r>
        <w:t xml:space="preserve">of the real name. Compare in that</w:t>
      </w:r>
      <w:r>
        <w:t xml:space="preserve"> </w:t>
      </w:r>
      <w:r>
        <w:t xml:space="preserve">direction.</w:t>
      </w:r>
    </w:p>
    <w:bookmarkEnd w:id="24"/>
    <w:bookmarkStart w:id="25" w:name="cleanup-deleted-an-input"/>
    <w:p>
      <w:pPr>
        <w:pStyle w:val="Heading3"/>
      </w:pPr>
      <w:r>
        <w:t xml:space="preserve">Cleanup deleted an input</w:t>
      </w:r>
    </w:p>
    <w:p>
      <w:pPr>
        <w:pStyle w:val="FirstParagraph"/>
      </w:pPr>
      <w:r>
        <w:rPr>
          <w:rStyle w:val="VerbatimChar"/>
        </w:rPr>
        <w:t xml:space="preserve">rm -f .../scan/win_*.pdb</w:t>
      </w:r>
      <w:r>
        <w:t xml:space="preserve"> </w:t>
      </w:r>
      <w:r>
        <w:t xml:space="preserve">removed</w:t>
      </w:r>
      <w:r>
        <w:t xml:space="preserve"> </w:t>
      </w:r>
      <w:r>
        <w:rPr>
          <w:rStyle w:val="VerbatimChar"/>
        </w:rPr>
        <w:t xml:space="preserve">win_00.pdb</w:t>
      </w:r>
      <w:r>
        <w:t xml:space="preserve">, which</w:t>
      </w:r>
      <w:r>
        <w:t xml:space="preserve"> </w:t>
      </w:r>
      <w:r>
        <w:rPr>
          <w:rStyle w:val="VerbatimChar"/>
        </w:rPr>
        <w:t xml:space="preserve">step19c</w:t>
      </w:r>
      <w:r>
        <w:t xml:space="preserve"> </w:t>
      </w:r>
      <w:r>
        <w:t xml:space="preserve">stages from the</w:t>
      </w:r>
      <w:r>
        <w:t xml:space="preserve"> </w:t>
      </w:r>
      <w:r>
        <w:t xml:space="preserve">optimised reactant and the scan chains from. Rerunning</w:t>
      </w:r>
      <w:r>
        <w:t xml:space="preserve"> </w:t>
      </w:r>
      <w:r>
        <w:rPr>
          <w:rStyle w:val="VerbatimChar"/>
        </w:rPr>
        <w:t xml:space="preserve">step19c</w:t>
      </w:r>
      <w:r>
        <w:t xml:space="preserve"> </w:t>
      </w:r>
      <w:r>
        <w:t xml:space="preserve">restores it.</w:t>
      </w:r>
    </w:p>
    <w:bookmarkEnd w:id="25"/>
    <w:bookmarkEnd w:id="26"/>
    <w:bookmarkStart w:id="33" w:name="X13328254e3f2cb067c37a281f67799827038ca3"/>
    <w:p>
      <w:pPr>
        <w:pStyle w:val="Heading2"/>
      </w:pPr>
      <w:r>
        <w:t xml:space="preserve">4. Sampling quality: settled, with a stated limitation</w:t>
      </w:r>
    </w:p>
    <w:bookmarkStart w:id="27" w:name="the-molecular-dynamics"/>
    <w:p>
      <w:pPr>
        <w:pStyle w:val="Heading3"/>
      </w:pPr>
      <w:r>
        <w:t xml:space="preserve">The molecular dynamics</w:t>
      </w:r>
    </w:p>
    <w:p>
      <w:pPr>
        <w:pStyle w:val="FirstParagraph"/>
      </w:pPr>
      <w:r>
        <w:t xml:space="preserve">Production extended by 40 ns to 60 ns total. Averages over the extension 300.02 K</w:t>
      </w:r>
      <w:r>
        <w:t xml:space="preserve"> </w:t>
      </w:r>
      <w:r>
        <w:t xml:space="preserve">and density 1.0222.</w:t>
      </w:r>
    </w:p>
    <w:bookmarkEnd w:id="27"/>
    <w:bookmarkStart w:id="28" w:name="X2059e6e21280c18d4888d69181fbd3f65c126c0"/>
    <w:p>
      <w:pPr>
        <w:pStyle w:val="Heading3"/>
      </w:pPr>
      <w:r>
        <w:t xml:space="preserve">Correlation times are a property of the observable, not the trajectory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observable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predicts the barrier?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backbone RMSD vs fixed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theta2 near-attack 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 ps full record, 97 ps after 20 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theta1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 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= +0.076,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forming C1-C6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 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= -0.202, no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backbone values are discarded.</w:t>
      </w:r>
      <w:r>
        <w:t xml:space="preserve"> </w:t>
      </w:r>
      <w:r>
        <w:t xml:space="preserve">Measured against two different reference</w:t>
      </w:r>
      <w:r>
        <w:t xml:space="preserve"> </w:t>
      </w:r>
      <w:r>
        <w:t xml:space="preserve">structures they gave 699 and 2349 ps. Grossfield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(2018) define the</w:t>
      </w:r>
      <w:r>
        <w:t xml:space="preserve"> </w:t>
      </w:r>
      <w:r>
        <w:t xml:space="preserve">correlation time only for a stationary series —</w:t>
      </w:r>
      <w:r>
        <w:t xml:space="preserve"> </w:t>
      </w:r>
      <w:r>
        <w:t xml:space="preserve">“</w:t>
      </w:r>
      <w:r>
        <w:t xml:space="preserve">Such correlations are often</w:t>
      </w:r>
      <w:r>
        <w:t xml:space="preserve"> </w:t>
      </w:r>
      <w:r>
        <w:t xml:space="preserve">stationary, meaning that tau is independent of t</w:t>
      </w:r>
      <w:r>
        <w:t xml:space="preserve">”</w:t>
      </w:r>
      <w:r>
        <w:t xml:space="preserve"> </w:t>
      </w:r>
      <w:r>
        <w:t xml:space="preserve">— and that series is not. They</w:t>
      </w:r>
      <w:r>
        <w:t xml:space="preserve"> </w:t>
      </w:r>
      <w:r>
        <w:t xml:space="preserve">also state the deviation against a single reference</w:t>
      </w:r>
      <w:r>
        <w:t xml:space="preserve"> </w:t>
      </w:r>
      <w:r>
        <w:t xml:space="preserve">“</w:t>
      </w:r>
      <w:r>
        <w:t xml:space="preserve">should really be considered</w:t>
      </w:r>
      <w:r>
        <w:t xml:space="preserve"> </w:t>
      </w:r>
      <w:r>
        <w:t xml:space="preserve">as another equilibration test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is not even a particularly good test of</w:t>
      </w:r>
      <w:r>
        <w:t xml:space="preserve"> </w:t>
      </w:r>
      <w:r>
        <w:t xml:space="preserve">equilibration</w:t>
      </w:r>
      <w:r>
        <w:t xml:space="preserve">”</w:t>
      </w:r>
      <w:r>
        <w:t xml:space="preserve">, because its degeneracy means one cannot tell whether the</w:t>
      </w:r>
      <w:r>
        <w:t xml:space="preserve"> </w:t>
      </w:r>
      <w:r>
        <w:t xml:space="preserve">simulation explores new states equidistant from the reference.</w:t>
      </w:r>
    </w:p>
    <w:p>
      <w:pPr>
        <w:pStyle w:val="BodyText"/>
      </w:pPr>
      <w:r>
        <w:rPr>
          <w:bCs/>
          <w:b/>
        </w:rPr>
        <w:t xml:space="preserve">The committed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step11e_autocorr.py</w:t>
      </w:r>
      <w:r>
        <w:rPr>
          <w:bCs/>
          <w:b/>
        </w:rPr>
        <w:t xml:space="preserve"> </w:t>
      </w:r>
      <w:r>
        <w:rPr>
          <w:bCs/>
          <w:b/>
        </w:rPr>
        <w:t xml:space="preserve">measures the wrong observables.</w:t>
      </w:r>
      <w:r>
        <w:t xml:space="preserve"> </w:t>
      </w:r>
      <w:r>
        <w:t xml:space="preserve">It reports</w:t>
      </w:r>
      <w:r>
        <w:t xml:space="preserve"> </w:t>
      </w:r>
      <w:r>
        <w:t xml:space="preserve">3.2 ps for the forming distance and 2.5 for the Arg90 contact, calling them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two quantities that define catalytic competence</w:t>
      </w:r>
      <w:r>
        <w:t xml:space="preserve">”</w:t>
      </w:r>
      <w:r>
        <w:t xml:space="preserve">, and concludes the frames are</w:t>
      </w:r>
      <w:r>
        <w:t xml:space="preserve"> </w:t>
      </w:r>
      <w:r>
        <w:t xml:space="preserve">independent. Neither predicts the barrier.</w:t>
      </w:r>
    </w:p>
    <w:bookmarkEnd w:id="28"/>
    <w:bookmarkStart w:id="29" w:name="Xa9f3d1f3b06003aabf6e6baf032c03ee58968cd"/>
    <w:p>
      <w:pPr>
        <w:pStyle w:val="Heading3"/>
      </w:pPr>
      <w:r>
        <w:t xml:space="preserve">The limitation, which must be stated in the write-up</w:t>
      </w:r>
    </w:p>
    <w:p>
      <w:pPr>
        <w:pStyle w:val="FirstParagraph"/>
      </w:pPr>
      <w:r>
        <w:t xml:space="preserve">Theta2’s correlation with the barrier is carried by the three near-attack</w:t>
      </w:r>
      <w:r>
        <w:t xml:space="preserve"> </w:t>
      </w:r>
      <w:r>
        <w:t xml:space="preserve">failures. Across all thirteen frames with an in vacuo barrier r = +0.657,</w:t>
      </w:r>
      <w:r>
        <w:t xml:space="preserve"> </w:t>
      </w:r>
      <w:r>
        <w:t xml:space="preserve">p = 0.015. Within the ten reported,</w:t>
      </w:r>
      <w:r>
        <w:t xml:space="preserve"> </w:t>
      </w:r>
      <w:r>
        <w:rPr>
          <w:bCs/>
          <w:b/>
        </w:rPr>
        <w:t xml:space="preserve">r = +0.487, p = 0.154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So no observable has been shown to predict the barrier among the frames</w:t>
      </w:r>
      <w:r>
        <w:rPr>
          <w:bCs/>
          <w:b/>
        </w:rPr>
        <w:t xml:space="preserve"> </w:t>
      </w:r>
      <w:r>
        <w:rPr>
          <w:bCs/>
          <w:b/>
        </w:rPr>
        <w:t xml:space="preserve">reported</w:t>
      </w:r>
      <w:r>
        <w:t xml:space="preserve">, and the correlation time adopted is the slowest measured rather than</w:t>
      </w:r>
      <w:r>
        <w:t xml:space="preserve"> </w:t>
      </w:r>
      <w:r>
        <w:t xml:space="preserve">the demonstrably relevant one. With ten frames the test has little power; r =</w:t>
      </w:r>
      <w:r>
        <w:t xml:space="preserve"> </w:t>
      </w:r>
      <w:r>
        <w:t xml:space="preserve">0.487 is not evidence of absence. Revisit once thirty barriers exist.</w:t>
      </w:r>
    </w:p>
    <w:bookmarkEnd w:id="29"/>
    <w:bookmarkStart w:id="30" w:name="the-equilibration-cut"/>
    <w:p>
      <w:pPr>
        <w:pStyle w:val="Heading3"/>
      </w:pPr>
      <w:r>
        <w:t xml:space="preserve">The equilibration cut</w:t>
      </w:r>
    </w:p>
    <w:p>
      <w:pPr>
        <w:pStyle w:val="FirstParagraph"/>
      </w:pPr>
      <w:r>
        <w:rPr>
          <w:bCs/>
          <w:b/>
        </w:rPr>
        <w:t xml:space="preserve">20,000 ps</w:t>
      </w:r>
      <w:r>
        <w:t xml:space="preserve">, by Chodera’s (2016) criterion — the discard point maximising the</w:t>
      </w:r>
      <w:r>
        <w:t xml:space="preserve"> </w:t>
      </w:r>
      <w:r>
        <w:t xml:space="preserve">effective sample size. N_eff rises 109 at t0 = 0 to 205 at 20,000 then falls to</w:t>
      </w:r>
      <w:r>
        <w:t xml:space="preserve"> </w:t>
      </w:r>
      <w:r>
        <w:t xml:space="preserve">128, so the maximum is interior rather than at the scan edge. The earlier 11,000</w:t>
      </w:r>
      <w:r>
        <w:t xml:space="preserve"> </w:t>
      </w:r>
      <w:r>
        <w:t xml:space="preserve">ps was read off block means by eye and is superseded.</w:t>
      </w:r>
    </w:p>
    <w:p>
      <w:pPr>
        <w:pStyle w:val="BodyText"/>
      </w:pPr>
      <w:r>
        <w:t xml:space="preserve">Chodera’s data-sufficiency caveat is satisfied: the trajectory is 218 times the</w:t>
      </w:r>
      <w:r>
        <w:t xml:space="preserve"> </w:t>
      </w:r>
      <w:r>
        <w:t xml:space="preserve">minimum estimated correlation time.</w:t>
      </w:r>
    </w:p>
    <w:bookmarkEnd w:id="30"/>
    <w:bookmarkStart w:id="31" w:name="the-trajectory-does-revisit-states"/>
    <w:p>
      <w:pPr>
        <w:pStyle w:val="Heading3"/>
      </w:pPr>
      <w:r>
        <w:t xml:space="preserve">The trajectory does revisit states</w:t>
      </w:r>
    </w:p>
    <w:p>
      <w:pPr>
        <w:pStyle w:val="FirstParagraph"/>
      </w:pPr>
      <w:r>
        <w:t xml:space="preserve">The all-to-all analysis Grossfield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recommend in place of</w:t>
      </w:r>
      <w:r>
        <w:t xml:space="preserve"> </w:t>
      </w:r>
      <w:r>
        <w:t xml:space="preserve">deviation-against-a-reference:</w:t>
      </w:r>
      <w:r>
        <w:t xml:space="preserve"> </w:t>
      </w:r>
      <w:r>
        <w:rPr>
          <w:bCs/>
          <w:b/>
        </w:rPr>
        <w:t xml:space="preserve">11.3 per cent</w:t>
      </w:r>
      <w:r>
        <w:t xml:space="preserve"> </w:t>
      </w:r>
      <w:r>
        <w:t xml:space="preserve">of pairs separated by 10 ns or</w:t>
      </w:r>
      <w:r>
        <w:t xml:space="preserve"> </w:t>
      </w:r>
      <w:r>
        <w:t xml:space="preserve">more are as structurally close as typical pairs within 500 ps. That is the</w:t>
      </w:r>
      <w:r>
        <w:t xml:space="preserve"> </w:t>
      </w:r>
      <w:r>
        <w:t xml:space="preserve">condition they name as</w:t>
      </w:r>
      <w:r>
        <w:t xml:space="preserve"> </w:t>
      </w:r>
      <w:r>
        <w:t xml:space="preserve">“</w:t>
      </w:r>
      <w:r>
        <w:t xml:space="preserve">a necessary condition for good statistics</w:t>
      </w:r>
      <w:r>
        <w:t xml:space="preserve">”</w:t>
      </w:r>
      <w:r>
        <w:t xml:space="preserve">, and it shows</w:t>
      </w:r>
      <w:r>
        <w:t xml:space="preserve"> </w:t>
      </w:r>
      <w:r>
        <w:t xml:space="preserve">the apparent drift is exploration rather than escape to a new structure.</w:t>
      </w:r>
    </w:p>
    <w:bookmarkEnd w:id="31"/>
    <w:bookmarkStart w:id="32" w:name="the-selection"/>
    <w:p>
      <w:pPr>
        <w:pStyle w:val="Heading3"/>
      </w:pPr>
      <w:r>
        <w:t xml:space="preserve">The selection</w:t>
      </w:r>
    </w:p>
    <w:p>
      <w:pPr>
        <w:pStyle w:val="FirstParagraph"/>
      </w:pPr>
      <w:r>
        <w:t xml:space="preserve">Thirty frames, all after 20,000 ps, minimum spacing</w:t>
      </w:r>
      <w:r>
        <w:t xml:space="preserve"> </w:t>
      </w:r>
      <w:r>
        <w:rPr>
          <w:bCs/>
          <w:b/>
        </w:rPr>
        <w:t xml:space="preserve">650 ps</w:t>
      </w:r>
      <w:r>
        <w:t xml:space="preserve"> </w:t>
      </w:r>
      <w:r>
        <w:t xml:space="preserve">against the 485 ps</w:t>
      </w:r>
      <w:r>
        <w:t xml:space="preserve"> </w:t>
      </w:r>
      <w:r>
        <w:t xml:space="preserve">of five correlation times. Renumbered onto a continuous timeline: extension frame</w:t>
      </w:r>
      <w:r>
        <w:t xml:space="preserve"> </w:t>
      </w:r>
      <w:r>
        <w:rPr>
          <w:iCs/>
          <w:i/>
        </w:rPr>
        <w:t xml:space="preserve">i</w:t>
      </w:r>
      <w:r>
        <w:t xml:space="preserve"> </w:t>
      </w:r>
      <w:r>
        <w:t xml:space="preserve">is production frame 20,000 +</w:t>
      </w:r>
      <w:r>
        <w:t xml:space="preserve"> </w:t>
      </w:r>
      <w:r>
        <w:rPr>
          <w:iCs/>
          <w:i/>
        </w:rPr>
        <w:t xml:space="preserve">i</w:t>
      </w:r>
      <w:r>
        <w:t xml:space="preserve">.</w:t>
      </w:r>
    </w:p>
    <w:bookmarkEnd w:id="32"/>
    <w:bookmarkEnd w:id="33"/>
    <w:bookmarkStart w:id="37" w:name="design-objective-two-tests-complete"/>
    <w:p>
      <w:pPr>
        <w:pStyle w:val="Heading2"/>
      </w:pPr>
      <w:r>
        <w:t xml:space="preserve">5. Design objective: two tests complete</w:t>
      </w:r>
    </w:p>
    <w:bookmarkStart w:id="34" w:name="Xf048810b5dbf257d2e4a692c2e78cf53bc1cf88"/>
    <w:p>
      <w:pPr>
        <w:pStyle w:val="Heading3"/>
      </w:pPr>
      <w:r>
        <w:t xml:space="preserve">B5, additivity — contributions may be summed</w:t>
      </w:r>
    </w:p>
    <w:p>
      <w:pPr>
        <w:pStyle w:val="FirstParagraph"/>
      </w:pPr>
      <w:r>
        <w:t xml:space="preserve">At unit charge the non-additive term reaches 1.124 kcal/mol, above the objective’s</w:t>
      </w:r>
      <w:r>
        <w:t xml:space="preserve"> </w:t>
      </w:r>
      <w:r>
        <w:t xml:space="preserve">resolution limit. But it is</w:t>
      </w:r>
      <w:r>
        <w:t xml:space="preserve"> </w:t>
      </w:r>
      <w:r>
        <w:rPr>
          <w:bCs/>
          <w:b/>
        </w:rPr>
        <w:t xml:space="preserve">bilinear in the two charges to within 8.7 per cent</w:t>
      </w:r>
      <w:r>
        <w:t xml:space="preserve"> </w:t>
      </w:r>
      <w:r>
        <w:t xml:space="preserve">across a fourfold range, confirming cross-polarisation, and the sign reverses with</w:t>
      </w:r>
      <w:r>
        <w:t xml:space="preserve"> </w:t>
      </w:r>
      <w:r>
        <w:t xml:space="preserve">the product of the charges at every separation.</w:t>
      </w:r>
    </w:p>
    <w:p>
      <w:pPr>
        <w:pStyle w:val="BodyText"/>
      </w:pPr>
      <w:r>
        <w:t xml:space="preserve">At the magnitudes a design uses — Dittner and Hartke report converged values near</w:t>
      </w:r>
      <w:r>
        <w:t xml:space="preserve"> </w:t>
      </w:r>
      <w:r>
        <w:t xml:space="preserve">-0.11 and +0.09 e — it is about</w:t>
      </w:r>
      <w:r>
        <w:t xml:space="preserve"> </w:t>
      </w:r>
      <w:r>
        <w:rPr>
          <w:bCs/>
          <w:b/>
        </w:rPr>
        <w:t xml:space="preserve">0.01 kcal/mol</w:t>
      </w:r>
      <w:r>
        <w:t xml:space="preserve">, fifty times below the</w:t>
      </w:r>
      <w:r>
        <w:t xml:space="preserve"> </w:t>
      </w:r>
      <w:r>
        <w:t xml:space="preserve">resolution limit. The failure measured at unit charge does not transfer.</w:t>
      </w:r>
    </w:p>
    <w:bookmarkEnd w:id="34"/>
    <w:bookmarkStart w:id="35" w:name="Xfb17e2b879270f1aedc2525f1f63064627cca4b"/>
    <w:p>
      <w:pPr>
        <w:pStyle w:val="Heading3"/>
      </w:pPr>
      <w:r>
        <w:t xml:space="preserve">B6, frame sensitivity — design against the ensemble mean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Spearman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top-10 kept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per-site difference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basis, def2-SVP to def2-SVPD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frame, across 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0.874 to 0.982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5/10 to 9/10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2.4</w:t>
            </w:r>
          </w:p>
        </w:tc>
      </w:tr>
    </w:tbl>
    <w:p>
      <w:pPr>
        <w:pStyle w:val="BodyText"/>
      </w:pPr>
      <w:r>
        <w:t xml:space="preserve">Site-wise standard deviation at the ten most stabilising sites:</w:t>
      </w:r>
      <w:r>
        <w:t xml:space="preserve"> </w:t>
      </w:r>
      <w:r>
        <w:rPr>
          <w:bCs/>
          <w:b/>
        </w:rPr>
        <w:t xml:space="preserve">0.66 to 0.72</w:t>
      </w:r>
      <w:r>
        <w:rPr>
          <w:bCs/>
          <w:b/>
        </w:rPr>
        <w:t xml:space="preserve"> </w:t>
      </w:r>
      <w:r>
        <w:rPr>
          <w:bCs/>
          <w:b/>
        </w:rPr>
        <w:t xml:space="preserve">kcal/mol</w:t>
      </w:r>
      <w:r>
        <w:t xml:space="preserve">, above the objective’s resolution limit.</w:t>
      </w:r>
    </w:p>
    <w:p>
      <w:pPr>
        <w:pStyle w:val="BodyText"/>
      </w:pPr>
      <w:r>
        <w:rPr>
          <w:rStyle w:val="VerbatimChar"/>
        </w:rPr>
        <w:t xml:space="preserve">dv_grid_ensemble_mean.tsv</w:t>
      </w:r>
      <w:r>
        <w:t xml:space="preserve"> </w:t>
      </w:r>
      <w:r>
        <w:t xml:space="preserve">holds the mean and per-site standard deviation.</w:t>
      </w:r>
    </w:p>
    <w:bookmarkEnd w:id="35"/>
    <w:bookmarkStart w:id="36" w:name="Xbafa17e5de6bb17506b940f405819b37f72f8e4"/>
    <w:p>
      <w:pPr>
        <w:pStyle w:val="Heading3"/>
      </w:pPr>
      <w:r>
        <w:t xml:space="preserve">What the maps actually show, which is subtler than B6 alone</w:t>
      </w:r>
    </w:p>
    <w:p>
      <w:pPr>
        <w:pStyle w:val="FirstParagraph"/>
      </w:pPr>
      <w:r>
        <w:t xml:space="preserve">Every frame’s deepest basin lies</w:t>
      </w:r>
      <w:r>
        <w:t xml:space="preserve"> </w:t>
      </w:r>
      <w:r>
        <w:rPr>
          <w:bCs/>
          <w:b/>
        </w:rPr>
        <w:t xml:space="preserve">within 9 to 30 degrees of the ether oxygen</w:t>
      </w:r>
      <w:r>
        <w:rPr>
          <w:bCs/>
          <w:b/>
        </w:rPr>
        <w:t xml:space="preserve"> </w:t>
      </w:r>
      <w:r>
        <w:rPr>
          <w:bCs/>
          <w:b/>
        </w:rPr>
        <w:t xml:space="preserve">O3</w:t>
      </w:r>
      <w:r>
        <w:t xml:space="preserve">, the atom gaining negative charge as the C4-O3 bond breaks. Circular</w:t>
      </w:r>
      <w:r>
        <w:t xml:space="preserve"> </w:t>
      </w:r>
      <w:r>
        <w:t xml:space="preserve">standard deviation in azimuth 32.4 degrees; polar range 23.8 to 39.6 degrees.</w:t>
      </w:r>
    </w:p>
    <w:p>
      <w:pPr>
        <w:pStyle w:val="BodyText"/>
      </w:pPr>
      <w:r>
        <w:t xml:space="preserve">But the depths span</w:t>
      </w:r>
      <w:r>
        <w:t xml:space="preserve"> </w:t>
      </w:r>
      <w:r>
        <w:rPr>
          <w:bCs/>
          <w:b/>
        </w:rPr>
        <w:t xml:space="preserve">-3.43 to -5.56 kcal/mol</w:t>
      </w:r>
      <w:r>
        <w:t xml:space="preserve">, a variation of about half the</w:t>
      </w:r>
      <w:r>
        <w:t xml:space="preserve"> </w:t>
      </w:r>
      <w:r>
        <w:t xml:space="preserve">magnitude.</w:t>
      </w:r>
    </w:p>
    <w:p>
      <w:pPr>
        <w:pStyle w:val="BodyText"/>
      </w:pPr>
      <w:r>
        <w:rPr>
          <w:bCs/>
          <w:b/>
        </w:rPr>
        <w:t xml:space="preserve">The 3/10 top-site overlap is an artefact of ranking near-degenerate sites.</w:t>
      </w:r>
      <w:r>
        <w:t xml:space="preserve"> </w:t>
      </w:r>
      <w:r>
        <w:t xml:space="preserve">Within a frame the top ten span 0.417 kcal/mol with a median step of 0.03 between</w:t>
      </w:r>
      <w:r>
        <w:t xml:space="preserve"> </w:t>
      </w:r>
      <w:r>
        <w:t xml:space="preserve">neighbours, against an across-frame variation of 0.66 to 0.72. The union of all</w:t>
      </w:r>
      <w:r>
        <w:t xml:space="preserve"> </w:t>
      </w:r>
      <w:r>
        <w:t xml:space="preserve">ten frames’ top tens is</w:t>
      </w:r>
      <w:r>
        <w:t xml:space="preserve"> </w:t>
      </w:r>
      <w:r>
        <w:rPr>
          <w:bCs/>
          <w:b/>
        </w:rPr>
        <w:t xml:space="preserve">20 sites</w:t>
      </w:r>
      <w:r>
        <w:t xml:space="preserve">, not 200; eleven sites are common to all ten</w:t>
      </w:r>
      <w:r>
        <w:t xml:space="preserve"> </w:t>
      </w:r>
      <w:r>
        <w:t xml:space="preserve">frames at top-20; and with degeneracy allowed for, the median agreement is</w:t>
      </w:r>
      <w:r>
        <w:t xml:space="preserve"> </w:t>
      </w:r>
      <w:r>
        <w:rPr>
          <w:bCs/>
          <w:b/>
        </w:rPr>
        <w:t xml:space="preserve">10/10</w:t>
      </w:r>
      <w:r>
        <w:t xml:space="preserve">.</w:t>
      </w:r>
    </w:p>
    <w:p>
      <w:pPr>
        <w:pStyle w:val="BodyText"/>
      </w:pPr>
      <w:r>
        <w:t xml:space="preserve">So the frames agree on a favourable region of about twenty sites spanning 4 to 5</w:t>
      </w:r>
      <w:r>
        <w:t xml:space="preserve"> </w:t>
      </w:r>
      <w:r>
        <w:t xml:space="preserve">A beside the ether oxygen, and cannot order the sites within it. The design target</w:t>
      </w:r>
      <w:r>
        <w:t xml:space="preserve"> </w:t>
      </w:r>
      <w:r>
        <w:t xml:space="preserve">is a region, not a point.</w:t>
      </w:r>
    </w:p>
    <w:bookmarkEnd w:id="36"/>
    <w:bookmarkEnd w:id="37"/>
    <w:bookmarkStart w:id="38" w:name="X127eebb53ecd311e73d8a4da22c62933ed4f808"/>
    <w:p>
      <w:pPr>
        <w:pStyle w:val="Heading2"/>
      </w:pPr>
      <w:r>
        <w:t xml:space="preserve">6. The transition-state optimisation question</w:t>
      </w:r>
    </w:p>
    <w:p>
      <w:pPr>
        <w:pStyle w:val="FirstParagraph"/>
      </w:pPr>
      <w:r>
        <w:rPr>
          <w:rStyle w:val="VerbatimChar"/>
        </w:rPr>
        <w:t xml:space="preserve">NEB-TS</w:t>
      </w:r>
      <w:r>
        <w:t xml:space="preserve"> </w:t>
      </w:r>
      <w:r>
        <w:t xml:space="preserve">runs the band, writes the path summary from which the barrier is read,</w:t>
      </w:r>
      <w:r>
        <w:t xml:space="preserve"> </w:t>
      </w:r>
      <w:r>
        <w:t xml:space="preserve">then performs a saddle optimisation using a 4.8 GB approximate Hessian. Three</w:t>
      </w:r>
      <w:r>
        <w:t xml:space="preserve"> </w:t>
      </w:r>
      <w:r>
        <w:t xml:space="preserve">earlier frames spent three days each in that stage. I twice concluded it was</w:t>
      </w:r>
      <w:r>
        <w:t xml:space="preserve"> </w:t>
      </w:r>
      <w:r>
        <w:t xml:space="preserve">stalled; both times I was wrong:</w:t>
      </w:r>
    </w:p>
    <w:p>
      <w:pPr>
        <w:numPr>
          <w:ilvl w:val="0"/>
          <w:numId w:val="1001"/>
        </w:numPr>
        <w:pStyle w:val="Compact"/>
      </w:pPr>
      <w:r>
        <w:t xml:space="preserve">The first reading looked for a success marker and found none. The stage was</w:t>
      </w:r>
      <w:r>
        <w:t xml:space="preserve"> </w:t>
      </w:r>
      <w:r>
        <w:t xml:space="preserve">producing 52,000 lines of output.</w:t>
      </w:r>
    </w:p>
    <w:p>
      <w:pPr>
        <w:numPr>
          <w:ilvl w:val="0"/>
          <w:numId w:val="1001"/>
        </w:numPr>
        <w:pStyle w:val="Compact"/>
      </w:pPr>
      <w:r>
        <w:t xml:space="preserve">The second attributed the slowness to the memory shortfall. At the corrected</w:t>
      </w:r>
      <w:r>
        <w:t xml:space="preserve"> </w:t>
      </w:r>
      <w:r>
        <w:t xml:space="preserve">250 GB it is equally slow, so memory was not the cause. CPU is at 780 per cent,</w:t>
      </w:r>
      <w:r>
        <w:t xml:space="preserve"> </w:t>
      </w:r>
      <w:r>
        <w:t xml:space="preserve">so it is computing, not idle.</w:t>
      </w:r>
    </w:p>
    <w:p>
      <w:pPr>
        <w:pStyle w:val="FirstParagraph"/>
      </w:pPr>
      <w:r>
        <w:t xml:space="preserve">Current frames are at 3 to 5 cycles. Frame 43738’s first cycle gave RMS gradient</w:t>
      </w:r>
      <w:r>
        <w:t xml:space="preserve"> </w:t>
      </w:r>
      <w:r>
        <w:t xml:space="preserve">0.000057 and MAX 0.00172, at or inside typical tolerances.</w:t>
      </w:r>
    </w:p>
    <w:p>
      <w:pPr>
        <w:pStyle w:val="BodyText"/>
      </w:pPr>
      <w:r>
        <w:rPr>
          <w:bCs/>
          <w:b/>
        </w:rPr>
        <w:t xml:space="preserve">The barrier does not depend on this stage.</w:t>
      </w:r>
      <w:r>
        <w:t xml:space="preserve"> </w:t>
      </w:r>
      <w:r>
        <w:t xml:space="preserve">It comes from the path summary</w:t>
      </w:r>
      <w:r>
        <w:t xml:space="preserve"> </w:t>
      </w:r>
      <w:r>
        <w:t xml:space="preserve">written at band convergence.</w:t>
      </w:r>
    </w:p>
    <w:p>
      <w:pPr>
        <w:pStyle w:val="BodyText"/>
      </w:pPr>
      <w:r>
        <w:rPr>
          <w:bCs/>
          <w:b/>
        </w:rPr>
        <w:t xml:space="preserve">And the published work does not converge a saddle at all.</w:t>
      </w:r>
      <w:r>
        <w:t xml:space="preserve"> </w:t>
      </w:r>
      <w:r>
        <w:t xml:space="preserve">Claeyssens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take</w:t>
      </w:r>
      <w:r>
        <w:t xml:space="preserve"> </w:t>
      </w:r>
      <w:r>
        <w:t xml:space="preserve">“</w:t>
      </w:r>
      <w:r>
        <w:t xml:space="preserve">the highest point, the approximate TS structure, at r values between -0.5</w:t>
      </w:r>
      <w:r>
        <w:t xml:space="preserve"> </w:t>
      </w:r>
      <w:r>
        <w:t xml:space="preserve">and -0.7 A</w:t>
      </w:r>
      <w:r>
        <w:t xml:space="preserve">”</w:t>
      </w:r>
      <w:r>
        <w:t xml:space="preserve"> </w:t>
      </w:r>
      <w:r>
        <w:t xml:space="preserve">from a restrained scan. The climbing image is more converged than</w:t>
      </w:r>
      <w:r>
        <w:t xml:space="preserve"> </w:t>
      </w:r>
      <w:r>
        <w:t xml:space="preserve">that. The refined saddle would be an improvement on something already adequate by</w:t>
      </w:r>
      <w:r>
        <w:t xml:space="preserve"> </w:t>
      </w:r>
      <w:r>
        <w:t xml:space="preserve">the published standard, not a requirement.</w:t>
      </w:r>
    </w:p>
    <w:p>
      <w:pPr>
        <w:pStyle w:val="BodyText"/>
      </w:pPr>
      <w:r>
        <w:rPr>
          <w:bCs/>
          <w:b/>
        </w:rPr>
        <w:t xml:space="preserve">Decision still open:</w:t>
      </w:r>
      <w:r>
        <w:t xml:space="preserve"> </w:t>
      </w:r>
      <w:r>
        <w:t xml:space="preserve">whether to let all thirty run this stage. Compare a</w:t>
      </w:r>
      <w:r>
        <w:t xml:space="preserve"> </w:t>
      </w:r>
      <w:r>
        <w:t xml:space="preserve">refined saddle against its climbing image when one converges; if they differ</w:t>
      </w:r>
      <w:r>
        <w:t xml:space="preserve"> </w:t>
      </w:r>
      <w:r>
        <w:t xml:space="preserve">negligibly, the remaining frames can skip it with evidence.</w:t>
      </w:r>
    </w:p>
    <w:bookmarkEnd w:id="38"/>
    <w:bookmarkStart w:id="39" w:name="conclusions-overturned-do-not-re-derive"/>
    <w:p>
      <w:pPr>
        <w:pStyle w:val="Heading2"/>
      </w:pPr>
      <w:r>
        <w:t xml:space="preserve">7. Conclusions overturned — do not re-derive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barrier spread indicates a defect.</w:t>
      </w:r>
      <w:r>
        <w:t xml:space="preserve"> </w:t>
      </w:r>
      <w:r>
        <w:t xml:space="preserve">It does not; Ryde’s survey puts this</w:t>
      </w:r>
      <w:r>
        <w:t xml:space="preserve"> </w:t>
      </w:r>
      <w:r>
        <w:t xml:space="preserve">work mid-range.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ORCA’s separate quantum and classical energies can be read as chemistry and</w:t>
      </w:r>
      <w:r>
        <w:rPr>
          <w:bCs/>
          <w:b/>
        </w:rPr>
        <w:t xml:space="preserve"> </w:t>
      </w:r>
      <w:r>
        <w:rPr>
          <w:bCs/>
          <w:b/>
        </w:rPr>
        <w:t xml:space="preserve">environment.</w:t>
      </w:r>
      <w:r>
        <w:t xml:space="preserve"> </w:t>
      </w:r>
      <w:r>
        <w:t xml:space="preserve">Under electrostatic embedding the quantum term already contains</w:t>
      </w:r>
      <w:r>
        <w:t xml:space="preserve"> </w:t>
      </w:r>
      <w:r>
        <w:t xml:space="preserve">the coupling (Senn and Thiel). The correct separation is a single point on the</w:t>
      </w:r>
      <w:r>
        <w:t xml:space="preserve"> </w:t>
      </w:r>
      <w:r>
        <w:t xml:space="preserve">isolated substrate at the QM/MM geometry, which is what Claeyssens do and what</w:t>
      </w:r>
      <w:r>
        <w:t xml:space="preserve"> </w:t>
      </w:r>
      <w:r>
        <w:t xml:space="preserve">produced the -4.32.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frames are independent because the forming distance decorrelates in 3.2</w:t>
      </w:r>
      <w:r>
        <w:rPr>
          <w:bCs/>
          <w:b/>
        </w:rPr>
        <w:t xml:space="preserve"> </w:t>
      </w:r>
      <w:r>
        <w:rPr>
          <w:bCs/>
          <w:b/>
        </w:rPr>
        <w:t xml:space="preserve">ps.</w:t>
      </w:r>
      <w:r>
        <w:t xml:space="preserve"> </w:t>
      </w:r>
      <w:r>
        <w:t xml:space="preserve">That distance does not predict the barrier.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transition-state optimisation is stalled.</w:t>
      </w:r>
      <w:r>
        <w:t xml:space="preserve"> </w:t>
      </w:r>
      <w:r>
        <w:t xml:space="preserve">It is slow. See section 6.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memory shortfall explains the slow TS stage.</w:t>
      </w:r>
      <w:r>
        <w:t xml:space="preserve"> </w:t>
      </w:r>
      <w:r>
        <w:t xml:space="preserve">It does not; the corrected</w:t>
      </w:r>
      <w:r>
        <w:t xml:space="preserve"> </w:t>
      </w:r>
      <w:r>
        <w:t xml:space="preserve">250 GB is equally slow.</w:t>
      </w:r>
    </w:p>
    <w:bookmarkEnd w:id="39"/>
    <w:bookmarkStart w:id="40" w:name="outstanding"/>
    <w:p>
      <w:pPr>
        <w:pStyle w:val="Heading2"/>
      </w:pPr>
      <w:r>
        <w:t xml:space="preserve">8. Outstanding</w:t>
      </w:r>
    </w:p>
    <w:p>
      <w:pPr>
        <w:pStyle w:val="FirstParagraph"/>
      </w:pPr>
      <w:r>
        <w:rPr>
          <w:bCs/>
          <w:b/>
        </w:rPr>
        <w:t xml:space="preserve">Immediate</w:t>
      </w:r>
    </w:p>
    <w:p>
      <w:pPr>
        <w:numPr>
          <w:ilvl w:val="0"/>
          <w:numId w:val="1003"/>
        </w:numPr>
        <w:pStyle w:val="Compact"/>
      </w:pPr>
      <w:r>
        <w:t xml:space="preserve">Run the remaining 26 bands, four at a time, harvesting between batches.</w:t>
      </w:r>
    </w:p>
    <w:p>
      <w:pPr>
        <w:numPr>
          <w:ilvl w:val="0"/>
          <w:numId w:val="1003"/>
        </w:numPr>
        <w:pStyle w:val="Compact"/>
      </w:pPr>
      <w:r>
        <w:t xml:space="preserve">In vacuo single points for the new frames, so stabilisation can be compared</w:t>
      </w:r>
      <w:r>
        <w:t xml:space="preserve"> </w:t>
      </w:r>
      <w:r>
        <w:t xml:space="preserve">against Claeyssens’ -4.2. Not yet run; their column in</w:t>
      </w:r>
      <w:r>
        <w:t xml:space="preserve"> </w:t>
      </w:r>
      <w:r>
        <w:rPr>
          <w:rStyle w:val="VerbatimChar"/>
        </w:rPr>
        <w:t xml:space="preserve">ensemble_barriers.tsv</w:t>
      </w:r>
      <w:r>
        <w:t xml:space="preserve"> </w:t>
      </w:r>
      <w:r>
        <w:t xml:space="preserve">is empty.</w:t>
      </w:r>
    </w:p>
    <w:p>
      <w:pPr>
        <w:numPr>
          <w:ilvl w:val="0"/>
          <w:numId w:val="1003"/>
        </w:numPr>
        <w:pStyle w:val="Compact"/>
      </w:pPr>
      <w:r>
        <w:t xml:space="preserve">Frame 08170 still has no barrier. Its guess was 7.18 kcal/mol above the scan</w:t>
      </w:r>
      <w:r>
        <w:t xml:space="preserve"> </w:t>
      </w:r>
      <w:r>
        <w:t xml:space="preserve">start, the lowest of fourteen, and its band collapsed. Rerun at the corrected</w:t>
      </w:r>
      <w:r>
        <w:t xml:space="preserve"> </w:t>
      </w:r>
      <w:r>
        <w:t xml:space="preserve">spring or document the exclusion.</w:t>
      </w:r>
    </w:p>
    <w:p>
      <w:pPr>
        <w:pStyle w:val="FirstParagraph"/>
      </w:pPr>
      <w:r>
        <w:rPr>
          <w:bCs/>
          <w:b/>
        </w:rPr>
        <w:t xml:space="preserve">Design</w:t>
      </w:r>
    </w:p>
    <w:p>
      <w:pPr>
        <w:numPr>
          <w:ilvl w:val="0"/>
          <w:numId w:val="1004"/>
        </w:numPr>
        <w:pStyle w:val="Compact"/>
      </w:pPr>
      <w:r>
        <w:t xml:space="preserve">Choose the objective. Four formulations, all but the last linear: single frame;</w:t>
      </w:r>
      <w:r>
        <w:t xml:space="preserve"> </w:t>
      </w:r>
      <w:r>
        <w:t xml:space="preserve">ensemble mean; mean penalised by spread, max sum q(mu - lambda sigma); and</w:t>
      </w:r>
      <w:r>
        <w:t xml:space="preserve"> </w:t>
      </w:r>
      <w:r>
        <w:t xml:space="preserve">minimax, max t subject to t &lt;= sum q Dv_f for every frame. Ryde records the</w:t>
      </w:r>
      <w:r>
        <w:t xml:space="preserve"> </w:t>
      </w:r>
      <w:r>
        <w:t xml:space="preserve">consensus for combining snapshot energies as an</w:t>
      </w:r>
      <w:r>
        <w:t xml:space="preserve"> </w:t>
      </w:r>
      <w:r>
        <w:rPr>
          <w:bCs/>
          <w:b/>
        </w:rPr>
        <w:t xml:space="preserve">exponential average</w:t>
      </w:r>
      <w:r>
        <w:t xml:space="preserve">, since</w:t>
      </w:r>
      <w:r>
        <w:t xml:space="preserve"> </w:t>
      </w:r>
      <w:r>
        <w:t xml:space="preserve">the rate depends on exp(-dG/RT) — that objective is not linear and its</w:t>
      </w:r>
      <w:r>
        <w:t xml:space="preserve"> </w:t>
      </w:r>
      <w:r>
        <w:t xml:space="preserve">conditioning at this spread is unmeasured. Worth the supervisor’s view; the</w:t>
      </w:r>
      <w:r>
        <w:t xml:space="preserve"> </w:t>
      </w:r>
      <w:r>
        <w:t xml:space="preserve">three are different scientific claims.</w:t>
      </w:r>
    </w:p>
    <w:p>
      <w:pPr>
        <w:numPr>
          <w:ilvl w:val="0"/>
          <w:numId w:val="1004"/>
        </w:numPr>
        <w:pStyle w:val="Compact"/>
      </w:pPr>
      <w:r>
        <w:t xml:space="preserve">Per-site standard deviations assume sites vary independently. They do not.</w:t>
      </w:r>
      <w:r>
        <w:t xml:space="preserve"> </w:t>
      </w:r>
      <w:r>
        <w:t xml:space="preserve">The covariance is computable from the ten frames’ full vectors, which exist.</w:t>
      </w:r>
    </w:p>
    <w:p>
      <w:pPr>
        <w:numPr>
          <w:ilvl w:val="0"/>
          <w:numId w:val="1004"/>
        </w:numPr>
        <w:pStyle w:val="Compact"/>
      </w:pPr>
      <w:r>
        <w:t xml:space="preserve">Check whether two charges can even be placed: the favourable region is 4 to 5 A</w:t>
      </w:r>
      <w:r>
        <w:t xml:space="preserve"> </w:t>
      </w:r>
      <w:r>
        <w:t xml:space="preserve">across and the separation constraint is 3.5 A.</w:t>
      </w:r>
    </w:p>
    <w:p>
      <w:pPr>
        <w:pStyle w:val="FirstParagraph"/>
      </w:pPr>
      <w:r>
        <w:rPr>
          <w:bCs/>
          <w:b/>
        </w:rPr>
        <w:t xml:space="preserve">Write-up</w:t>
      </w:r>
    </w:p>
    <w:p>
      <w:pPr>
        <w:numPr>
          <w:ilvl w:val="0"/>
          <w:numId w:val="1005"/>
        </w:numPr>
        <w:pStyle w:val="Compact"/>
      </w:pPr>
      <w:r>
        <w:t xml:space="preserve">Zero-point and thermal corrections before comparing to an activation enthalpy.</w:t>
      </w:r>
    </w:p>
    <w:p>
      <w:pPr>
        <w:numPr>
          <w:ilvl w:val="0"/>
          <w:numId w:val="1005"/>
        </w:numPr>
        <w:pStyle w:val="Compact"/>
      </w:pPr>
      <w:r>
        <w:t xml:space="preserve">The reference transition state shows two imaginary modes where one is expected.</w:t>
      </w:r>
    </w:p>
    <w:p>
      <w:pPr>
        <w:numPr>
          <w:ilvl w:val="0"/>
          <w:numId w:val="1005"/>
        </w:numPr>
        <w:pStyle w:val="Compact"/>
      </w:pPr>
      <w:r>
        <w:t xml:space="preserve">Section X.1.4 claims one level of theory throughout; false after the basis split</w:t>
      </w:r>
      <w:r>
        <w:t xml:space="preserve"> </w:t>
      </w:r>
      <w:r>
        <w:t xml:space="preserve">(Phase 1 def2-SVP, Phase 2 def2-SVPD).</w:t>
      </w:r>
    </w:p>
    <w:p>
      <w:pPr>
        <w:numPr>
          <w:ilvl w:val="0"/>
          <w:numId w:val="1005"/>
        </w:numPr>
        <w:pStyle w:val="Compact"/>
      </w:pPr>
      <w:r>
        <w:t xml:space="preserve">Arithmetic averaging stated as a considered choice, per Ryde’s guidance.</w:t>
      </w:r>
    </w:p>
    <w:p>
      <w:pPr>
        <w:numPr>
          <w:ilvl w:val="0"/>
          <w:numId w:val="1005"/>
        </w:numPr>
        <w:pStyle w:val="Compact"/>
      </w:pPr>
      <w:r>
        <w:t xml:space="preserve">Frame 820, the Phase 2 reference, is at 820 ps and therefore pre-equilibration.</w:t>
      </w:r>
    </w:p>
    <w:bookmarkEnd w:id="40"/>
    <w:bookmarkStart w:id="41" w:name="working-discipline-that-earned-its-place"/>
    <w:p>
      <w:pPr>
        <w:pStyle w:val="Heading2"/>
      </w:pPr>
      <w:r>
        <w:t xml:space="preserve">9. Working discipline that earned its place</w:t>
      </w:r>
    </w:p>
    <w:p>
      <w:pPr>
        <w:numPr>
          <w:ilvl w:val="0"/>
          <w:numId w:val="1006"/>
        </w:numPr>
        <w:pStyle w:val="Compact"/>
      </w:pPr>
      <w:r>
        <w:t xml:space="preserve">Verify a generator’s change in the</w:t>
      </w:r>
      <w:r>
        <w:t xml:space="preserve"> </w:t>
      </w:r>
      <w:r>
        <w:rPr>
          <w:bCs/>
          <w:b/>
        </w:rPr>
        <w:t xml:space="preserve">generated file</w:t>
      </w:r>
      <w:r>
        <w:t xml:space="preserve">, not just the generator.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on a script says nothing about what it writes.</w:t>
      </w:r>
    </w:p>
    <w:p>
      <w:pPr>
        <w:numPr>
          <w:ilvl w:val="0"/>
          <w:numId w:val="1006"/>
        </w:numPr>
        <w:pStyle w:val="Compact"/>
      </w:pPr>
      <w:r>
        <w:t xml:space="preserve">Never infer a job’s state from the presence of an output file. Ask</w:t>
      </w:r>
      <w:r>
        <w:t xml:space="preserve"> </w:t>
      </w:r>
      <w:r>
        <w:rPr>
          <w:rStyle w:val="VerbatimChar"/>
        </w:rPr>
        <w:t xml:space="preserve">qstat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When renaming a variable, grep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occurrence and account for each.</w:t>
      </w:r>
    </w:p>
    <w:p>
      <w:pPr>
        <w:numPr>
          <w:ilvl w:val="0"/>
          <w:numId w:val="1006"/>
        </w:numPr>
        <w:pStyle w:val="Compact"/>
      </w:pPr>
      <w:r>
        <w:t xml:space="preserve">Copy the production driver rather than reconstructing an input from a grepped</w:t>
      </w:r>
      <w:r>
        <w:t xml:space="preserve"> </w:t>
      </w:r>
      <w:r>
        <w:t xml:space="preserve">fragment. The stage that copied never drifted; the stage that rewrote did.</w:t>
      </w:r>
    </w:p>
    <w:p>
      <w:pPr>
        <w:numPr>
          <w:ilvl w:val="0"/>
          <w:numId w:val="1006"/>
        </w:numPr>
        <w:pStyle w:val="Compact"/>
      </w:pPr>
      <w:r>
        <w:t xml:space="preserve">Check what a job actually uses before trusting its resource request.</w:t>
      </w:r>
    </w:p>
    <w:p>
      <w:pPr>
        <w:numPr>
          <w:ilvl w:val="0"/>
          <w:numId w:val="1006"/>
        </w:numPr>
        <w:pStyle w:val="Compact"/>
      </w:pPr>
      <w:r>
        <w:t xml:space="preserve">Absence of a success marker is not evidence of no progress. Count iterations.</w:t>
      </w:r>
    </w:p>
    <w:bookmarkEnd w:id="41"/>
    <w:bookmarkStart w:id="42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Chodera (2016) doi:10.1021/acs.jctc.5b00784</w:t>
      </w:r>
      <w:r>
        <w:t xml:space="preserve"> </w:t>
      </w:r>
      <w:r>
        <w:t xml:space="preserve">Claeyssens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(2005) doi:10.1039/b508181e</w:t>
      </w:r>
      <w:r>
        <w:t xml:space="preserve"> </w:t>
      </w:r>
      <w:r>
        <w:t xml:space="preserve">Grossfield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(2018) doi:10.33011/livecoms.1.1.5067</w:t>
      </w:r>
      <w:r>
        <w:t xml:space="preserve"> </w:t>
      </w:r>
      <w:r>
        <w:t xml:space="preserve">Hur and Bruice (2003) doi:10.1073/pnas.1534873100</w:t>
      </w:r>
      <w:r>
        <w:t xml:space="preserve"> </w:t>
      </w:r>
      <w:r>
        <w:t xml:space="preserve">Ryde (2016) doi:10.1016/bs.mie.2016.05.014</w:t>
      </w:r>
      <w:r>
        <w:t xml:space="preserve"> </w:t>
      </w:r>
      <w:r>
        <w:t xml:space="preserve">Ryde (2017) doi:10.1021/acs.jctc.7b00826</w:t>
      </w:r>
      <w:r>
        <w:t xml:space="preserve"> </w:t>
      </w:r>
      <w:r>
        <w:t xml:space="preserve">Senn and Thiel (2009) doi:10.1002/anie.200802019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2026-09-23T06:23:51Z</dcterms:created>
  <dcterms:modified xsi:type="dcterms:W3CDTF">2026-09-23T06:23:51Z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