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Developing the charged Lennard-Jones sphere</w:t>
      </w:r>
    </w:p>
    <w:p>
      <w:pPr>
        <w:spacing w:after="60"/>
      </w:pPr>
      <w:r>
        <w:t xml:space="preserve">A GOCAT-style quasi-atom with adjustable partial charge: development approach</w:t>
      </w:r>
    </w:p>
    <w:p>
      <w:pPr>
        <w:spacing w:after="240"/>
      </w:pPr>
      <w:r>
        <w:t xml:space="preserve">PhD 2026 · charge-based design for the chorismate-to-prephenate rearrangement · 7 October 2026</w:t>
      </w:r>
    </w:p>
    <w:p>
      <w:pPr>
        <w:spacing w:after="120"/>
      </w:pPr>
      <w:r>
        <w:t xml:space="preserve">This approach was reviewed three times before issue: for completeness, for literature fidelity and for coherence with the project's goals (see the review record at the end). Every literature claim points to a passage read in the project's library; anything not yet read is marked as such.</w:t>
      </w:r>
    </w:p>
    <w:p>
      <w:pPr>
        <w:pStyle w:val="Heading1"/>
      </w:pPr>
      <w:r>
        <w:t xml:space="preserve">The representation</w:t>
      </w:r>
    </w:p>
    <w:p>
      <w:pPr>
        <w:spacing w:after="120"/>
      </w:pPr>
      <w:r>
        <w:t xml:space="preserve">A </w:t>
      </w:r>
      <w:r>
        <w:rPr>
          <w:b/>
          <w:bCs/>
        </w:rPr>
        <w:t xml:space="preserve">quasi-atom</w:t>
      </w:r>
      <w:r>
        <w:t xml:space="preserve">, following Behrens' thesis §5.2: one MM atom in ORCA QM/MM carrying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partial charge q</w:t>
      </w:r>
      <w:r>
        <w:t xml:space="preserve">, continuous and bounded between −1 and +1 e (GOCAT's typical bounds, Dittner's thesis §2.1.1.2);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fixed Lennard-Jones sphere</w:t>
      </w:r>
      <w:r>
        <w:t xml:space="preserve">, the same for every site. The baseline is Amber's N (R* 1.824 Å, ε 0.170 kcal/mol), since it is the only sphere tested in this system. It combines with substrate atoms by the rule WP1 measured (arithmetic mean of R</w:t>
      </w:r>
      <w:r>
        <w:rPr>
          <w:vertAlign w:val="subscript"/>
        </w:rPr>
        <w:t xml:space="preserve">min</w:t>
      </w:r>
      <w:r>
        <w:t xml:space="preserve">, geometric mean of ε). Behrens used an sp3 carbon (σ 3.55 Å); its ε is to be read from the OPLS-AA paper once it is in the library;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position change during validation:</w:t>
      </w:r>
      <w:r>
        <w:t xml:space="preserve"> frozen, like Behrens' "one-embedding" scheme.</w:t>
      </w:r>
    </w:p>
    <w:p>
      <w:pPr>
        <w:spacing w:after="120"/>
      </w:pPr>
      <w:r>
        <w:rPr>
          <w:b/>
          <w:bCs/>
        </w:rPr>
        <w:t xml:space="preserve">Why a sphere, from the literature: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Bare charges collapse</w:t>
      </w:r>
      <w:r>
        <w:t xml:space="preserve"> onto atoms (Dittner &amp; Hartke 2020; Behrens §5.2).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Lennard-Jones term fixes that:</w:t>
      </w:r>
      <w:r>
        <w:t xml:space="preserve"> it gives the charge a well-defined equilibrium distance from the molecule (Behrens §5.2).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It does not change how the design behaves:</w:t>
      </w:r>
      <w:r>
        <w:t xml:space="preserve"> adding LJ leaves charge optimisation almost unchanged (Kirchner, reported in Behrens).</w:t>
      </w:r>
    </w:p>
    <w:p>
      <w:pPr>
        <w:spacing w:after="120"/>
      </w:pPr>
      <w:r>
        <w:rPr>
          <w:b/>
          <w:bCs/>
        </w:rPr>
        <w:t xml:space="preserve">Why, from our own runs:</w:t>
      </w:r>
      <w:r>
        <w:t xml:space="preserve"> a bare +1 charge collapsed to 0.95–1.02 Å from a carboxylate oxygen; the sphere stopped at 2.54–2.71 Å.</w:t>
      </w:r>
    </w:p>
    <w:p>
      <w:pPr>
        <w:pStyle w:val="Heading1"/>
      </w:pPr>
      <w:r>
        <w:t xml:space="preserve">How a sphere's energy enters the design</w:t>
      </w:r>
    </w:p>
    <w:p>
      <w:pPr>
        <w:spacing w:after="120"/>
      </w:pPr>
      <w:r>
        <w:t xml:space="preserve">For each site: </w:t>
      </w:r>
      <w:r>
        <w:rPr>
          <w:b/>
          <w:bCs/>
        </w:rPr>
        <w:t xml:space="preserve">ΔΔE = a·q + b·q² + ΔE</w:t>
      </w:r>
      <w:r>
        <w:rPr>
          <w:b/>
          <w:bCs/>
          <w:vertAlign w:val="subscript"/>
        </w:rPr>
        <w:t xml:space="preserve">LJ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</w:t>
      </w:r>
      <w:r>
        <w:t xml:space="preserve"> (first order) and </w:t>
      </w:r>
      <w:r>
        <w:rPr>
          <w:b/>
          <w:bCs/>
        </w:rPr>
        <w:t xml:space="preserve">b</w:t>
      </w:r>
      <w:r>
        <w:t xml:space="preserve"> (polarisation) come from point charges, as now. The sphere does not change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ΔE</w:t>
      </w:r>
      <w:r>
        <w:rPr>
          <w:b/>
          <w:bCs/>
          <w:vertAlign w:val="subscript"/>
        </w:rPr>
        <w:t xml:space="preserve">LJ</w:t>
      </w:r>
      <w:r>
        <w:t xml:space="preserve"> is new: the sphere's Lennard-Jones energy with the substrate at the TS minus at the reactant.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It does not depend on q, so it is a fixed cost or benefit of occupying that site.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It matters because sites sit at contact distance. Behrens' chapter 4 shows Lennard-Jones spheres alone can lower a barrier: 14% for a Cope rearrangement, against 39% electrostatically.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It was in the project's original energy framework but was never computed per site.</w:t>
      </w:r>
    </w:p>
    <w:p>
      <w:pPr>
        <w:pStyle w:val="Heading1"/>
      </w:pPr>
      <w:r>
        <w:t xml:space="preserve">Stages, in dependency order</w:t>
      </w:r>
    </w:p>
    <w:p>
      <w:pPr>
        <w:spacing w:after="120"/>
      </w:pPr>
      <w:r>
        <w:t xml:space="preserve">All stages are pre-registered: criteria are written and committed before any job runs, and scripts get three review passes.</w:t>
      </w:r>
    </w:p>
    <w:p>
      <w:pPr>
        <w:pStyle w:val="Heading2"/>
      </w:pPr>
      <w:r>
        <w:t xml:space="preserve">Stage 0: records and references (no compute)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decision D2 (a site is a charged sphere with adjustable q), D4 (validation group deferred) and D-WP4 (arm c's failure attributed to its parmchk2 torsions).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Download the four papers listed under References to obtain. Murphy 2000 (enlarged QM-atom radii) and OPLS-AA (sp3-carbon ε) are read before Stage 2 uses them.</w:t>
      </w:r>
    </w:p>
    <w:p>
      <w:pPr>
        <w:pStyle w:val="Heading2"/>
      </w:pPr>
      <w:r>
        <w:t xml:space="preserve">Stage 1: implementation checks in ORCA</w:t>
      </w:r>
    </w:p>
    <w:p>
      <w:pPr>
        <w:spacing w:after="120"/>
      </w:pPr>
      <w:r>
        <w:t xml:space="preserve">Tiny jobs, so that nothing below depends on an untested assumption about the software.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Element label.</w:t>
      </w:r>
      <w:r>
        <w:t xml:space="preserve"> Two spheres with identical q and LJ but different element labels must give identical energies. The input files label the sphere "N"; this confirms the label carries no hidden physics.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Fractional charge.</w:t>
      </w:r>
      <w:r>
        <w:t xml:space="preserve"> ORCA must accept a non-integer total MM charge (for example +0.5) and keep the QM region at −2.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Frozen sphere–sphere terms.</w:t>
      </w:r>
      <w:r>
        <w:t xml:space="preserve"> The Coulomb and LJ energy between frozen spheres must be identical at the reactant and TS geometries, so that it cancels from barriers.</w:t>
      </w:r>
    </w:p>
    <w:p>
      <w:pPr>
        <w:spacing w:after="120"/>
      </w:pPr>
      <w:r>
        <w:t xml:space="preserve">Pass condition: each identical to print precision.</w:t>
      </w:r>
    </w:p>
    <w:p>
      <w:pPr>
        <w:pStyle w:val="Heading2"/>
      </w:pPr>
      <w:r>
        <w:t xml:space="preserve">Stage 2: contact distance as a function of q (rigid model, local, minutes)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Scan:</w:t>
      </w:r>
      <w:r>
        <w:t xml:space="preserve"> q = ±0.25, ±0.5, ±0.75, ±1 across all 30 frames, against each kind of contact: carboxylate O, ether O3, hydroxyl O4, and hydrogens for negative charges.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negative-charge risk.</w:t>
      </w:r>
      <w:r>
        <w:t xml:space="preserve"> The substrate's hydroxyl hydrogen H8 has zero LJ (committed force field, row 6228). The combining rule then gives a sphere–H8 pair zero repulsion, so a negative sphere could be drawn onto H8 the way the bare +1 collapsed onto O2. The scan tests this directly.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If it happens, the literature options are giving the QM hydrogen a small LJ (Senn &amp; Thiel describe re-fitted QM radii; primary source Murphy 2000, to be read) or keeping negative spheres away from H8. The enzyme's Phase 1 runs share the same zero, which would be noted.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Sphere size:</w:t>
      </w:r>
      <w:r>
        <w:t xml:space="preserve"> Amber N against GOCAT's sp3 carbon, at each q.</w:t>
      </w:r>
    </w:p>
    <w:p>
      <w:pPr>
        <w:spacing w:after="120"/>
      </w:pPr>
      <w:r>
        <w:t xml:space="preserve">Output: a table of contact distance by contact type and q, and a baseline sphere chosen with its sensitivity stated.</w:t>
      </w:r>
    </w:p>
    <w:p>
      <w:pPr>
        <w:pStyle w:val="Heading2"/>
      </w:pPr>
      <w:r>
        <w:t xml:space="preserve">Stage 3: QM/MM confirmation at selected charges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Setup:</w:t>
      </w:r>
      <w:r>
        <w:t xml:space="preserve"> frame 41786, substrate anchored (C5–C8 held), as in WP4 arm 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Charges:</w:t>
      </w:r>
      <w:r>
        <w:t xml:space="preserve"> q = +0.5, −0.5 and −1 (+1 is already done: 2.71 Å anchored), with the negative charges placed by the Stage 2 result near the riskiest hydrogen.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contact within ±0.3 Å of the rigid prediction;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no collapse;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bonds within 0.15 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Compute:</w:t>
      </w:r>
      <w:r>
        <w:t xml:space="preserve"> 3 jobs × 24 GB.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Optional:</w:t>
      </w:r>
      <w:r>
        <w:t xml:space="preserve"> a second frame (55446) at q = +1 and −1. The rigid stop barely varies between frames (WP5: 0.002–0.004 Å), so this is a confirmation, not a necessity.</w:t>
      </w:r>
    </w:p>
    <w:p>
      <w:pPr>
        <w:pStyle w:val="Heading2"/>
      </w:pPr>
      <w:r>
        <w:t xml:space="preserve">Stage 4: spill-out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Why:</w:t>
      </w:r>
      <w:r>
        <w:t xml:space="preserve"> electron density can leak towards nearby positive MM charges, and more so with diffuse basis sets (Laio 2002; Senn &amp; Thiel; Behrens §3.6.1 citing Laino 2005). GOCAT avoided this by using semi-empirical methods; this project's DFT cannot.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Runs:</w:t>
      </w:r>
      <w:r>
        <w:t xml:space="preserve"> two Stage 3 placements repeated with def2-SVPD against def2-SVP.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Compare:</w:t>
      </w:r>
      <w:r>
        <w:t xml:space="preserve"> contact distance, the b term, and the population on the substrate atom nearest the sphere.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Pass:</w:t>
      </w:r>
      <w:r>
        <w:t xml:space="preserve"> contact moves under 0.05 Å and b under 10%.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If it fails:</w:t>
      </w:r>
      <w:r>
        <w:t xml:space="preserve"> smeared charges (ORCA support not yet checked, so this is a question, not a plan) or a larger sphere.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Compute:</w:t>
      </w:r>
      <w:r>
        <w:t xml:space="preserve"> 2–4 jobs.</w:t>
      </w:r>
    </w:p>
    <w:p>
      <w:pPr>
        <w:pStyle w:val="Heading2"/>
      </w:pPr>
      <w:r>
        <w:t xml:space="preserve">Stage 5: placement rule and steric term (after C4/C5)</w:t>
      </w:r>
    </w:p>
    <w:p>
      <w:pPr>
        <w:spacing w:after="120"/>
      </w:pPr>
      <w:r>
        <w:t xml:space="preserve">The grid is rebuilt from the C4/C5 geometries, so this stage follows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Grid floor:</w:t>
      </w:r>
      <w:r>
        <w:t xml:space="preserve"> each site's minimum distance to each substrate atom is the Stage 2 contact distance at the most strongly attracted charge for that atom type. This replaces the blanket 2.5 Å. It is conservative: weaker charges would sit slightly farther out, and any small strain this causes shows up in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Sphere spacing:</w:t>
      </w:r>
      <w:r>
        <w:t xml:space="preserve"> at least σ apart. For two Amber-N spheres that is R</w:t>
      </w:r>
      <w:r>
        <w:rPr>
          <w:vertAlign w:val="subscript"/>
        </w:rPr>
        <w:t xml:space="preserve">min</w:t>
      </w:r>
      <w:r>
        <w:t xml:space="preserve"> 3.648 Å divided by 2^(1/6) = 3.25 Å, the analogue of Behrens' repulsion threshold (σ = 3.55 Å for his spheres), replacing Dittner's 1 Å for bare charges.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ΔE</w:t>
      </w:r>
      <w:r>
        <w:rPr>
          <w:b/>
          <w:bCs/>
          <w:vertAlign w:val="subscript"/>
        </w:rPr>
        <w:t xml:space="preserve">LJ</w:t>
      </w:r>
      <w:r>
        <w:t xml:space="preserve"> computed for every grid site and added to the design model.</w:t>
      </w:r>
    </w:p>
    <w:p>
      <w:pPr>
        <w:pStyle w:val="Heading2"/>
      </w:pPr>
      <w:r>
        <w:t xml:space="preserve">Stage 6: several spheres together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Runs:</w:t>
      </w:r>
      <w:r>
        <w:t xml:space="preserve"> 2–3 spheres with mixed partial charges at Stage 5-valid positions, relaxed.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Checks:</w:t>
      </w:r>
      <w:r>
        <w:t xml:space="preserve"> no collapse, bonds intact, and the first-order energies add up at fixed geometry. This links to WP7's cross terms.</w:t>
      </w:r>
    </w:p>
    <w:p>
      <w:pPr>
        <w:pStyle w:val="Heading1"/>
      </w:pPr>
      <w:r>
        <w:t xml:space="preserve">Validation protocol for designs (fixed now, used later)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Setup:</w:t>
      </w:r>
      <w:r>
        <w:t xml:space="preserve"> spheres frozen; substrate relaxed in Cartesian coordinates (coordsys cartesian, ProjectTR false, from the ORCA 6 manual). Overall freedom is then explicit rather than decided by ORCA's connectivity rules (WP4's lesson).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Screens: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convergence and residual gradient (Dittner &amp; Hartke 2020; Behrens chapter 4);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no bond changes (Behrens chapter 4);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no sphere closer than its contact distance minus a tolerance (this project's addition, since GOCAT screened gradients only).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Barrier:</w:t>
      </w:r>
      <w:r>
        <w:t xml:space="preserve"> NEB-CI to the tight NEB-CI thresholds (the C5 standard; Dittner &amp; Hartke 2020 also finish with a tight NEB), measured from the lowest point to the highest (C4; Claeyssens 2011; Behrens &amp; Hartke 2021).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Solvent check for final designs (D1):</w:t>
      </w:r>
      <w:r>
        <w:t xml:space="preserve"> ORCA refuses CPCM together with QM/MM, so the CPCM single point uses point charges at the validated geometry, with the sphere LJ added classically. D1 as originally written could not have been run.</w:t>
      </w:r>
    </w:p>
    <w:p>
      <w:pPr>
        <w:pStyle w:val="Heading1"/>
      </w:pPr>
      <w:r>
        <w:t xml:space="preserve">Restraints, collected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526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Restraint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Charge range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−1 ≤ q ≤ +1 e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Dittner's thesis §2.1.1.2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Total charge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Optional target; a design choice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Dittner's thesis §2.1.1.2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Distance to substrate atoms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Contact distance by atom type (Stages 2 and 5)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Behrens §5.2 (sphere at its equilibrium distance); measured in this project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Spacing between spheres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≥ 3.25 Å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Analogue of Behrens §5.2's σ threshold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Sphere–sphere terms in the design objective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None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Dittner's thesis §2.4.2 footnote; Behrens §5.2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Spheres during validation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Frozen</w:t>
            </w:r>
          </w:p>
        </w:tc>
        <w:tc>
          <w:tcPr>
            <w:tcW w:type="dxa" w:w="3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Behrens §5.2, one-embedding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Deliberately left for after the foundation</w:t>
      </w:r>
    </w:p>
    <w:p>
      <w:pPr>
        <w:spacing w:after="120"/>
      </w:pPr>
      <w:r>
        <w:t xml:space="preserve">Ways to improve on GOCAT's quasi-atom. Each would be measured against this foundation, not adopted on spec.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 sphere size that depends on charge (larger anions);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smeared charges, if ORCA supports them;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adjusted QM-side LJ for polar hydrogens;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letting spheres relax to their own equilibrium before validation (Behrens' frame-wise variant);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directional sites to mimic hydrogen-bond donors;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turning designs into real residues (Sokalski's route, Beker &amp; Sokalski 2020).</w:t>
      </w:r>
    </w:p>
    <w:p>
      <w:pPr>
        <w:pStyle w:val="Heading1"/>
      </w:pPr>
      <w:r>
        <w:t xml:space="preserve">Effort and order</w:t>
      </w:r>
    </w:p>
    <w:p>
      <w:pPr>
        <w:spacing w:after="120"/>
      </w:pPr>
      <w:r>
        <w:t xml:space="preserve">Stages 0–4 do not depend on C4/C5 and are cheap: about 10 small jobs, all within the 100 GB memory limit at any one time. Stages 5–6 follow the grid rebuild.</w:t>
      </w:r>
    </w:p>
    <w:p>
      <w:pPr>
        <w:pStyle w:val="Heading1"/>
      </w:pPr>
      <w:r>
        <w:t xml:space="preserve">References to obtain</w:t>
      </w:r>
    </w:p>
    <w:p>
      <w:pPr>
        <w:spacing w:after="120"/>
      </w:pPr>
      <w:r>
        <w:t xml:space="preserve">DOIs confirmed against bibliographic records; for the project library (Draft sections (writeup)/Ref papers).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Laino, Mohamed, Laio &amp; Parrinello 2005, J. Chem. Theory Comput. 1, 1176. doi:10.1021/ct050123f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Murphy, Philipp &amp; Friesner 2000, J. Comput. Chem. 21, 1442. doi:10.1002/1096-987X(200012)21:16&lt;1442::AID-JCC3&gt;3.0.CO;2-O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Jorgensen, Maxwell &amp; Tirado-Rives 1996, J. Am. Chem. Soc. 118, 11225. doi:10.1021/ja9621760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Beker &amp; Sokalski 2020, J. Chem. Theory Comput. 16, 3420. doi:10.1021/acs.jctc.0c00139</w:t>
      </w:r>
    </w:p>
    <w:p>
      <w:pPr>
        <w:pStyle w:val="Heading1"/>
      </w:pPr>
      <w:r>
        <w:t xml:space="preserve">Review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Pass 1 (completeness)</w:t>
      </w:r>
      <w:r>
        <w:t xml:space="preserve"> added items the earlier proposal missed: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the zero-LJ H8 risk for negative charges;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the per-site steric term ΔE</w:t>
      </w:r>
      <w:r>
        <w:rPr>
          <w:vertAlign w:val="subscript"/>
        </w:rPr>
        <w:t xml:space="preserve">LJ</w:t>
      </w:r>
      <w:r>
        <w:t xml:space="preserve"> in the design energy;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the element-label, fractional-charge and frozen sphere–sphere checks in ORCA;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the CPCM check routed through point charges, because QM/MM refuses CPCM;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 sphere-spacing rule.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Pass 2 (literature fidelity)</w:t>
      </w:r>
      <w:r>
        <w:t xml:space="preserve"> re-checked every citation against the passage read: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removed a stated value for the OPLS ε (not yet read; marked);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stated Behrens' spacing threshold exactly (σ, 3.55 Å) and computed the analogue (3.648 / 2^(1/6) = 3.25 Å);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noted that GOCAT used semi-empirical methods, which is why spill-out matters more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Pass 3 (coherence with goals)</w:t>
      </w:r>
      <w:r>
        <w:t xml:space="preserve"> ordered the stages by dependency (0–4 independent of C4/C5; 5–6 after the grid rebuild), tied each stage to where its output is used, checked compute against the 100 GB limit, and stated the one-frame limitation with an optional second frame.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559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Developing the charged Lennard-Jones sphere</dc:title>
  <dc:creator>Claude</dc:creator>
  <cp:lastModifiedBy>Un-named</cp:lastModifiedBy>
  <cp:revision>1</cp:revision>
  <dcterms:created xsi:type="dcterms:W3CDTF">2026-10-07T09:32:08.568Z</dcterms:created>
  <dcterms:modified xsi:type="dcterms:W3CDTF">2026-10-07T09:32:08.568Z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