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w.n-the-optimised-reactant-ensemble"/>
    <w:p>
      <w:pPr>
        <w:pStyle w:val="Heading1"/>
      </w:pPr>
      <w:r>
        <w:t xml:space="preserve">W.n The optimised reactant ensemble</w:t>
      </w:r>
    </w:p>
    <w:p>
      <w:pPr>
        <w:pStyle w:val="BlockText"/>
      </w:pPr>
      <w:r>
        <w:t xml:space="preserve">Draft subsection for the Phase 1 chapter, to sit after the frame-selection</w:t>
      </w:r>
      <w:r>
        <w:t xml:space="preserve"> </w:t>
      </w:r>
      <w:r>
        <w:t xml:space="preserve">section and before the reaction-path results. Section number to be assigned.</w:t>
      </w:r>
      <w:r>
        <w:t xml:space="preserve"> </w:t>
      </w:r>
      <w:r>
        <w:t xml:space="preserve">All values trace to</w:t>
      </w:r>
      <w:r>
        <w:t xml:space="preserve"> </w:t>
      </w:r>
      <w:r>
        <w:rPr>
          <w:rStyle w:val="VerbatimChar"/>
        </w:rPr>
        <w:t xml:space="preserve">05_qmmm/19_ensemble_harvest/reactant_summary.tsv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05_qmmm/12_frame_selection/selection_manifest.tsv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23" w:name="w.n-the-optimised-reactant-ensemble-1"/>
    <w:p>
      <w:pPr>
        <w:pStyle w:val="Heading2"/>
      </w:pPr>
      <w:r>
        <w:t xml:space="preserve">W.n The optimised reactant ensemble</w:t>
      </w:r>
    </w:p>
    <w:p>
      <w:pPr>
        <w:pStyle w:val="FirstParagraph"/>
      </w:pPr>
      <w:r>
        <w:t xml:space="preserve">I optimised the reactant state of all fourteen selected frames under the same</w:t>
      </w:r>
      <w:r>
        <w:t xml:space="preserve"> </w:t>
      </w:r>
      <w:r>
        <w:t xml:space="preserve">QM/MM protocol before computing any reaction path, so that each barrier would be</w:t>
      </w:r>
      <w:r>
        <w:t xml:space="preserve"> </w:t>
      </w:r>
      <w:r>
        <w:t xml:space="preserve">formed between endpoints obtained by an identical procedure. The optimised</w:t>
      </w:r>
      <w:r>
        <w:t xml:space="preserve"> </w:t>
      </w:r>
      <w:r>
        <w:t xml:space="preserve">geometries are reported here in their own right, because the relationship</w:t>
      </w:r>
      <w:r>
        <w:t xml:space="preserve"> </w:t>
      </w:r>
      <w:r>
        <w:t xml:space="preserve">between the sampled and the optimised structures bears on how the barrier</w:t>
      </w:r>
      <w:r>
        <w:t xml:space="preserve"> </w:t>
      </w:r>
      <w:r>
        <w:t xml:space="preserve">ensemble should be interpreted.</w:t>
      </w:r>
    </w:p>
    <w:p>
      <w:pPr>
        <w:pStyle w:val="BodyText"/>
      </w:pPr>
      <w:r>
        <w:t xml:space="preserve">Every optimisation converged. Convergence took 240 to 396 steps, corresponding</w:t>
      </w:r>
      <w:r>
        <w:t xml:space="preserve"> </w:t>
      </w:r>
      <w:r>
        <w:t xml:space="preserve">to walltimes of 6 h 17 min to 10 h 6 min on eight cores. Table W.n.1 gives the</w:t>
      </w:r>
      <w:r>
        <w:t xml:space="preserve"> </w:t>
      </w:r>
      <w:r>
        <w:t xml:space="preserve">reacting-bond distances of each optimised reactant alongside the values measured</w:t>
      </w:r>
      <w:r>
        <w:t xml:space="preserve"> </w:t>
      </w:r>
      <w:r>
        <w:t xml:space="preserve">in the molecular-dynamics frame from which it started.</w:t>
      </w:r>
    </w:p>
    <w:p>
      <w:pPr>
        <w:pStyle w:val="BodyText"/>
      </w:pPr>
      <w:r>
        <w:rPr>
          <w:bCs/>
          <w:b/>
        </w:rPr>
        <w:t xml:space="preserve">Table W.n.1</w:t>
      </w:r>
      <w:r>
        <w:t xml:space="preserve"> </w:t>
      </w:r>
      <w:r>
        <w:t xml:space="preserve">Reacting-bond distances in the selected frames and after QM/MM</w:t>
      </w:r>
      <w:r>
        <w:t xml:space="preserve"> </w:t>
      </w:r>
      <w:r>
        <w:t xml:space="preserve">optimisation. Selection values from</w:t>
      </w:r>
      <w:r>
        <w:t xml:space="preserve"> </w:t>
      </w:r>
      <w:r>
        <w:rPr>
          <w:rStyle w:val="VerbatimChar"/>
        </w:rPr>
        <w:t xml:space="preserve">selection_manifest.tsv</w:t>
      </w:r>
      <w:r>
        <w:t xml:space="preserve">; optimised values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reactant_summary.tsv</w:t>
      </w:r>
      <w:r>
        <w:t xml:space="preserve">, measured on the extracted 24-atom QM region.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Frame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 C1–C6 at selection (Å)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Break O3–C4 optimised (Å)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 C1–C6 optimised (Å)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2450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3.407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1.472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3.295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3.149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1.465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3.329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5680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3.032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1.461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3.281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7310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3.288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1.469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3.181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8170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3.434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1.472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3.243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3.496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1.477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3.353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9900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2.945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1.473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3.143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10775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3.566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1.470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3.472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11630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3.152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1.487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3.177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12485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3.461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1.484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3.155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14155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3.284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1.477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3.285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15825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3.385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1.466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3.347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396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17505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3.387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1.473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3.260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19185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2.990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1.480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3.107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270</w:t>
            </w:r>
          </w:p>
        </w:tc>
      </w:tr>
    </w:tbl>
    <w:bookmarkStart w:id="20" w:name="Xa56ace201b605b57f21e64cff611f20ab23a97e"/>
    <w:p>
      <w:pPr>
        <w:pStyle w:val="Heading3"/>
      </w:pPr>
      <w:r>
        <w:t xml:space="preserve">The two reacting bonds behave differently</w:t>
      </w:r>
    </w:p>
    <w:p>
      <w:pPr>
        <w:pStyle w:val="FirstParagraph"/>
      </w:pPr>
      <w:r>
        <w:t xml:space="preserve">The breaking ether bond is effectively invariant across the ensemble. Its</w:t>
      </w:r>
      <w:r>
        <w:t xml:space="preserve"> </w:t>
      </w:r>
      <w:r>
        <w:t xml:space="preserve">optimised length spans 1.461 to 1.487 Å, a range of 0.026 Å with a standard</w:t>
      </w:r>
      <w:r>
        <w:t xml:space="preserve"> </w:t>
      </w:r>
      <w:r>
        <w:t xml:space="preserve">deviation of 0.007 Å. That is the scale of the optimisation convergence</w:t>
      </w:r>
      <w:r>
        <w:t xml:space="preserve"> </w:t>
      </w:r>
      <w:r>
        <w:t xml:space="preserve">criterion rather than of any structural variation, so the fourteen frames agree</w:t>
      </w:r>
      <w:r>
        <w:t xml:space="preserve"> </w:t>
      </w:r>
      <w:r>
        <w:t xml:space="preserve">on this coordinate to within the resolution of the method.</w:t>
      </w:r>
    </w:p>
    <w:p>
      <w:pPr>
        <w:pStyle w:val="BodyText"/>
      </w:pPr>
      <w:r>
        <w:t xml:space="preserve">The forming carbon–carbon distance behaves differently. It spans 3.107 to</w:t>
      </w:r>
      <w:r>
        <w:t xml:space="preserve"> </w:t>
      </w:r>
      <w:r>
        <w:t xml:space="preserve">3.472 Å, a range of 0.365 Å and a standard deviation of 0.100 Å, fourteen times</w:t>
      </w:r>
      <w:r>
        <w:t xml:space="preserve"> </w:t>
      </w:r>
      <w:r>
        <w:t xml:space="preserve">the spread of the breaking bond.</w:t>
      </w:r>
    </w:p>
    <w:p>
      <w:pPr>
        <w:pStyle w:val="BodyText"/>
      </w:pPr>
      <w:r>
        <w:t xml:space="preserve">The asymmetry is a property of the bound state rather than of the optimisation.</w:t>
      </w:r>
      <w:r>
        <w:t xml:space="preserve"> </w:t>
      </w:r>
      <w:r>
        <w:t xml:space="preserve">A bound substrate has a covalent ether bond whose length is set by its own</w:t>
      </w:r>
      <w:r>
        <w:t xml:space="preserve"> </w:t>
      </w:r>
      <w:r>
        <w:t xml:space="preserve">electronic structure and is largely insensitive to the surroundings, and a</w:t>
      </w:r>
      <w:r>
        <w:t xml:space="preserve"> </w:t>
      </w:r>
      <w:r>
        <w:t xml:space="preserve">forming bond that does not yet exist, whose length is set by how the active site</w:t>
      </w:r>
      <w:r>
        <w:t xml:space="preserve"> </w:t>
      </w:r>
      <w:r>
        <w:t xml:space="preserve">holds two parts of the molecule relative to one another. The ensemble therefore</w:t>
      </w:r>
      <w:r>
        <w:t xml:space="preserve"> </w:t>
      </w:r>
      <w:r>
        <w:t xml:space="preserve">measures conformational variation in the active site, expressed almost entirely</w:t>
      </w:r>
      <w:r>
        <w:t xml:space="preserve"> </w:t>
      </w:r>
      <w:r>
        <w:t xml:space="preserve">through the coordinate that has not yet become a bond.</w:t>
      </w:r>
    </w:p>
    <w:bookmarkEnd w:id="20"/>
    <w:bookmarkStart w:id="21" w:name="X748e9c41c01a0bfe3acae9d1a579f3f6c3099f9"/>
    <w:p>
      <w:pPr>
        <w:pStyle w:val="Heading3"/>
      </w:pPr>
      <w:r>
        <w:t xml:space="preserve">Optimisation compresses the sampled variation without removing it</w:t>
      </w:r>
    </w:p>
    <w:p>
      <w:pPr>
        <w:pStyle w:val="FirstParagraph"/>
      </w:pPr>
      <w:r>
        <w:t xml:space="preserve">The frames were selected across a wider range than they occupy after</w:t>
      </w:r>
      <w:r>
        <w:t xml:space="preserve"> </w:t>
      </w:r>
      <w:r>
        <w:t xml:space="preserve">optimisation. At selection the forming distance spanned 2.945 to 3.566 Å, a</w:t>
      </w:r>
      <w:r>
        <w:t xml:space="preserve"> </w:t>
      </w:r>
      <w:r>
        <w:t xml:space="preserve">range of 0.621 Å with a standard deviation of 0.199 Å; after optimisation the</w:t>
      </w:r>
      <w:r>
        <w:t xml:space="preserve"> </w:t>
      </w:r>
      <w:r>
        <w:t xml:space="preserve">range is 0.365 Å and the standard deviation 0.100 Å. Optimisation therefore</w:t>
      </w:r>
      <w:r>
        <w:t xml:space="preserve"> </w:t>
      </w:r>
      <w:r>
        <w:t xml:space="preserve">halved the spread of this coordinate.</w:t>
      </w:r>
    </w:p>
    <w:p>
      <w:pPr>
        <w:pStyle w:val="BodyText"/>
      </w:pPr>
      <w:r>
        <w:t xml:space="preserve">The compression is not an erasure. The optimised forming distance correlates</w:t>
      </w:r>
      <w:r>
        <w:t xml:space="preserve"> </w:t>
      </w:r>
      <w:r>
        <w:t xml:space="preserve">with the value measured in the starting frame, with a Pearson coefficient of</w:t>
      </w:r>
      <w:r>
        <w:t xml:space="preserve"> </w:t>
      </w:r>
      <w:r>
        <w:t xml:space="preserve">+0.589 (exact permutation test, p = 0.026, n = 14). A frame sampled with its</w:t>
      </w:r>
      <w:r>
        <w:t xml:space="preserve"> </w:t>
      </w:r>
      <w:r>
        <w:t xml:space="preserve">reacting carbons further apart relaxes to a structure in which they remain</w:t>
      </w:r>
      <w:r>
        <w:t xml:space="preserve"> </w:t>
      </w:r>
      <w:r>
        <w:t xml:space="preserve">further apart. The active site narrows the distribution of near-attack</w:t>
      </w:r>
      <w:r>
        <w:t xml:space="preserve"> </w:t>
      </w:r>
      <w:r>
        <w:t xml:space="preserve">geometries it will accept, and does not impose a single one.</w:t>
      </w:r>
    </w:p>
    <w:p>
      <w:pPr>
        <w:pStyle w:val="BodyText"/>
      </w:pPr>
      <w:r>
        <w:t xml:space="preserve">This matters for the barrier ensemble that follows. Had the optimisation</w:t>
      </w:r>
      <w:r>
        <w:t xml:space="preserve"> </w:t>
      </w:r>
      <w:r>
        <w:t xml:space="preserve">converged every frame to a common geometry, the barriers would differ only</w:t>
      </w:r>
      <w:r>
        <w:t xml:space="preserve"> </w:t>
      </w:r>
      <w:r>
        <w:t xml:space="preserve">through the surrounding protein and solvent configuration, and a single frame</w:t>
      </w:r>
      <w:r>
        <w:t xml:space="preserve"> </w:t>
      </w:r>
      <w:r>
        <w:t xml:space="preserve">would be nearly as informative as fourteen. Because a measurable part of the</w:t>
      </w:r>
      <w:r>
        <w:t xml:space="preserve"> </w:t>
      </w:r>
      <w:r>
        <w:t xml:space="preserve">sampled variation survives into the optimised reactants, the barrier</w:t>
      </w:r>
      <w:r>
        <w:t xml:space="preserve"> </w:t>
      </w:r>
      <w:r>
        <w:t xml:space="preserve">distribution reported below carries genuine conformational sampling, and its</w:t>
      </w:r>
      <w:r>
        <w:t xml:space="preserve"> </w:t>
      </w:r>
      <w:r>
        <w:t xml:space="preserve">width should be read as such.</w:t>
      </w:r>
    </w:p>
    <w:p>
      <w:pPr>
        <w:pStyle w:val="BodyText"/>
      </w:pPr>
      <w:r>
        <w:t xml:space="preserve">No relationship was found between the Arg90–O13 contact distance measured at</w:t>
      </w:r>
      <w:r>
        <w:t xml:space="preserve"> </w:t>
      </w:r>
      <w:r>
        <w:t xml:space="preserve">selection and the optimised forming distance (r = +0.067, p = 0.821), nor</w:t>
      </w:r>
      <w:r>
        <w:t xml:space="preserve"> </w:t>
      </w:r>
      <w:r>
        <w:t xml:space="preserve">between that contact and the optimised breaking bond (r = +0.345, p = 0.226).</w:t>
      </w:r>
      <w:r>
        <w:t xml:space="preserve"> </w:t>
      </w:r>
      <w:r>
        <w:t xml:space="preserve">The near-attack geometry and the electrostatic contact vary independently in</w:t>
      </w:r>
      <w:r>
        <w:t xml:space="preserve"> </w:t>
      </w:r>
      <w:r>
        <w:t xml:space="preserve">this ensemble, at least at this sample size.</w:t>
      </w:r>
    </w:p>
    <w:bookmarkEnd w:id="21"/>
    <w:bookmarkStart w:id="22" w:name="w.n.1-pipeline-of-operations"/>
    <w:p>
      <w:pPr>
        <w:pStyle w:val="Heading3"/>
      </w:pPr>
      <w:r>
        <w:t xml:space="preserve">W.n.1 Pipeline of Operations</w:t>
      </w:r>
    </w:p>
    <w:p>
      <w:pPr>
        <w:pStyle w:val="FirstParagraph"/>
      </w:pPr>
      <w:r>
        <w:rPr>
          <w:rStyle w:val="VerbatimChar"/>
        </w:rPr>
        <w:t xml:space="preserve">[FIGURE W.n.1 — flowchart of the reactant ensemble. Inputs: the frame manifest and the extracted restart files. Steps: per-frame QM/MM reactant optimisation → convergence check → harvest of geometry and energies → ensemble summary. A branch from each converged reactant feeds the restrained scan that follows. No data file required; this is a schematic.]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19_ensemble/frame_XXXXX/reactant_opt.inp</w:t>
      </w:r>
      <w:r>
        <w:t xml:space="preserve"> </w:t>
      </w:r>
      <w:r>
        <w:t xml:space="preserve">— ORCA QM/MM input for one frame,</w:t>
      </w:r>
      <w:r>
        <w:t xml:space="preserve"> </w:t>
      </w:r>
      <w:r>
        <w:t xml:space="preserve">declaring the 24-atom QM region as</w:t>
      </w:r>
      <w:r>
        <w:t xml:space="preserve"> </w:t>
      </w:r>
      <w:r>
        <w:rPr>
          <w:rStyle w:val="VerbatimChar"/>
        </w:rPr>
        <w:t xml:space="preserve">QMAtoms {6207:6230}</w:t>
      </w:r>
      <w:r>
        <w:t xml:space="preserve"> </w:t>
      </w:r>
      <w:r>
        <w:t xml:space="preserve">and a movable region</w:t>
      </w:r>
      <w:r>
        <w:t xml:space="preserve"> </w:t>
      </w:r>
      <w:r>
        <w:t xml:space="preserve">of 1959 atoms, with the force field supplied by</w:t>
      </w:r>
      <w:r>
        <w:t xml:space="preserve"> </w:t>
      </w:r>
      <w:r>
        <w:rPr>
          <w:rStyle w:val="VerbatimChar"/>
        </w:rPr>
        <w:t xml:space="preserve">complex_solvated.ORCAFF.prms</w:t>
      </w:r>
      <w:r>
        <w:t xml:space="preserve">. Runs an L-BFGS minimisation.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19_ensemble/frame_XXXXX/reactant_opt.pbs</w:t>
      </w:r>
      <w:r>
        <w:t xml:space="preserve"> </w:t>
      </w:r>
      <w:r>
        <w:t xml:space="preserve">— batch driver for one frame.</w:t>
      </w:r>
      <w:r>
        <w:t xml:space="preserve"> </w:t>
      </w:r>
      <w:r>
        <w:t xml:space="preserve">Reports</w:t>
      </w:r>
      <w:r>
        <w:t xml:space="preserve"> </w:t>
      </w:r>
      <w:r>
        <w:rPr>
          <w:rStyle w:val="VerbatimChar"/>
        </w:rPr>
        <w:t xml:space="preserve">REACTANT_OPT_PASS</w:t>
      </w:r>
      <w:r>
        <w:t xml:space="preserve"> </w:t>
      </w:r>
      <w:r>
        <w:t xml:space="preserve">on convergence.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step19a_ensemble_prepare.sh</w:t>
      </w:r>
      <w:r>
        <w:t xml:space="preserve"> </w:t>
      </w:r>
      <w:r>
        <w:t xml:space="preserve">— builds a frame directory from the selection</w:t>
      </w:r>
      <w:r>
        <w:t xml:space="preserve"> </w:t>
      </w:r>
      <w:r>
        <w:t xml:space="preserve">manifest and the extracted restart file. Outputs</w:t>
      </w:r>
      <w:r>
        <w:t xml:space="preserve"> </w:t>
      </w:r>
      <w:r>
        <w:rPr>
          <w:rStyle w:val="VerbatimChar"/>
        </w:rPr>
        <w:t xml:space="preserve">reactant_opt.inp</w:t>
      </w:r>
      <w:r>
        <w:t xml:space="preserve">,</w:t>
      </w:r>
      <w:r>
        <w:t xml:space="preserve"> </w:t>
      </w:r>
      <w:r>
        <w:rPr>
          <w:rStyle w:val="VerbatimChar"/>
        </w:rPr>
        <w:t xml:space="preserve">reactant_opt.pbs</w:t>
      </w:r>
      <w:r>
        <w:t xml:space="preserve">,</w:t>
      </w:r>
      <w:r>
        <w:t xml:space="preserve"> </w:t>
      </w:r>
      <w:r>
        <w:rPr>
          <w:rStyle w:val="VerbatimChar"/>
        </w:rPr>
        <w:t xml:space="preserve">neb.inp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neb.pbs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step19d_harvest.py</w:t>
      </w:r>
      <w:r>
        <w:t xml:space="preserve"> </w:t>
      </w:r>
      <w:r>
        <w:t xml:space="preserve">— extracts the committable record from each converged</w:t>
      </w:r>
      <w:r>
        <w:t xml:space="preserve"> </w:t>
      </w:r>
      <w:r>
        <w:t xml:space="preserve">optimisation. Parses</w:t>
      </w:r>
      <w:r>
        <w:t xml:space="preserve"> </w:t>
      </w:r>
      <w:r>
        <w:rPr>
          <w:rStyle w:val="VerbatimChar"/>
        </w:rPr>
        <w:t xml:space="preserve">QMAtoms</w:t>
      </w:r>
      <w:r>
        <w:t xml:space="preserve"> </w:t>
      </w:r>
      <w:r>
        <w:t xml:space="preserve">from the input, applies it to</w:t>
      </w:r>
      <w:r>
        <w:t xml:space="preserve"> </w:t>
      </w:r>
      <w:r>
        <w:rPr>
          <w:rStyle w:val="VerbatimChar"/>
        </w:rPr>
        <w:t xml:space="preserve">reactant_opt.pdb</w:t>
      </w:r>
      <w:r>
        <w:t xml:space="preserve">, and outputs</w:t>
      </w:r>
      <w:r>
        <w:t xml:space="preserve"> </w:t>
      </w:r>
      <w:r>
        <w:rPr>
          <w:rStyle w:val="VerbatimChar"/>
        </w:rPr>
        <w:t xml:space="preserve">reactant_qm.xyz</w:t>
      </w:r>
      <w:r>
        <w:t xml:space="preserve"> </w:t>
      </w:r>
      <w:r>
        <w:t xml:space="preserve">per frame plus</w:t>
      </w:r>
      <w:r>
        <w:t xml:space="preserve"> </w:t>
      </w:r>
      <w:r>
        <w:rPr>
          <w:rStyle w:val="VerbatimChar"/>
        </w:rPr>
        <w:t xml:space="preserve">reactant_summary.tsv</w:t>
      </w:r>
      <w:r>
        <w:t xml:space="preserve"> </w:t>
      </w:r>
      <w:r>
        <w:t xml:space="preserve">carrying the QM/MM, QM and MM energies, step count,</w:t>
      </w:r>
      <w:r>
        <w:t xml:space="preserve"> </w:t>
      </w:r>
      <w:r>
        <w:t xml:space="preserve">walltime and reacting-bond distances.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19_ensemble_harvest/reactant_summary.tsv</w:t>
      </w:r>
      <w:r>
        <w:t xml:space="preserve"> </w:t>
      </w:r>
      <w:r>
        <w:t xml:space="preserve">— the ensemble table from which</w:t>
      </w:r>
      <w:r>
        <w:t xml:space="preserve"> </w:t>
      </w:r>
      <w:r>
        <w:t xml:space="preserve">Table W.n.1 is drawn.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4" w:name="notes-on-this-draft"/>
    <w:p>
      <w:pPr>
        <w:pStyle w:val="Heading2"/>
      </w:pPr>
      <w:r>
        <w:t xml:space="preserve">Notes on this draft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A correction to an earlier reading.</w:t>
      </w:r>
      <w:r>
        <w:t xml:space="preserve"> </w:t>
      </w:r>
      <w:r>
        <w:t xml:space="preserve">At an intermediate stage, with five</w:t>
      </w:r>
      <w:r>
        <w:t xml:space="preserve"> </w:t>
      </w:r>
      <w:r>
        <w:t xml:space="preserve">frames optimised, the correlation between selection-time and optimised</w:t>
      </w:r>
      <w:r>
        <w:t xml:space="preserve"> </w:t>
      </w:r>
      <w:r>
        <w:t xml:space="preserve">forming distance was +0.073 with p = 0.894, and I recorded that the</w:t>
      </w:r>
      <w:r>
        <w:t xml:space="preserve"> </w:t>
      </w:r>
      <w:r>
        <w:t xml:space="preserve">optimisation appeared to erase the sampled geometry. At fourteen frames the</w:t>
      </w:r>
      <w:r>
        <w:t xml:space="preserve"> </w:t>
      </w:r>
      <w:r>
        <w:t xml:space="preserve">correlation is +0.589 with p = 0.026. The earlier reading was an artefact of</w:t>
      </w:r>
      <w:r>
        <w:t xml:space="preserve"> </w:t>
      </w:r>
      <w:r>
        <w:t xml:space="preserve">the small sample and should not appear anywhere in the thesis.</w:t>
      </w:r>
      <w:r>
        <w:t xml:space="preserve"> </w:t>
      </w:r>
      <w:r>
        <w:rPr>
          <w:rStyle w:val="VerbatimChar"/>
        </w:rPr>
        <w:t xml:space="preserve">PHASE1_ENSEMBLE_NOTES.md</w:t>
      </w:r>
      <w:r>
        <w:t xml:space="preserve"> </w:t>
      </w:r>
      <w:r>
        <w:t xml:space="preserve">currently carries it and needs correcting.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Frame 820 is excluded from this table.</w:t>
      </w:r>
      <w:r>
        <w:t xml:space="preserve"> </w:t>
      </w:r>
      <w:r>
        <w:t xml:space="preserve">The fourteen frames here are those</w:t>
      </w:r>
      <w:r>
        <w:t xml:space="preserve"> </w:t>
      </w:r>
      <w:r>
        <w:t xml:space="preserve">optimised as part of the ensemble. Frame 820 was optimised earlier, as the</w:t>
      </w:r>
      <w:r>
        <w:t xml:space="preserve"> </w:t>
      </w:r>
      <w:r>
        <w:t xml:space="preserve">original Phase 1 calculation, under the same protocol but outside</w:t>
      </w:r>
      <w:r>
        <w:t xml:space="preserve"> </w:t>
      </w:r>
      <w:r>
        <w:rPr>
          <w:rStyle w:val="VerbatimChar"/>
        </w:rPr>
        <w:t xml:space="preserve">19_ensemble/</w:t>
      </w:r>
      <w:r>
        <w:t xml:space="preserve">. Its optimised distances are 1.464 and 3.251 Å, which fall</w:t>
      </w:r>
      <w:r>
        <w:t xml:space="preserve"> </w:t>
      </w:r>
      <w:r>
        <w:t xml:space="preserve">within the ranges above. Whether to fold it into this table or keep it</w:t>
      </w:r>
      <w:r>
        <w:t xml:space="preserve"> </w:t>
      </w:r>
      <w:r>
        <w:t xml:space="preserve">separate is a presentation decision; folding it in would give n = 15 and the</w:t>
      </w:r>
      <w:r>
        <w:t xml:space="preserve"> </w:t>
      </w:r>
      <w:r>
        <w:t xml:space="preserve">statistics above would need recomputing.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Energies are deliberately absent from Table W.n.1.</w:t>
      </w:r>
      <w:r>
        <w:t xml:space="preserve"> </w:t>
      </w:r>
      <w:r>
        <w:t xml:space="preserve">The optimised QM/MM</w:t>
      </w:r>
      <w:r>
        <w:t xml:space="preserve"> </w:t>
      </w:r>
      <w:r>
        <w:t xml:space="preserve">total energies span roughly 900 kcal mol⁻¹ across the ensemble, because each</w:t>
      </w:r>
      <w:r>
        <w:t xml:space="preserve"> </w:t>
      </w:r>
      <w:r>
        <w:t xml:space="preserve">frame carries a different solvent configuration in the classical term.</w:t>
      </w:r>
      <w:r>
        <w:t xml:space="preserve"> </w:t>
      </w:r>
      <w:r>
        <w:t xml:space="preserve">Absolute energies are therefore not comparable between frames and only</w:t>
      </w:r>
      <w:r>
        <w:t xml:space="preserve"> </w:t>
      </w:r>
      <w:r>
        <w:t xml:space="preserve">differences within a frame are meaningful. They are recorded in</w:t>
      </w:r>
      <w:r>
        <w:t xml:space="preserve"> </w:t>
      </w:r>
      <w:r>
        <w:rPr>
          <w:rStyle w:val="VerbatimChar"/>
        </w:rPr>
        <w:t xml:space="preserve">reactant_summary.tsv</w:t>
      </w:r>
      <w:r>
        <w:t xml:space="preserve"> </w:t>
      </w:r>
      <w:r>
        <w:t xml:space="preserve">but would mislead if tabulated here.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Statistical method.</w:t>
      </w:r>
      <w:r>
        <w:t xml:space="preserve"> </w:t>
      </w:r>
      <w:r>
        <w:t xml:space="preserve">Correlations are Pearson coefficients with p-values</w:t>
      </w:r>
      <w:r>
        <w:t xml:space="preserve"> </w:t>
      </w:r>
      <w:r>
        <w:t xml:space="preserve">from a permutation test over 200,000 random orderings. At n = 14 the test is</w:t>
      </w:r>
      <w:r>
        <w:t xml:space="preserve"> </w:t>
      </w:r>
      <w:r>
        <w:t xml:space="preserve">adequately powered for a correlation of this size but not for a small one, so</w:t>
      </w:r>
      <w:r>
        <w:t xml:space="preserve"> </w:t>
      </w:r>
      <w:r>
        <w:t xml:space="preserve">the two null results reported for Arg90 should be read as an absence of</w:t>
      </w:r>
      <w:r>
        <w:t xml:space="preserve"> </w:t>
      </w:r>
      <w:r>
        <w:t xml:space="preserve">evidence rather than as evidence of absence.</w:t>
      </w:r>
    </w:p>
    <w:bookmarkEnd w:id="24"/>
    <w:bookmarkEnd w:id="2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2026-09-09T05:11:33Z</dcterms:created>
  <dcterms:modified xsi:type="dcterms:W3CDTF">2026-09-09T05:11:33Z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