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substrate-model-and-reference-state"/>
    <w:p>
      <w:pPr>
        <w:pStyle w:val="Heading1"/>
      </w:pPr>
      <w:r>
        <w:t xml:space="preserve">X.1 Substrate model and reference state</w:t>
      </w:r>
    </w:p>
    <w:bookmarkStart w:id="20" w:name="x.1.1-system-definition"/>
    <w:p>
      <w:pPr>
        <w:pStyle w:val="Heading2"/>
      </w:pPr>
      <w:r>
        <w:t xml:space="preserve">X.1.1 System definition</w:t>
      </w:r>
    </w:p>
    <w:p>
      <w:pPr>
        <w:pStyle w:val="FirstParagraph"/>
      </w:pPr>
      <w:r>
        <w:t xml:space="preserve">The design target throughout this chapter is the bare chorismate dianion</w:t>
      </w:r>
      <w:r>
        <w:t xml:space="preserve"> </w:t>
      </w:r>
      <w:r>
        <w:t xml:space="preserve">undergoing the Claisen rearrangement to prephenate, a 24-atom system carrying a</w:t>
      </w:r>
      <w:r>
        <w:t xml:space="preserve"> </w:t>
      </w:r>
      <w:r>
        <w:t xml:space="preserve">net charge of −2 in a singlet ground state.</w:t>
      </w:r>
    </w:p>
    <w:p>
      <w:pPr>
        <w:pStyle w:val="BodyText"/>
      </w:pPr>
      <w:r>
        <w:t xml:space="preserve">I took the substrate geometries from the converged QM-region trajectories of the</w:t>
      </w:r>
      <w:r>
        <w:t xml:space="preserve"> </w:t>
      </w:r>
      <w:r>
        <w:t xml:space="preserve">Phase 1 QM/MM reaction path (Chapter W), so that the reactive conformation</w:t>
      </w:r>
      <w:r>
        <w:t xml:space="preserve"> </w:t>
      </w:r>
      <w:r>
        <w:t xml:space="preserve">designed around in this chapter is the one selected by the enzyme. I did not</w:t>
      </w:r>
      <w:r>
        <w:t xml:space="preserve"> </w:t>
      </w:r>
      <w:r>
        <w:t xml:space="preserve">derive the designed environment from the enzyme. No active-site residue was</w:t>
      </w:r>
      <w:r>
        <w:t xml:space="preserve"> </w:t>
      </w:r>
      <w:r>
        <w:t xml:space="preserve">copied, positioned or used as a template; the charge arrangement was constructed</w:t>
      </w:r>
      <w:r>
        <w:t xml:space="preserve"> </w:t>
      </w:r>
      <w:r>
        <w:t xml:space="preserve">from the difference potential defined in Section X.2, and the enzyme entered only</w:t>
      </w:r>
      <w:r>
        <w:t xml:space="preserve"> </w:t>
      </w:r>
      <w:r>
        <w:t xml:space="preserve">as a benchmark against which a design is scored.</w:t>
      </w:r>
    </w:p>
    <w:p>
      <w:pPr>
        <w:pStyle w:val="BodyText"/>
      </w:pPr>
      <w:r>
        <w:rPr>
          <w:iCs/>
          <w:i/>
        </w:rPr>
        <w:t xml:space="preserve">Bacillus subtilis</w:t>
      </w:r>
      <w:r>
        <w:t xml:space="preserve"> </w:t>
      </w:r>
      <w:r>
        <w:t xml:space="preserve">chorismate mutase is a homotrimer. Chook, Ke and Lipscomb</w:t>
      </w:r>
      <w:r>
        <w:t xml:space="preserve"> </w:t>
      </w:r>
      <w:r>
        <w:t xml:space="preserve">(1993), who determined the structure deposited as PDB 2CHT, report that</w:t>
      </w:r>
      <w:r>
        <w:t xml:space="preserve"> </w:t>
      </w:r>
      <w:r>
        <w:t xml:space="preserve">“</w:t>
      </w:r>
      <w:r>
        <w:t xml:space="preserve">the</w:t>
      </w:r>
      <w:r>
        <w:t xml:space="preserve"> </w:t>
      </w:r>
      <w:r>
        <w:rPr>
          <w:iCs/>
          <w:i/>
        </w:rPr>
        <w:t xml:space="preserve">B.</w:t>
      </w:r>
      <w:r>
        <w:rPr>
          <w:iCs/>
          <w:i/>
        </w:rPr>
        <w:t xml:space="preserve"> </w:t>
      </w:r>
      <w:r>
        <w:rPr>
          <w:iCs/>
          <w:i/>
        </w:rPr>
        <w:t xml:space="preserve">subtilis</w:t>
      </w:r>
      <w:r>
        <w:t xml:space="preserve"> </w:t>
      </w:r>
      <w:r>
        <w:t xml:space="preserve">chorismate mutase is a homotrimer, a pseudo-α/β-barrel with helices on</w:t>
      </w:r>
      <w:r>
        <w:t xml:space="preserve"> </w:t>
      </w:r>
      <w:r>
        <w:t xml:space="preserve">the outside of the trimer</w:t>
      </w:r>
      <w:r>
        <w:t xml:space="preserve">”</w:t>
      </w:r>
      <w:r>
        <w:t xml:space="preserve">, and that</w:t>
      </w:r>
      <w:r>
        <w:t xml:space="preserve"> </w:t>
      </w:r>
      <w:r>
        <w:t xml:space="preserve">“</w:t>
      </w:r>
      <w:r>
        <w:t xml:space="preserve">in each trimer, three equivalent active</w:t>
      </w:r>
      <w:r>
        <w:t xml:space="preserve"> </w:t>
      </w:r>
      <w:r>
        <w:t xml:space="preserve">sites are located at the interfaces of two</w:t>
      </w:r>
      <w:r>
        <w:t xml:space="preserve">”</w:t>
      </w:r>
      <w:r>
        <w:t xml:space="preserve"> </w:t>
      </w:r>
      <w:r>
        <w:t xml:space="preserve">subunits. Chapter W uses that</w:t>
      </w:r>
      <w:r>
        <w:t xml:space="preserve"> </w:t>
      </w:r>
      <w:r>
        <w:t xml:space="preserve">equivalence to justify drawing reactant configurations from a single site. The</w:t>
      </w:r>
      <w:r>
        <w:t xml:space="preserve"> </w:t>
      </w:r>
      <w:r>
        <w:t xml:space="preserve">same work identifies the rearrangement as proceeding</w:t>
      </w:r>
      <w:r>
        <w:t xml:space="preserve"> </w:t>
      </w:r>
      <w:r>
        <w:t xml:space="preserve">“</w:t>
      </w:r>
      <w:r>
        <w:t xml:space="preserve">via a transition state with</w:t>
      </w:r>
      <w:r>
        <w:t xml:space="preserve"> </w:t>
      </w:r>
      <w:r>
        <w:t xml:space="preserve">chair-like geometry</w:t>
      </w:r>
      <w:r>
        <w:t xml:space="preserve">”</w:t>
      </w:r>
      <w:r>
        <w:t xml:space="preserve">.</w:t>
      </w:r>
    </w:p>
    <w:p>
      <w:pPr>
        <w:pStyle w:val="BodyText"/>
      </w:pPr>
      <w:r>
        <w:t xml:space="preserve">Three stationary geometries define the reaction. I extracted all three from a</w:t>
      </w:r>
      <w:r>
        <w:t xml:space="preserve"> </w:t>
      </w:r>
      <w:r>
        <w:t xml:space="preserve">single QM/MM protocol (Chapter W), so that reactant, transition state and product</w:t>
      </w:r>
      <w:r>
        <w:t xml:space="preserve"> </w:t>
      </w:r>
      <w:r>
        <w:t xml:space="preserve">were mutually comparable. The reacting-atom convention follows the breaking ether</w:t>
      </w:r>
      <w:r>
        <w:t xml:space="preserve"> </w:t>
      </w:r>
      <w:r>
        <w:t xml:space="preserve">bond O3–C4 and the forming carbon–carbon bond C1–C6, with zero-based indices</w:t>
      </w:r>
      <w:r>
        <w:t xml:space="preserve"> </w:t>
      </w:r>
      <w:r>
        <w:t xml:space="preserve">O3 = 7, C4 = 8, C1 = 0 and C6 = 12 as recorded in</w:t>
      </w:r>
      <w:r>
        <w:t xml:space="preserve"> </w:t>
      </w:r>
      <w:r>
        <w:rPr>
          <w:rStyle w:val="VerbatimChar"/>
        </w:rPr>
        <w:t xml:space="preserve">reacting_atoms.tsv</w:t>
      </w:r>
      <w:r>
        <w:t xml:space="preserve">. Measured</w:t>
      </w:r>
      <w:r>
        <w:t xml:space="preserve"> </w:t>
      </w:r>
      <w:r>
        <w:t xml:space="preserve">distances and provenance are given in Table X.1.1. The three geometries share a</w:t>
      </w:r>
      <w:r>
        <w:t xml:space="preserve"> </w:t>
      </w:r>
      <w:r>
        <w:t xml:space="preserve">common coordinate frame, their centroids lying within 0.11 Å of one another,</w:t>
      </w:r>
      <w:r>
        <w:t xml:space="preserve"> </w:t>
      </w:r>
      <w:r>
        <w:t xml:space="preserve">which is a requirement for the difference potential of Section X.2 and the</w:t>
      </w:r>
      <w:r>
        <w:t xml:space="preserve"> </w:t>
      </w:r>
      <w:r>
        <w:t xml:space="preserve">exclusion envelope of Section X.3, both of which are defined on points fixed in</w:t>
      </w:r>
      <w:r>
        <w:t xml:space="preserve"> </w:t>
      </w:r>
      <w:r>
        <w:t xml:space="preserve">that frame.</w:t>
      </w:r>
    </w:p>
    <w:p>
      <w:pPr>
        <w:pStyle w:val="BodyText"/>
      </w:pPr>
      <w:r>
        <w:rPr>
          <w:bCs/>
          <w:b/>
        </w:rPr>
        <w:t xml:space="preserve">Table X.1.1</w:t>
      </w:r>
      <w:r>
        <w:t xml:space="preserve"> </w:t>
      </w:r>
      <w:r>
        <w:t xml:space="preserve">Reacting-bond distances and provenance of the three stationary</w:t>
      </w:r>
      <w:r>
        <w:t xml:space="preserve"> </w:t>
      </w:r>
      <w:r>
        <w:t xml:space="preserve">geometries. Source:</w:t>
      </w:r>
      <w:r>
        <w:t xml:space="preserve"> </w:t>
      </w:r>
      <w:r>
        <w:rPr>
          <w:rStyle w:val="VerbatimChar"/>
        </w:rPr>
        <w:t xml:space="preserve">phase2b_charge_design/01_geometry/provenance.tsv</w:t>
      </w:r>
      <w:r>
        <w:t xml:space="preserve">, with</w:t>
      </w:r>
      <w:r>
        <w:t xml:space="preserve"> </w:t>
      </w:r>
      <w:r>
        <w:t xml:space="preserve">distances measured from</w:t>
      </w:r>
      <w:r>
        <w:t xml:space="preserve"> </w:t>
      </w:r>
      <w:r>
        <w:rPr>
          <w:rStyle w:val="VerbatimChar"/>
        </w:rPr>
        <w:t xml:space="preserve">reactant.xyz</w:t>
      </w:r>
      <w:r>
        <w:t xml:space="preserve">,</w:t>
      </w:r>
      <w:r>
        <w:t xml:space="preserve"> </w:t>
      </w:r>
      <w:r>
        <w:rPr>
          <w:rStyle w:val="VerbatimChar"/>
        </w:rPr>
        <w:t xml:space="preserve">ts.xyz</w:t>
      </w:r>
      <w:r>
        <w:t xml:space="preserve"> </w:t>
      </w:r>
      <w:r>
        <w:t xml:space="preserve">and</w:t>
      </w:r>
      <w:r>
        <w:t xml:space="preserve"> </w:t>
      </w:r>
      <w:r>
        <w:rPr>
          <w:rStyle w:val="VerbatimChar"/>
        </w:rPr>
        <w:t xml:space="preserve">product.xyz</w:t>
      </w:r>
      <w:r>
        <w:t xml:space="preserve"> </w:t>
      </w:r>
      <w:r>
        <w:t xml:space="preserve">in the same</w:t>
      </w:r>
      <w:r>
        <w:t xml:space="preserve"> </w:t>
      </w:r>
      <w:r>
        <w:t xml:space="preserve">directory.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Stationary point</w:t>
            </w:r>
          </w:p>
        </w:tc>
        <w:tc>
          <w:tcPr/>
          <w:p>
            <w:pPr>
              <w:pStyle w:val="Compact"/>
              <w:jc w:val="left"/>
            </w:pPr>
            <w:r>
              <w:t xml:space="preserve">O3–C4 (Å)</w:t>
            </w:r>
          </w:p>
        </w:tc>
        <w:tc>
          <w:tcPr/>
          <w:p>
            <w:pPr>
              <w:pStyle w:val="Compact"/>
              <w:jc w:val="left"/>
            </w:pPr>
            <w:r>
              <w:t xml:space="preserve">C1–C6 (Å)</w:t>
            </w:r>
          </w:p>
        </w:tc>
        <w:tc>
          <w:tcPr/>
          <w:p>
            <w:pPr>
              <w:pStyle w:val="Compact"/>
              <w:jc w:val="left"/>
            </w:pPr>
            <w:r>
              <w:t xml:space="preserve">Source QM-region trajectory</w:t>
            </w:r>
          </w:p>
        </w:tc>
      </w:tr>
      <w:tr>
        <w:tc>
          <w:tcPr/>
          <w:p>
            <w:pPr>
              <w:pStyle w:val="Compact"/>
              <w:jc w:val="left"/>
            </w:pPr>
            <w:r>
              <w:t xml:space="preserve">Reactant</w:t>
            </w:r>
          </w:p>
        </w:tc>
        <w:tc>
          <w:tcPr/>
          <w:p>
            <w:pPr>
              <w:pStyle w:val="Compact"/>
              <w:jc w:val="left"/>
            </w:pPr>
            <w:r>
              <w:t xml:space="preserve">1.472</w:t>
            </w:r>
          </w:p>
        </w:tc>
        <w:tc>
          <w:tcPr/>
          <w:p>
            <w:pPr>
              <w:pStyle w:val="Compact"/>
              <w:jc w:val="left"/>
            </w:pPr>
            <w:r>
              <w:t xml:space="preserve">3.124</w:t>
            </w:r>
          </w:p>
        </w:tc>
        <w:tc>
          <w:tcPr/>
          <w:p>
            <w:pPr>
              <w:pStyle w:val="Compact"/>
              <w:jc w:val="left"/>
            </w:pPr>
            <w:r>
              <w:rPr>
                <w:rStyle w:val="VerbatimChar"/>
              </w:rPr>
              <w:t xml:space="preserve">18e_reactant_reduced</w:t>
            </w:r>
          </w:p>
        </w:tc>
      </w:tr>
      <w:tr>
        <w:tc>
          <w:tcPr/>
          <w:p>
            <w:pPr>
              <w:pStyle w:val="Compact"/>
              <w:jc w:val="left"/>
            </w:pPr>
            <w:r>
              <w:t xml:space="preserve">Transition state</w:t>
            </w:r>
          </w:p>
        </w:tc>
        <w:tc>
          <w:tcPr/>
          <w:p>
            <w:pPr>
              <w:pStyle w:val="Compact"/>
              <w:jc w:val="left"/>
            </w:pPr>
            <w:r>
              <w:t xml:space="preserve">2.111</w:t>
            </w:r>
          </w:p>
        </w:tc>
        <w:tc>
          <w:tcPr/>
          <w:p>
            <w:pPr>
              <w:pStyle w:val="Compact"/>
              <w:jc w:val="left"/>
            </w:pPr>
            <w:r>
              <w:t xml:space="preserve">2.526</w:t>
            </w:r>
          </w:p>
        </w:tc>
        <w:tc>
          <w:tcPr/>
          <w:p>
            <w:pPr>
              <w:pStyle w:val="Compact"/>
              <w:jc w:val="left"/>
            </w:pPr>
            <w:r>
              <w:rPr>
                <w:rStyle w:val="VerbatimChar"/>
              </w:rPr>
              <w:t xml:space="preserve">18c_reduced_region</w:t>
            </w:r>
          </w:p>
        </w:tc>
      </w:tr>
      <w:tr>
        <w:tc>
          <w:tcPr/>
          <w:p>
            <w:pPr>
              <w:pStyle w:val="Compact"/>
              <w:jc w:val="left"/>
            </w:pPr>
            <w:r>
              <w:t xml:space="preserve">Product</w:t>
            </w:r>
          </w:p>
        </w:tc>
        <w:tc>
          <w:tcPr/>
          <w:p>
            <w:pPr>
              <w:pStyle w:val="Compact"/>
              <w:jc w:val="left"/>
            </w:pPr>
            <w:r>
              <w:t xml:space="preserve">2.902</w:t>
            </w:r>
          </w:p>
        </w:tc>
        <w:tc>
          <w:tcPr/>
          <w:p>
            <w:pPr>
              <w:pStyle w:val="Compact"/>
              <w:jc w:val="left"/>
            </w:pPr>
            <w:r>
              <w:t xml:space="preserve">1.583</w:t>
            </w:r>
          </w:p>
        </w:tc>
        <w:tc>
          <w:tcPr/>
          <w:p>
            <w:pPr>
              <w:pStyle w:val="Compact"/>
              <w:jc w:val="left"/>
            </w:pPr>
            <w:r>
              <w:rPr>
                <w:rStyle w:val="VerbatimChar"/>
              </w:rPr>
              <w:t xml:space="preserve">18f_product_reduced</w:t>
            </w:r>
          </w:p>
        </w:tc>
      </w:tr>
    </w:tbl>
    <w:bookmarkEnd w:id="20"/>
    <w:bookmarkStart w:id="21" w:name="x.1.2-the-reactive-conformer"/>
    <w:p>
      <w:pPr>
        <w:pStyle w:val="Heading2"/>
      </w:pPr>
      <w:r>
        <w:t xml:space="preserve">X.1.2 The reactive conformer</w:t>
      </w:r>
    </w:p>
    <w:p>
      <w:pPr>
        <w:pStyle w:val="FirstParagraph"/>
      </w:pPr>
      <w:r>
        <w:t xml:space="preserve">The reactant occupies the reactive pseudo-diaxial conformation rather than the</w:t>
      </w:r>
      <w:r>
        <w:t xml:space="preserve"> </w:t>
      </w:r>
      <w:r>
        <w:t xml:space="preserve">pseudo-diequatorial form. Hur and Bruice (2003) state the requirement directly:</w:t>
      </w:r>
      <w:r>
        <w:t xml:space="preserve"> </w:t>
      </w:r>
      <w:r>
        <w:t xml:space="preserve">“</w:t>
      </w:r>
      <w:r>
        <w:t xml:space="preserve">NAC formation requires the chorismate to be in a diaxial rather than</w:t>
      </w:r>
      <w:r>
        <w:t xml:space="preserve"> </w:t>
      </w:r>
      <w:r>
        <w:t xml:space="preserve">diequatorial configuration.</w:t>
      </w:r>
      <w:r>
        <w:t xml:space="preserve">”</w:t>
      </w:r>
    </w:p>
    <w:p>
      <w:pPr>
        <w:pStyle w:val="BodyText"/>
      </w:pPr>
      <w:r>
        <w:t xml:space="preserve">Chapter W selects reactant configurations by the near-attack conformer criterion</w:t>
      </w:r>
      <w:r>
        <w:t xml:space="preserve"> </w:t>
      </w:r>
      <w:r>
        <w:t xml:space="preserve">of Hur and Bruice (2003), which has three parts. The forming-bond atoms must lie</w:t>
      </w:r>
      <w:r>
        <w:t xml:space="preserve"> </w:t>
      </w:r>
      <w:r>
        <w:t xml:space="preserve">“</w:t>
      </w:r>
      <w:r>
        <w:t xml:space="preserve">within a van der Waals contact distance of 3.7 Å … with the π-orbitals …</w:t>
      </w:r>
      <w:r>
        <w:t xml:space="preserve"> </w:t>
      </w:r>
      <w:r>
        <w:t xml:space="preserve">pointing at each other</w:t>
      </w:r>
      <w:r>
        <w:t xml:space="preserve">”</w:t>
      </w:r>
      <w:r>
        <w:t xml:space="preserve">, the orbital directions being assessed through two angles</w:t>
      </w:r>
      <w:r>
        <w:t xml:space="preserve"> </w:t>
      </w:r>
      <w:r>
        <w:t xml:space="preserve">whose transition-state values are θ₁ = 8.2° and θ₂ = 18.6°, with the criterion</w:t>
      </w:r>
      <w:r>
        <w:t xml:space="preserve"> </w:t>
      </w:r>
      <w:r>
        <w:t xml:space="preserve">allowing</w:t>
      </w:r>
      <w:r>
        <w:t xml:space="preserve"> </w:t>
      </w:r>
      <w:r>
        <w:t xml:space="preserve">“</w:t>
      </w:r>
      <w:r>
        <w:t xml:space="preserve">±20° deviations … from those of the TS</w:t>
      </w:r>
      <w:r>
        <w:t xml:space="preserve">”</w:t>
      </w:r>
      <w:r>
        <w:t xml:space="preserve">. I verified the reactant</w:t>
      </w:r>
      <w:r>
        <w:t xml:space="preserve"> </w:t>
      </w:r>
      <w:r>
        <w:t xml:space="preserve">geometry against all three conditions using</w:t>
      </w:r>
      <w:r>
        <w:t xml:space="preserve"> </w:t>
      </w:r>
      <w:r>
        <w:rPr>
          <w:rStyle w:val="VerbatimChar"/>
        </w:rPr>
        <w:t xml:space="preserve">step11f_nac_check.py</w:t>
      </w:r>
      <w:r>
        <w:t xml:space="preserve">, obtaining</w:t>
      </w:r>
      <w:r>
        <w:t xml:space="preserve"> </w:t>
      </w:r>
      <w:r>
        <w:t xml:space="preserve">θ₁ = 17.0° and θ₂ = 29.0°, deviations of 8.8° and 10.4° respectively, and a</w:t>
      </w:r>
      <w:r>
        <w:t xml:space="preserve"> </w:t>
      </w:r>
      <w:r>
        <w:t xml:space="preserve">forming-bond distance of 3.124 Å. The same script reproduces θ₁ = 12.9° and</w:t>
      </w:r>
      <w:r>
        <w:t xml:space="preserve"> </w:t>
      </w:r>
      <w:r>
        <w:t xml:space="preserve">θ₂ = 18.2° for the transition state used here, against the values of 8.2° and</w:t>
      </w:r>
      <w:r>
        <w:t xml:space="preserve"> </w:t>
      </w:r>
      <w:r>
        <w:t xml:space="preserve">18.6° reported by Hur and Bruice, which establishes that the angles it measures</w:t>
      </w:r>
      <w:r>
        <w:t xml:space="preserve"> </w:t>
      </w:r>
      <w:r>
        <w:t xml:space="preserve">are theirs.</w:t>
      </w:r>
    </w:p>
    <w:bookmarkEnd w:id="21"/>
    <w:bookmarkStart w:id="22" w:name="X1584ae474a1d6af9c68d8e3279227ee3e1fbe53"/>
    <w:p>
      <w:pPr>
        <w:pStyle w:val="Heading2"/>
      </w:pPr>
      <w:r>
        <w:t xml:space="preserve">X.1.3 The origin of catalysis in this enzyme</w:t>
      </w:r>
    </w:p>
    <w:p>
      <w:pPr>
        <w:pStyle w:val="FirstParagraph"/>
      </w:pPr>
      <w:r>
        <w:t xml:space="preserve">The conformational preorganisation described above is the subject of an</w:t>
      </w:r>
      <w:r>
        <w:t xml:space="preserve"> </w:t>
      </w:r>
      <w:r>
        <w:t xml:space="preserve">unresolved disagreement about the origin of the rate enhancement in this enzyme,</w:t>
      </w:r>
      <w:r>
        <w:t xml:space="preserve"> </w:t>
      </w:r>
      <w:r>
        <w:t xml:space="preserve">and I state here where this work stands relative to it.</w:t>
      </w:r>
    </w:p>
    <w:p>
      <w:pPr>
        <w:pStyle w:val="BodyText"/>
      </w:pPr>
      <w:r>
        <w:t xml:space="preserve">Hur and Bruice (2003) attribute the enzyme’s advantage principally to selection</w:t>
      </w:r>
      <w:r>
        <w:t xml:space="preserve"> </w:t>
      </w:r>
      <w:r>
        <w:t xml:space="preserve">of reactive conformers. Calculating free energies of NAC formation by</w:t>
      </w:r>
      <w:r>
        <w:t xml:space="preserve"> </w:t>
      </w:r>
      <w:r>
        <w:t xml:space="preserve">thermodynamic integration, they report that ΔG°_N “in the water and the enzymatic</w:t>
      </w:r>
      <w:r>
        <w:t xml:space="preserve"> </w:t>
      </w:r>
      <w:r>
        <w:t xml:space="preserve">reactions is 8.4 and 0.6 kcal/mol, respectively, and accordingly, ΔΔG°_N is 7.8</w:t>
      </w:r>
      <w:r>
        <w:t xml:space="preserve"> </w:t>
      </w:r>
      <w:r>
        <w:t xml:space="preserve">kcal/mol”, and conclude that</w:t>
      </w:r>
      <w:r>
        <w:t xml:space="preserve"> </w:t>
      </w:r>
      <w:r>
        <w:t xml:space="preserve">“</w:t>
      </w:r>
      <w:r>
        <w:t xml:space="preserve">because the experimentally determined ΔΔG‡ is 9</w:t>
      </w:r>
      <w:r>
        <w:t xml:space="preserve"> </w:t>
      </w:r>
      <w:r>
        <w:t xml:space="preserve">kcal/mol, the advantage of the enzymatic reaction was concluded to be primarily</w:t>
      </w:r>
      <w:r>
        <w:t xml:space="preserve"> </w:t>
      </w:r>
      <w:r>
        <w:t xml:space="preserve">in preferential formation of NACs.</w:t>
      </w:r>
      <w:r>
        <w:t xml:space="preserve">”</w:t>
      </w:r>
    </w:p>
    <w:p>
      <w:pPr>
        <w:pStyle w:val="BodyText"/>
      </w:pPr>
      <w:r>
        <w:t xml:space="preserve">Claeyssens</w:t>
      </w:r>
      <w:r>
        <w:t xml:space="preserve"> </w:t>
      </w:r>
      <w:r>
        <w:rPr>
          <w:iCs/>
          <w:i/>
        </w:rPr>
        <w:t xml:space="preserve">et al.</w:t>
      </w:r>
      <w:r>
        <w:t xml:space="preserve"> </w:t>
      </w:r>
      <w:r>
        <w:t xml:space="preserve">(2011) reach the opposite conclusion from multiple QM/MM</w:t>
      </w:r>
      <w:r>
        <w:t xml:space="preserve"> </w:t>
      </w:r>
      <w:r>
        <w:t xml:space="preserve">reaction pathways, attributing catalysis mainly to differential transition-state</w:t>
      </w:r>
      <w:r>
        <w:t xml:space="preserve"> </w:t>
      </w:r>
      <w:r>
        <w:t xml:space="preserve">stabilisation and estimating the conformational contribution at 0.9–3.6</w:t>
      </w:r>
      <w:r>
        <w:t xml:space="preserve"> </w:t>
      </w:r>
      <w:r>
        <w:t xml:space="preserve">kcal mol⁻¹ of the experimental ΔΔH‡ of 8 kcal mol⁻¹.</w:t>
      </w:r>
    </w:p>
    <w:p>
      <w:pPr>
        <w:pStyle w:val="BodyText"/>
      </w:pPr>
      <w:r>
        <w:t xml:space="preserve">Experimental evidence bears on the question. Burschowsky</w:t>
      </w:r>
      <w:r>
        <w:t xml:space="preserve"> </w:t>
      </w:r>
      <w:r>
        <w:rPr>
          <w:iCs/>
          <w:i/>
        </w:rPr>
        <w:t xml:space="preserve">et al.</w:t>
      </w:r>
      <w:r>
        <w:t xml:space="preserve"> </w:t>
      </w:r>
      <w:r>
        <w:t xml:space="preserve">(2014)</w:t>
      </w:r>
      <w:r>
        <w:t xml:space="preserve"> </w:t>
      </w:r>
      <w:r>
        <w:t xml:space="preserve">replaced the cationic active-site Arg90 with neutral citrulline and reported a</w:t>
      </w:r>
      <w:r>
        <w:t xml:space="preserve"> </w:t>
      </w:r>
      <w:r>
        <w:t xml:space="preserve">variant that</w:t>
      </w:r>
      <w:r>
        <w:t xml:space="preserve"> </w:t>
      </w:r>
      <w:r>
        <w:t xml:space="preserve">“</w:t>
      </w:r>
      <w:r>
        <w:t xml:space="preserve">is a poor catalyst even though it effectively preorganizes</w:t>
      </w:r>
      <w:r>
        <w:t xml:space="preserve"> </w:t>
      </w:r>
      <w:r>
        <w:t xml:space="preserve">chorismate for the reaction</w:t>
      </w:r>
      <w:r>
        <w:t xml:space="preserve">”</w:t>
      </w:r>
      <w:r>
        <w:t xml:space="preserve">, concluding that an active site</w:t>
      </w:r>
      <w:r>
        <w:t xml:space="preserve"> </w:t>
      </w:r>
      <w:r>
        <w:t xml:space="preserve">“</w:t>
      </w:r>
      <w:r>
        <w:t xml:space="preserve">which is only</w:t>
      </w:r>
      <w:r>
        <w:t xml:space="preserve"> </w:t>
      </w:r>
      <w:r>
        <w:t xml:space="preserve">complementary in shape to a reactive substrate conformer, is insufficient for</w:t>
      </w:r>
      <w:r>
        <w:t xml:space="preserve"> </w:t>
      </w:r>
      <w:r>
        <w:t xml:space="preserve">effective catalysis</w:t>
      </w:r>
      <w:r>
        <w:t xml:space="preserve">”</w:t>
      </w:r>
      <w:r>
        <w:t xml:space="preserve">.</w:t>
      </w:r>
    </w:p>
    <w:p>
      <w:pPr>
        <w:pStyle w:val="BodyText"/>
      </w:pPr>
      <w:r>
        <w:t xml:space="preserve">I do not adjudicate the quantitative split, and the design does not depend on the</w:t>
      </w:r>
      <w:r>
        <w:t xml:space="preserve"> </w:t>
      </w:r>
      <w:r>
        <w:t xml:space="preserve">outcome. The geometries used here already occupy the reactive pseudo-diaxial</w:t>
      </w:r>
      <w:r>
        <w:t xml:space="preserve"> </w:t>
      </w:r>
      <w:r>
        <w:t xml:space="preserve">conformation, so whatever the conformational term is worth it is contained in the</w:t>
      </w:r>
      <w:r>
        <w:t xml:space="preserve"> </w:t>
      </w:r>
      <w:r>
        <w:t xml:space="preserve">reference state and is not available for an external field to recover. A designed</w:t>
      </w:r>
      <w:r>
        <w:t xml:space="preserve"> </w:t>
      </w:r>
      <w:r>
        <w:t xml:space="preserve">environment acts on the electrostatic discrimination between reactant and</w:t>
      </w:r>
      <w:r>
        <w:t xml:space="preserve"> </w:t>
      </w:r>
      <w:r>
        <w:t xml:space="preserve">transition state at fixed geometry, which is the quantity Section X.2 defines.</w:t>
      </w:r>
    </w:p>
    <w:p>
      <w:pPr>
        <w:pStyle w:val="BodyText"/>
      </w:pPr>
      <w:r>
        <w:rPr>
          <w:rStyle w:val="VerbatimChar"/>
        </w:rPr>
        <w:t xml:space="preserve">[DECISION REQUIRED — whether the design carries a second, geometric layer. An earlier draft stated that the architecture of Chapter Y separates conformational and electrostatic contributions by construction, using a neutral cradle to supply preorganisation. If that layer is retained, the results of Chapter Y can be read against the disagreement above, since they would measure the two contributions separately. If it is not, this section should state only that the conformational term is fixed in the reference state, and the sentence connecting the work to the disagreement should be removed.]</w:t>
      </w:r>
    </w:p>
    <w:bookmarkEnd w:id="22"/>
    <w:bookmarkStart w:id="23" w:name="X75073ebbdda9161be4db01e7d5374579f6983dc"/>
    <w:p>
      <w:pPr>
        <w:pStyle w:val="Heading2"/>
      </w:pPr>
      <w:r>
        <w:t xml:space="preserve">X.1.4 Potential-energy barriers as the working currency</w:t>
      </w:r>
    </w:p>
    <w:p>
      <w:pPr>
        <w:pStyle w:val="FirstParagraph"/>
      </w:pPr>
      <w:r>
        <w:t xml:space="preserve">Every barrier reported in this thesis is a potential-energy difference rather</w:t>
      </w:r>
      <w:r>
        <w:t xml:space="preserve"> </w:t>
      </w:r>
      <w:r>
        <w:t xml:space="preserve">than a free energy, and the comparison to experiment is therefore incomplete by</w:t>
      </w:r>
      <w:r>
        <w:t xml:space="preserve"> </w:t>
      </w:r>
      <w:r>
        <w:t xml:space="preserve">the zero-point, thermal and entropic terms.</w:t>
      </w:r>
    </w:p>
    <w:p>
      <w:pPr>
        <w:pStyle w:val="BodyText"/>
      </w:pPr>
      <w:r>
        <w:t xml:space="preserve">Kast, Asif-Ullah and Hilvert (1996) measured the activation parameters for BsCM</w:t>
      </w:r>
      <w:r>
        <w:t xml:space="preserve"> </w:t>
      </w:r>
      <w:r>
        <w:t xml:space="preserve">and obtained ΔS‡ of −9.1 ± 1.2 e.u., which they describe as</w:t>
      </w:r>
      <w:r>
        <w:t xml:space="preserve"> </w:t>
      </w:r>
      <w:r>
        <w:t xml:space="preserve">“</w:t>
      </w:r>
      <w:r>
        <w:t xml:space="preserve">nearly as</w:t>
      </w:r>
      <w:r>
        <w:t xml:space="preserve"> </w:t>
      </w:r>
      <w:r>
        <w:t xml:space="preserve">unfavorable as the activation entropy for the uncatalyzed process</w:t>
      </w:r>
      <w:r>
        <w:t xml:space="preserve">”</w:t>
      </w:r>
      <w:r>
        <w:t xml:space="preserve">. The entropic</w:t>
      </w:r>
      <w:r>
        <w:t xml:space="preserve"> </w:t>
      </w:r>
      <w:r>
        <w:t xml:space="preserve">contribution is therefore close to equal in the enzyme and in solution and</w:t>
      </w:r>
      <w:r>
        <w:t xml:space="preserve"> </w:t>
      </w:r>
      <w:r>
        <w:t xml:space="preserve">largely cancels when the two are compared. At 298 K that measured ΔS‡ corresponds</w:t>
      </w:r>
      <w:r>
        <w:t xml:space="preserve"> </w:t>
      </w:r>
      <w:r>
        <w:t xml:space="preserve">to a TΔS‡ contribution of 2.7 ± 0.4 kcal mol⁻¹ to ΔG‡, an offset applying to an</w:t>
      </w:r>
      <w:r>
        <w:t xml:space="preserve"> </w:t>
      </w:r>
      <w:r>
        <w:t xml:space="preserve">absolute barrier and not to a difference between environments.</w:t>
      </w:r>
    </w:p>
    <w:p>
      <w:pPr>
        <w:pStyle w:val="BodyText"/>
      </w:pPr>
      <w:r>
        <w:t xml:space="preserve">Claeyssens</w:t>
      </w:r>
      <w:r>
        <w:t xml:space="preserve"> </w:t>
      </w:r>
      <w:r>
        <w:rPr>
          <w:iCs/>
          <w:i/>
        </w:rPr>
        <w:t xml:space="preserve">et al.</w:t>
      </w:r>
      <w:r>
        <w:t xml:space="preserve"> </w:t>
      </w:r>
      <w:r>
        <w:t xml:space="preserve">(2011) reach the same position, judging that</w:t>
      </w:r>
      <w:r>
        <w:t xml:space="preserve"> </w:t>
      </w:r>
      <w:r>
        <w:t xml:space="preserve">“</w:t>
      </w:r>
      <w:r>
        <w:t xml:space="preserve">entropic,</w:t>
      </w:r>
      <w:r>
        <w:t xml:space="preserve"> </w:t>
      </w:r>
      <w:r>
        <w:t xml:space="preserve">zero-point and thermal contributions to the barrier are relatively small for the</w:t>
      </w:r>
      <w:r>
        <w:t xml:space="preserve"> </w:t>
      </w:r>
      <w:r>
        <w:t xml:space="preserve">chorismate to prephenate reaction, and importantly are probably similar in the</w:t>
      </w:r>
      <w:r>
        <w:t xml:space="preserve"> </w:t>
      </w:r>
      <w:r>
        <w:t xml:space="preserve">enzyme and in water</w:t>
      </w:r>
      <w:r>
        <w:t xml:space="preserve">”</w:t>
      </w:r>
      <w:r>
        <w:t xml:space="preserve">, and that</w:t>
      </w:r>
      <w:r>
        <w:t xml:space="preserve"> </w:t>
      </w:r>
      <w:r>
        <w:t xml:space="preserve">“</w:t>
      </w:r>
      <w:r>
        <w:t xml:space="preserve">catalysis by chorismate mutase can therefore be</w:t>
      </w:r>
      <w:r>
        <w:t xml:space="preserve"> </w:t>
      </w:r>
      <w:r>
        <w:t xml:space="preserve">understood by comparison of potential energy barriers.</w:t>
      </w:r>
      <w:r>
        <w:t xml:space="preserve">”</w:t>
      </w:r>
    </w:p>
    <w:p>
      <w:pPr>
        <w:pStyle w:val="BodyText"/>
      </w:pPr>
      <w:r>
        <w:t xml:space="preserve">Comparisons between designs computed at identical level on identical geometries</w:t>
      </w:r>
      <w:r>
        <w:t xml:space="preserve"> </w:t>
      </w:r>
      <w:r>
        <w:t xml:space="preserve">are therefore unaffected by the omitted terms. Comparisons against an</w:t>
      </w:r>
      <w:r>
        <w:t xml:space="preserve"> </w:t>
      </w:r>
      <w:r>
        <w:t xml:space="preserve">experimental ΔH‡ carry the offset above.</w:t>
      </w:r>
    </w:p>
    <w:bookmarkEnd w:id="23"/>
    <w:bookmarkStart w:id="24" w:name="x.1.5-level-of-theory"/>
    <w:p>
      <w:pPr>
        <w:pStyle w:val="Heading2"/>
      </w:pPr>
      <w:r>
        <w:t xml:space="preserve">X.1.5 Level of theory</w:t>
      </w:r>
    </w:p>
    <w:p>
      <w:pPr>
        <w:pStyle w:val="FirstParagraph"/>
      </w:pPr>
      <w:r>
        <w:t xml:space="preserve">I performed all electronic structure calculations in this chapter with the B3LYP</w:t>
      </w:r>
      <w:r>
        <w:t xml:space="preserve"> </w:t>
      </w:r>
      <w:r>
        <w:t xml:space="preserve">hybrid functional, combining Becke’s exact-exchange hybrid (Becke, 1993) with the</w:t>
      </w:r>
      <w:r>
        <w:t xml:space="preserve"> </w:t>
      </w:r>
      <w:r>
        <w:t xml:space="preserve">correlation functional of Lee, Yang and Parr (1988) in the parameterisation</w:t>
      </w:r>
      <w:r>
        <w:t xml:space="preserve"> </w:t>
      </w:r>
      <w:r>
        <w:t xml:space="preserve">described by Stephens</w:t>
      </w:r>
      <w:r>
        <w:t xml:space="preserve"> </w:t>
      </w:r>
      <w:r>
        <w:rPr>
          <w:iCs/>
          <w:i/>
        </w:rPr>
        <w:t xml:space="preserve">et al.</w:t>
      </w:r>
      <w:r>
        <w:t xml:space="preserve"> </w:t>
      </w:r>
      <w:r>
        <w:t xml:space="preserve">(1994). I treated dispersion by Grimme’s D3</w:t>
      </w:r>
      <w:r>
        <w:t xml:space="preserve"> </w:t>
      </w:r>
      <w:r>
        <w:t xml:space="preserve">correction (Grimme</w:t>
      </w:r>
      <w:r>
        <w:t xml:space="preserve"> </w:t>
      </w:r>
      <w:r>
        <w:rPr>
          <w:iCs/>
          <w:i/>
        </w:rPr>
        <w:t xml:space="preserve">et al.</w:t>
      </w:r>
      <w:r>
        <w:t xml:space="preserve">, 2010) with Becke–Johnson damping (Grimme, Ehrlich</w:t>
      </w:r>
      <w:r>
        <w:t xml:space="preserve"> </w:t>
      </w:r>
      <w:r>
        <w:t xml:space="preserve">and Goerigk, 2011), used the def2-SVP orbital basis (Weigend and Ahlrichs, 2005)</w:t>
      </w:r>
      <w:r>
        <w:t xml:space="preserve"> </w:t>
      </w:r>
      <w:r>
        <w:t xml:space="preserve">with the def2/J Coulomb-fitting auxiliary basis (Weigend, 2006), accelerated</w:t>
      </w:r>
      <w:r>
        <w:t xml:space="preserve"> </w:t>
      </w:r>
      <w:r>
        <w:t xml:space="preserve">Coulomb and exchange contributions by the RIJCOSX approximation (Neese</w:t>
      </w:r>
      <w:r>
        <w:t xml:space="preserve"> </w:t>
      </w:r>
      <w:r>
        <w:rPr>
          <w:iCs/>
          <w:i/>
        </w:rPr>
        <w:t xml:space="preserve">et al.</w:t>
      </w:r>
      <w:r>
        <w:t xml:space="preserve">,</w:t>
      </w:r>
      <w:r>
        <w:t xml:space="preserve"> </w:t>
      </w:r>
      <w:r>
        <w:t xml:space="preserve">2009), and applied the conductor-like polarisable continuum model (Barone and</w:t>
      </w:r>
      <w:r>
        <w:t xml:space="preserve"> </w:t>
      </w:r>
      <w:r>
        <w:t xml:space="preserve">Cossi, 1998) as implemented in ORCA with the Gaussian-charge cavity scheme of</w:t>
      </w:r>
      <w:r>
        <w:t xml:space="preserve"> </w:t>
      </w:r>
      <w:r>
        <w:t xml:space="preserve">García-Ratés and Neese (2020). All calculations used ORCA 6.0.1 (Neese, 2025). I</w:t>
      </w:r>
      <w:r>
        <w:t xml:space="preserve"> </w:t>
      </w:r>
      <w:r>
        <w:t xml:space="preserve">held this level fixed for every calculation reported in the thesis.</w:t>
      </w:r>
    </w:p>
    <w:p>
      <w:pPr>
        <w:pStyle w:val="BodyText"/>
      </w:pPr>
      <w:r>
        <w:t xml:space="preserve">The accuracy of the RIJCOSX approximation bears on the quantities computed in</w:t>
      </w:r>
      <w:r>
        <w:t xml:space="preserve"> </w:t>
      </w:r>
      <w:r>
        <w:t xml:space="preserve">this chapter, which are small. Neese</w:t>
      </w:r>
      <w:r>
        <w:t xml:space="preserve"> </w:t>
      </w:r>
      <w:r>
        <w:rPr>
          <w:iCs/>
          <w:i/>
        </w:rPr>
        <w:t xml:space="preserve">et al.</w:t>
      </w:r>
      <w:r>
        <w:t xml:space="preserve"> </w:t>
      </w:r>
      <w:r>
        <w:t xml:space="preserve">(2009) report that with their</w:t>
      </w:r>
      <w:r>
        <w:t xml:space="preserve"> </w:t>
      </w:r>
      <w:r>
        <w:t xml:space="preserve">algorithm</w:t>
      </w:r>
      <w:r>
        <w:t xml:space="preserve"> </w:t>
      </w:r>
      <w:r>
        <w:t xml:space="preserve">“</w:t>
      </w:r>
      <w:r>
        <w:t xml:space="preserve">reaction energies agree to within 0.2 kcal/mol (Hartree–Fock) or 0.05</w:t>
      </w:r>
      <w:r>
        <w:t xml:space="preserve"> </w:t>
      </w:r>
      <w:r>
        <w:t xml:space="preserve">kcal/mol (hybrid DFT) with the canonical values</w:t>
      </w:r>
      <w:r>
        <w:t xml:space="preserve">”</w:t>
      </w:r>
      <w:r>
        <w:t xml:space="preserve">, and that optimised geometries</w:t>
      </w:r>
      <w:r>
        <w:t xml:space="preserve"> </w:t>
      </w:r>
      <w:r>
        <w:t xml:space="preserve">“</w:t>
      </w:r>
      <w:r>
        <w:t xml:space="preserve">differ by less than 0.3 pm in the bond distances and 0.5° in the bond angles</w:t>
      </w:r>
      <w:r>
        <w:t xml:space="preserve">”</w:t>
      </w:r>
      <w:r>
        <w:t xml:space="preserve">.</w:t>
      </w:r>
      <w:r>
        <w:t xml:space="preserve"> </w:t>
      </w:r>
      <w:r>
        <w:t xml:space="preserve">The difference potentials mapped in Section X.4 span approximately ±3.8</w:t>
      </w:r>
      <w:r>
        <w:t xml:space="preserve"> </w:t>
      </w:r>
      <w:r>
        <w:t xml:space="preserve">kcal mol⁻¹ per unit charge, placing the approximation about two orders of</w:t>
      </w:r>
      <w:r>
        <w:t xml:space="preserve"> </w:t>
      </w:r>
      <w:r>
        <w:t xml:space="preserve">magnitude below the signal.</w:t>
      </w:r>
    </w:p>
    <w:bookmarkEnd w:id="24"/>
    <w:bookmarkStart w:id="27" w:name="x.1.6-the-dielectric-environment"/>
    <w:p>
      <w:pPr>
        <w:pStyle w:val="Heading2"/>
      </w:pPr>
      <w:r>
        <w:t xml:space="preserve">X.1.6 The dielectric environment</w:t>
      </w:r>
    </w:p>
    <w:p>
      <w:pPr>
        <w:pStyle w:val="FirstParagraph"/>
      </w:pPr>
      <w:r>
        <w:t xml:space="preserve">I placed the substrate in a conductor-like polarisable continuum at a dielectric</w:t>
      </w:r>
      <w:r>
        <w:t xml:space="preserve"> </w:t>
      </w:r>
      <w:r>
        <w:t xml:space="preserve">constant of 4 for every calculation in this chapter, on environmental grounds.</w:t>
      </w:r>
      <w:r>
        <w:t xml:space="preserve"> </w:t>
      </w:r>
      <w:r>
        <w:t xml:space="preserve">The substrate occupies the interior of a protein, and the reference barrier is</w:t>
      </w:r>
      <w:r>
        <w:t xml:space="preserve"> </w:t>
      </w:r>
      <w:r>
        <w:t xml:space="preserve">set against an enzyme barrier computed in that protein. A vacuum reference would</w:t>
      </w:r>
      <w:r>
        <w:t xml:space="preserve"> </w:t>
      </w:r>
      <w:r>
        <w:t xml:space="preserve">differ from that comparison in lacking the enzyme’s structured field, which is</w:t>
      </w:r>
      <w:r>
        <w:t xml:space="preserve"> </w:t>
      </w:r>
      <w:r>
        <w:t xml:space="preserve">the difference this work isolates, and additionally in lacking any dielectric</w:t>
      </w:r>
      <w:r>
        <w:t xml:space="preserve"> </w:t>
      </w:r>
      <w:r>
        <w:t xml:space="preserve">response, which would confound two effects. The continuum supplies the minimum</w:t>
      </w:r>
      <w:r>
        <w:t xml:space="preserve"> </w:t>
      </w:r>
      <w:r>
        <w:t xml:space="preserve">environment that renders the two barriers comparable.</w:t>
      </w:r>
    </w:p>
    <w:p>
      <w:pPr>
        <w:pStyle w:val="BodyText"/>
      </w:pPr>
      <w:r>
        <w:t xml:space="preserve">The value ε = 4 follows the convention of quantum-chemical cluster modelling of</w:t>
      </w:r>
      <w:r>
        <w:t xml:space="preserve"> </w:t>
      </w:r>
      <w:r>
        <w:t xml:space="preserve">enzymes. Himo (2017) states its status plainly:</w:t>
      </w:r>
      <w:r>
        <w:t xml:space="preserve"> </w:t>
      </w:r>
      <w:r>
        <w:t xml:space="preserve">“</w:t>
      </w:r>
      <w:r>
        <w:t xml:space="preserve">in most applications, ε has been</w:t>
      </w:r>
      <w:r>
        <w:t xml:space="preserve"> </w:t>
      </w:r>
      <w:r>
        <w:t xml:space="preserve">set to equal 4, which is somewhat arbitrary</w:t>
      </w:r>
      <w:r>
        <w:t xml:space="preserve">”</w:t>
      </w:r>
      <w:r>
        <w:t xml:space="preserve">, defended on the grounds that</w:t>
      </w:r>
      <w:r>
        <w:t xml:space="preserve"> </w:t>
      </w:r>
      <w:r>
        <w:t xml:space="preserve">“</w:t>
      </w:r>
      <w:r>
        <w:t xml:space="preserve">the</w:t>
      </w:r>
      <w:r>
        <w:t xml:space="preserve"> </w:t>
      </w:r>
      <w:r>
        <w:t xml:space="preserve">solvation effect saturates quite rapidly with the size of the model, and the</w:t>
      </w:r>
      <w:r>
        <w:t xml:space="preserve"> </w:t>
      </w:r>
      <w:r>
        <w:t xml:space="preserve">approximation is therefore expected to work better with increasing model size.</w:t>
      </w:r>
      <w:r>
        <w:t xml:space="preserve">”</w:t>
      </w:r>
      <w:r>
        <w:t xml:space="preserve"> </w:t>
      </w:r>
      <w:r>
        <w:t xml:space="preserve">He attaches a condition:</w:t>
      </w:r>
      <w:r>
        <w:t xml:space="preserve"> </w:t>
      </w:r>
      <w:r>
        <w:t xml:space="preserve">“</w:t>
      </w:r>
      <w:r>
        <w:t xml:space="preserve">if the obtained energies in the cluster model are very</w:t>
      </w:r>
      <w:r>
        <w:t xml:space="preserve"> </w:t>
      </w:r>
      <w:r>
        <w:t xml:space="preserve">sensitive to the choice of the dielectric constant, then conclusions involving</w:t>
      </w:r>
      <w:r>
        <w:t xml:space="preserve"> </w:t>
      </w:r>
      <w:r>
        <w:t xml:space="preserve">these energies must be considered as weak.</w:t>
      </w:r>
      <w:r>
        <w:t xml:space="preserve">”</w:t>
      </w:r>
      <w:r>
        <w:t xml:space="preserve"> </w:t>
      </w:r>
      <w:r>
        <w:t xml:space="preserve">That condition applies with force to</w:t>
      </w:r>
      <w:r>
        <w:t xml:space="preserve"> </w:t>
      </w:r>
      <w:r>
        <w:t xml:space="preserve">a 24-atom model, which lies at the small-model end of the range where the</w:t>
      </w:r>
      <w:r>
        <w:t xml:space="preserve"> </w:t>
      </w:r>
      <w:r>
        <w:t xml:space="preserve">saturation argument is weakest, so I measured the sensitivity rather than</w:t>
      </w:r>
      <w:r>
        <w:t xml:space="preserve"> </w:t>
      </w:r>
      <w:r>
        <w:t xml:space="preserve">assuming it (X.1.8).</w:t>
      </w:r>
    </w:p>
    <w:bookmarkStart w:id="25" w:name="X1c2ca9c3d8b922d972b26b8d63ec7cf8fca1ad8"/>
    <w:p>
      <w:pPr>
        <w:pStyle w:val="Heading3"/>
      </w:pPr>
      <w:r>
        <w:t xml:space="preserve">X.1.6.1 Consequences of a dianionic substrate</w:t>
      </w:r>
    </w:p>
    <w:p>
      <w:pPr>
        <w:pStyle w:val="FirstParagraph"/>
      </w:pPr>
      <w:r>
        <w:t xml:space="preserve">Dreuw and Cederbaum (2002) review the behaviour of multiply charged anions and</w:t>
      </w:r>
      <w:r>
        <w:t xml:space="preserve"> </w:t>
      </w:r>
      <w:r>
        <w:t xml:space="preserve">report that, because the excess charges repel one another,</w:t>
      </w:r>
      <w:r>
        <w:t xml:space="preserve"> </w:t>
      </w:r>
      <w:r>
        <w:t xml:space="preserve">“</w:t>
      </w:r>
      <w:r>
        <w:t xml:space="preserve">most of the small di-</w:t>
      </w:r>
      <w:r>
        <w:t xml:space="preserve"> </w:t>
      </w:r>
      <w:r>
        <w:t xml:space="preserve">and trianions known from condensed phases are unstable with respect to electron</w:t>
      </w:r>
      <w:r>
        <w:t xml:space="preserve"> </w:t>
      </w:r>
      <w:r>
        <w:t xml:space="preserve">emission and thus emit spontaneously one electron, when they are brought into the</w:t>
      </w:r>
      <w:r>
        <w:t xml:space="preserve"> </w:t>
      </w:r>
      <w:r>
        <w:t xml:space="preserve">gas phase.</w:t>
      </w:r>
      <w:r>
        <w:t xml:space="preserve">”</w:t>
      </w:r>
      <w:r>
        <w:t xml:space="preserve"> </w:t>
      </w:r>
      <w:r>
        <w:t xml:space="preserve">The controlling variable is separation, since</w:t>
      </w:r>
      <w:r>
        <w:t xml:space="preserve"> </w:t>
      </w:r>
      <w:r>
        <w:t xml:space="preserve">“</w:t>
      </w:r>
      <w:r>
        <w:t xml:space="preserve">the electrostatic</w:t>
      </w:r>
      <w:r>
        <w:t xml:space="preserve"> </w:t>
      </w:r>
      <w:r>
        <w:t xml:space="preserve">repulsion decreases when the spatial size of the system increases</w:t>
      </w:r>
      <w:r>
        <w:t xml:space="preserve">”</w:t>
      </w:r>
      <w:r>
        <w:t xml:space="preserve">, so larger</w:t>
      </w:r>
      <w:r>
        <w:t xml:space="preserve"> </w:t>
      </w:r>
      <w:r>
        <w:t xml:space="preserve">species able to place their charges far apart can be stable in isolation.</w:t>
      </w:r>
    </w:p>
    <w:p>
      <w:pPr>
        <w:pStyle w:val="BodyText"/>
      </w:pPr>
      <w:r>
        <w:t xml:space="preserve">Chorismate belongs structurally to the favourable class. Dreuw and Cederbaum</w:t>
      </w:r>
      <w:r>
        <w:t xml:space="preserve"> </w:t>
      </w:r>
      <w:r>
        <w:t xml:space="preserve">single out</w:t>
      </w:r>
      <w:r>
        <w:t xml:space="preserve"> </w:t>
      </w:r>
      <w:r>
        <w:t xml:space="preserve">“</w:t>
      </w:r>
      <w:r>
        <w:t xml:space="preserve">long-chain aliphatic dicarboxylate dianions, which obviously acquire</w:t>
      </w:r>
      <w:r>
        <w:t xml:space="preserve"> </w:t>
      </w:r>
      <w:r>
        <w:t xml:space="preserve">their electronic stability through charge localization at the ends of the chain</w:t>
      </w:r>
      <w:r>
        <w:t xml:space="preserve"> </w:t>
      </w:r>
      <w:r>
        <w:t xml:space="preserve">in separate electron affine carboxylate groups.</w:t>
      </w:r>
      <w:r>
        <w:t xml:space="preserve">”</w:t>
      </w:r>
      <w:r>
        <w:t xml:space="preserve"> </w:t>
      </w:r>
      <w:r>
        <w:t xml:space="preserve">Chorismate carries two</w:t>
      </w:r>
      <w:r>
        <w:t xml:space="preserve"> </w:t>
      </w:r>
      <w:r>
        <w:t xml:space="preserve">carboxylate groups, on the ring and on the enolpyruvyl side chain, held apart by</w:t>
      </w:r>
      <w:r>
        <w:t xml:space="preserve"> </w:t>
      </w:r>
      <w:r>
        <w:t xml:space="preserve">the molecular framework. I neither assume its stability as an isolated dianion</w:t>
      </w:r>
      <w:r>
        <w:t xml:space="preserve"> </w:t>
      </w:r>
      <w:r>
        <w:t xml:space="preserve">nor treat it as behaving like the small dianions that autodetach.</w:t>
      </w:r>
    </w:p>
    <w:p>
      <w:pPr>
        <w:pStyle w:val="BodyText"/>
      </w:pPr>
      <w:r>
        <w:t xml:space="preserve">Two further points from that review bear on later chapters. A multiply charged</w:t>
      </w:r>
      <w:r>
        <w:t xml:space="preserve"> </w:t>
      </w:r>
      <w:r>
        <w:t xml:space="preserve">anion that is electronically unstable is typically long-lived, because a</w:t>
      </w:r>
      <w:r>
        <w:t xml:space="preserve"> </w:t>
      </w:r>
      <w:r>
        <w:t xml:space="preserve">departing electron must escape a repulsive Coulomb barrier, so instability in</w:t>
      </w:r>
      <w:r>
        <w:t xml:space="preserve"> </w:t>
      </w:r>
      <w:r>
        <w:t xml:space="preserve">that sense does not render a computed density unusable. Separately, the same</w:t>
      </w:r>
      <w:r>
        <w:t xml:space="preserve"> </w:t>
      </w:r>
      <w:r>
        <w:t xml:space="preserve">intramolecular repulsion</w:t>
      </w:r>
      <w:r>
        <w:t xml:space="preserve"> </w:t>
      </w:r>
      <w:r>
        <w:t xml:space="preserve">“</w:t>
      </w:r>
      <w:r>
        <w:t xml:space="preserve">supports the dissociation of the molecular framework</w:t>
      </w:r>
      <w:r>
        <w:t xml:space="preserve"> </w:t>
      </w:r>
      <w:r>
        <w:t xml:space="preserve">into two monoanionic fragments.</w:t>
      </w:r>
      <w:r>
        <w:t xml:space="preserve">”</w:t>
      </w:r>
      <w:r>
        <w:t xml:space="preserve"> </w:t>
      </w:r>
      <w:r>
        <w:t xml:space="preserve">Dreuw and Cederbaum describe this channel as</w:t>
      </w:r>
      <w:r>
        <w:t xml:space="preserve"> </w:t>
      </w:r>
      <w:r>
        <w:t xml:space="preserve">intrinsic to the species and do not treat field-induced dissociation. Whether the</w:t>
      </w:r>
      <w:r>
        <w:t xml:space="preserve"> </w:t>
      </w:r>
      <w:r>
        <w:t xml:space="preserve">fragmentation reported in Chapter Z proceeds by this channel is assessed there</w:t>
      </w:r>
      <w:r>
        <w:t xml:space="preserve"> </w:t>
      </w:r>
      <w:r>
        <w:t xml:space="preserve">against the committed geometries and is not assumed here.</w:t>
      </w:r>
    </w:p>
    <w:bookmarkEnd w:id="25"/>
    <w:bookmarkStart w:id="26" w:name="Xce4a64e02f1f900ec08a77e42cdd1877074dc00"/>
    <w:p>
      <w:pPr>
        <w:pStyle w:val="Heading3"/>
      </w:pPr>
      <w:r>
        <w:t xml:space="preserve">X.1.6.2 Interpretation of the orbital energies</w:t>
      </w:r>
    </w:p>
    <w:p>
      <w:pPr>
        <w:pStyle w:val="FirstParagraph"/>
      </w:pPr>
      <w:r>
        <w:t xml:space="preserve">The reactant’s highest occupied Kohn–Sham orbital changes sign with the</w:t>
      </w:r>
      <w:r>
        <w:t xml:space="preserve"> </w:t>
      </w:r>
      <w:r>
        <w:t xml:space="preserve">environment, from +0.082178 Eh in vacuum to −0.126348 Eh under the continuum. I</w:t>
      </w:r>
      <w:r>
        <w:t xml:space="preserve"> </w:t>
      </w:r>
      <w:r>
        <w:t xml:space="preserve">do not read the positive value as demonstrating that the dianion is</w:t>
      </w:r>
      <w:r>
        <w:t xml:space="preserve"> </w:t>
      </w:r>
      <w:r>
        <w:t xml:space="preserve">electronically unbound in vacuum, for the reasons set out below.</w:t>
      </w:r>
    </w:p>
    <w:p>
      <w:pPr>
        <w:pStyle w:val="BodyText"/>
      </w:pPr>
      <w:r>
        <w:t xml:space="preserve">Rienstra-Kiracofe</w:t>
      </w:r>
      <w:r>
        <w:t xml:space="preserve"> </w:t>
      </w:r>
      <w:r>
        <w:rPr>
          <w:iCs/>
          <w:i/>
        </w:rPr>
        <w:t xml:space="preserve">et al.</w:t>
      </w:r>
      <w:r>
        <w:t xml:space="preserve"> </w:t>
      </w:r>
      <w:r>
        <w:t xml:space="preserve">(2002) review the history of that inference. Early</w:t>
      </w:r>
      <w:r>
        <w:t xml:space="preserve"> </w:t>
      </w:r>
      <w:r>
        <w:t xml:space="preserve">work found that</w:t>
      </w:r>
      <w:r>
        <w:t xml:space="preserve"> </w:t>
      </w:r>
      <w:r>
        <w:t xml:space="preserve">“</w:t>
      </w:r>
      <w:r>
        <w:t xml:space="preserve">anion HOMO energies computed by various density functionals</w:t>
      </w:r>
      <w:r>
        <w:t xml:space="preserve"> </w:t>
      </w:r>
      <w:r>
        <w:t xml:space="preserve">would be positive; thus, by consequence of Koopmans’ theorem, anions would be</w:t>
      </w:r>
      <w:r>
        <w:t xml:space="preserve"> </w:t>
      </w:r>
      <w:r>
        <w:t xml:space="preserve">unstable toward electron detachment</w:t>
      </w:r>
      <w:r>
        <w:t xml:space="preserve">”</w:t>
      </w:r>
      <w:r>
        <w:t xml:space="preserve">, a conclusion sufficiently established that</w:t>
      </w:r>
      <w:r>
        <w:t xml:space="preserve"> </w:t>
      </w:r>
      <w:r>
        <w:t xml:space="preserve">Becke</w:t>
      </w:r>
      <w:r>
        <w:t xml:space="preserve"> </w:t>
      </w:r>
      <w:r>
        <w:t xml:space="preserve">“</w:t>
      </w:r>
      <w:r>
        <w:t xml:space="preserve">explicitly omitted electron affinities from the set of experimental</w:t>
      </w:r>
      <w:r>
        <w:t xml:space="preserve"> </w:t>
      </w:r>
      <w:r>
        <w:t xml:space="preserve">numbers</w:t>
      </w:r>
      <w:r>
        <w:t xml:space="preserve">”</w:t>
      </w:r>
      <w:r>
        <w:t xml:space="preserve"> </w:t>
      </w:r>
      <w:r>
        <w:t xml:space="preserve">when fitting the B3 exchange functional. Galbraith and Schaefer (1996)</w:t>
      </w:r>
      <w:r>
        <w:t xml:space="preserve"> </w:t>
      </w:r>
      <w:r>
        <w:t xml:space="preserve">examined anions near the complete-basis-set limit and found for F⁻ that</w:t>
      </w:r>
      <w:r>
        <w:t xml:space="preserve"> </w:t>
      </w:r>
      <w:r>
        <w:t xml:space="preserve">“</w:t>
      </w:r>
      <w:r>
        <w:t xml:space="preserve">the</w:t>
      </w:r>
      <w:r>
        <w:t xml:space="preserve"> </w:t>
      </w:r>
      <w:r>
        <w:t xml:space="preserve">extra electron remained bound even though the energy of the highest occupied</w:t>
      </w:r>
      <w:r>
        <w:t xml:space="preserve"> </w:t>
      </w:r>
      <w:r>
        <w:t xml:space="preserve">Kohn–Sham orbital was positive</w:t>
      </w:r>
      <w:r>
        <w:t xml:space="preserve">”</w:t>
      </w:r>
      <w:r>
        <w:t xml:space="preserve">, and the review concludes that</w:t>
      </w:r>
      <w:r>
        <w:t xml:space="preserve"> </w:t>
      </w:r>
      <w:r>
        <w:t xml:space="preserve">“</w:t>
      </w:r>
      <w:r>
        <w:t xml:space="preserve">conclusions of</w:t>
      </w:r>
      <w:r>
        <w:t xml:space="preserve"> </w:t>
      </w:r>
      <w:r>
        <w:t xml:space="preserve">unboundedness were based on applications of Koopmans’ theorem — valid for the</w:t>
      </w:r>
      <w:r>
        <w:t xml:space="preserve"> </w:t>
      </w:r>
      <w:r>
        <w:t xml:space="preserve">unknown, exact functionals — to anions with positive HOMO energies, a consequence</w:t>
      </w:r>
      <w:r>
        <w:t xml:space="preserve"> </w:t>
      </w:r>
      <w:r>
        <w:t xml:space="preserve">of electron [self-interaction error] in inexact functionals.</w:t>
      </w:r>
      <w:r>
        <w:t xml:space="preserve">”</w:t>
      </w:r>
    </w:p>
    <w:p>
      <w:pPr>
        <w:pStyle w:val="BodyText"/>
      </w:pPr>
      <w:r>
        <w:t xml:space="preserve">The converse reading is equally unsafe. Galbraith and Schaefer (1996) restrict</w:t>
      </w:r>
      <w:r>
        <w:t xml:space="preserve"> </w:t>
      </w:r>
      <w:r>
        <w:t xml:space="preserve">their own conclusion to</w:t>
      </w:r>
      <w:r>
        <w:t xml:space="preserve"> </w:t>
      </w:r>
      <w:r>
        <w:t xml:space="preserve">“</w:t>
      </w:r>
      <w:r>
        <w:t xml:space="preserve">negative ions in which the extra electron is bound as</w:t>
      </w:r>
      <w:r>
        <w:t xml:space="preserve"> </w:t>
      </w:r>
      <w:r>
        <w:t xml:space="preserve">strongly as in F⁻</w:t>
      </w:r>
      <w:r>
        <w:t xml:space="preserve">”</w:t>
      </w:r>
      <w:r>
        <w:t xml:space="preserve">, adding that</w:t>
      </w:r>
      <w:r>
        <w:t xml:space="preserve"> </w:t>
      </w:r>
      <w:r>
        <w:t xml:space="preserve">“</w:t>
      </w:r>
      <w:r>
        <w:t xml:space="preserve">it is unclear whether the</w:t>
      </w:r>
      <w:r>
        <w:t xml:space="preserve"> </w:t>
      </w:r>
      <w:r>
        <w:t xml:space="preserve">‘</w:t>
      </w:r>
      <w:r>
        <w:t xml:space="preserve">spurious</w:t>
      </w:r>
      <w:r>
        <w:t xml:space="preserve"> </w:t>
      </w:r>
      <w:r>
        <w:t xml:space="preserve">self-interaction</w:t>
      </w:r>
      <w:r>
        <w:t xml:space="preserve">’</w:t>
      </w:r>
      <w:r>
        <w:t xml:space="preserve"> </w:t>
      </w:r>
      <w:r>
        <w:t xml:space="preserve">alluded to in the literature will become significant for</w:t>
      </w:r>
      <w:r>
        <w:t xml:space="preserve"> </w:t>
      </w:r>
      <w:r>
        <w:t xml:space="preserve">loosely bound negative ions</w:t>
      </w:r>
      <w:r>
        <w:t xml:space="preserve">”</w:t>
      </w:r>
      <w:r>
        <w:t xml:space="preserve">, and they report that for the B3LYP hybrid the F⁻</w:t>
      </w:r>
      <w:r>
        <w:t xml:space="preserve"> </w:t>
      </w:r>
      <w:r>
        <w:t xml:space="preserve">orbital energy</w:t>
      </w:r>
      <w:r>
        <w:t xml:space="preserve"> </w:t>
      </w:r>
      <w:r>
        <w:t xml:space="preserve">“</w:t>
      </w:r>
      <w:r>
        <w:t xml:space="preserve">is nearly zero and becomes slightly negative with the aug-cc-pV5Z</w:t>
      </w:r>
      <w:r>
        <w:t xml:space="preserve"> </w:t>
      </w:r>
      <w:r>
        <w:t xml:space="preserve">basis set</w:t>
      </w:r>
      <w:r>
        <w:t xml:space="preserve">”</w:t>
      </w:r>
      <w:r>
        <w:t xml:space="preserve">. The calculations reported here use B3LYP, so the self-interaction</w:t>
      </w:r>
      <w:r>
        <w:t xml:space="preserve"> </w:t>
      </w:r>
      <w:r>
        <w:t xml:space="preserve">error is already partly compensated, and the vacuum orbital energy nevertheless</w:t>
      </w:r>
      <w:r>
        <w:t xml:space="preserve"> </w:t>
      </w:r>
      <w:r>
        <w:t xml:space="preserve">remains positive and stays positive on adding diffuse functions (+0.043789 Eh at</w:t>
      </w:r>
      <w:r>
        <w:t xml:space="preserve"> </w:t>
      </w:r>
      <w:r>
        <w:t xml:space="preserve">def2-SVPD, X.1.8). A dianion falls in the loosely bound regime their caveat</w:t>
      </w:r>
      <w:r>
        <w:t xml:space="preserve"> </w:t>
      </w:r>
      <w:r>
        <w:t xml:space="preserve">identifies as unresolved.</w:t>
      </w:r>
    </w:p>
    <w:p>
      <w:pPr>
        <w:pStyle w:val="BodyText"/>
      </w:pPr>
      <w:r>
        <w:t xml:space="preserve">No claim about the isolated species is required for what follows and none is</w:t>
      </w:r>
      <w:r>
        <w:t xml:space="preserve"> </w:t>
      </w:r>
      <w:r>
        <w:t xml:space="preserve">made. Establishing whether the chorismate dianion is metastable in isolation</w:t>
      </w:r>
      <w:r>
        <w:t xml:space="preserve"> </w:t>
      </w:r>
      <w:r>
        <w:t xml:space="preserve">would require a vertical detachment energy computed for that purpose rather than</w:t>
      </w:r>
      <w:r>
        <w:t xml:space="preserve"> </w:t>
      </w:r>
      <w:r>
        <w:t xml:space="preserve">an orbital energy read from a production calculation. The sign change does</w:t>
      </w:r>
      <w:r>
        <w:t xml:space="preserve"> </w:t>
      </w:r>
      <w:r>
        <w:t xml:space="preserve">establish that the continuum substantially alters the outer density, which is the</w:t>
      </w:r>
      <w:r>
        <w:t xml:space="preserve"> </w:t>
      </w:r>
      <w:r>
        <w:t xml:space="preserve">region from which the difference potential of Section X.2 is constructed, and a</w:t>
      </w:r>
      <w:r>
        <w:t xml:space="preserve"> </w:t>
      </w:r>
      <w:r>
        <w:t xml:space="preserve">further reason for holding the environment fixed across every calculation</w:t>
      </w:r>
      <w:r>
        <w:t xml:space="preserve"> </w:t>
      </w:r>
      <w:r>
        <w:t xml:space="preserve">reported here.</w:t>
      </w:r>
    </w:p>
    <w:bookmarkEnd w:id="26"/>
    <w:bookmarkEnd w:id="27"/>
    <w:bookmarkStart w:id="28" w:name="x.1.7-the-reference-barrier"/>
    <w:p>
      <w:pPr>
        <w:pStyle w:val="Heading2"/>
      </w:pPr>
      <w:r>
        <w:t xml:space="preserve">X.1.7 The reference barrier</w:t>
      </w:r>
    </w:p>
    <w:p>
      <w:pPr>
        <w:pStyle w:val="FirstParagraph"/>
      </w:pPr>
      <w:r>
        <w:t xml:space="preserve">Single-point energies at the three geometries are −836.367257939969 Eh</w:t>
      </w:r>
      <w:r>
        <w:t xml:space="preserve"> </w:t>
      </w:r>
      <w:r>
        <w:t xml:space="preserve">(reactant), −836.339411092751 Eh (transition state) and −836.395042998029 Eh</w:t>
      </w:r>
      <w:r>
        <w:t xml:space="preserve"> </w:t>
      </w:r>
      <w:r>
        <w:t xml:space="preserve">(product), from</w:t>
      </w:r>
      <w:r>
        <w:t xml:space="preserve"> </w:t>
      </w:r>
      <w:r>
        <w:rPr>
          <w:rStyle w:val="VerbatimChar"/>
        </w:rPr>
        <w:t xml:space="preserve">sp_reactant.out</w:t>
      </w:r>
      <w:r>
        <w:t xml:space="preserve">,</w:t>
      </w:r>
      <w:r>
        <w:t xml:space="preserve"> </w:t>
      </w:r>
      <w:r>
        <w:rPr>
          <w:rStyle w:val="VerbatimChar"/>
        </w:rPr>
        <w:t xml:space="preserve">sp_ts.out</w:t>
      </w:r>
      <w:r>
        <w:t xml:space="preserve"> </w:t>
      </w:r>
      <w:r>
        <w:t xml:space="preserve">and</w:t>
      </w:r>
      <w:r>
        <w:t xml:space="preserve"> </w:t>
      </w:r>
      <w:r>
        <w:rPr>
          <w:rStyle w:val="VerbatimChar"/>
        </w:rPr>
        <w:t xml:space="preserve">sp_product.out</w:t>
      </w:r>
      <w:r>
        <w:t xml:space="preserve">. The</w:t>
      </w:r>
      <w:r>
        <w:t xml:space="preserve"> </w:t>
      </w:r>
      <w:r>
        <w:t xml:space="preserve">reactant-to-transition-state difference gives a barrier of</w:t>
      </w:r>
      <w:r>
        <w:t xml:space="preserve"> </w:t>
      </w:r>
      <w:r>
        <w:rPr>
          <w:bCs/>
          <w:b/>
        </w:rPr>
        <w:t xml:space="preserve">+17.47 kcal mol⁻¹</w:t>
      </w:r>
      <w:r>
        <w:t xml:space="preserve"> </w:t>
      </w:r>
      <w:r>
        <w:t xml:space="preserve">and the reaction energy is −17.44 kcal mol⁻¹.</w:t>
      </w:r>
    </w:p>
    <w:p>
      <w:pPr>
        <w:pStyle w:val="BodyText"/>
      </w:pPr>
      <w:r>
        <w:t xml:space="preserve">This reference state is not a barrier in the absence of an environment. It is the</w:t>
      </w:r>
      <w:r>
        <w:t xml:space="preserve"> </w:t>
      </w:r>
      <w:r>
        <w:t xml:space="preserve">enzyme-preorganised substrate in a uniform dielectric, so the conformational</w:t>
      </w:r>
      <w:r>
        <w:t xml:space="preserve"> </w:t>
      </w:r>
      <w:r>
        <w:t xml:space="preserve">preorganisation and the bulk dielectric response are both contained within it. A</w:t>
      </w:r>
      <w:r>
        <w:t xml:space="preserve"> </w:t>
      </w:r>
      <w:r>
        <w:t xml:space="preserve">design is scored as catalytic if and only if it lowers this number, and what it</w:t>
      </w:r>
      <w:r>
        <w:t xml:space="preserve"> </w:t>
      </w:r>
      <w:r>
        <w:t xml:space="preserve">must supply is structured electrostatic discrimination that a uniform continuum</w:t>
      </w:r>
      <w:r>
        <w:t xml:space="preserve"> </w:t>
      </w:r>
      <w:r>
        <w:t xml:space="preserve">does not provide. Chapter W reports the corresponding enzyme barrier on the same</w:t>
      </w:r>
      <w:r>
        <w:t xml:space="preserve"> </w:t>
      </w:r>
      <w:r>
        <w:t xml:space="preserve">geometries in the full protein field; the difference between the two isolates the</w:t>
      </w:r>
      <w:r>
        <w:t xml:space="preserve"> </w:t>
      </w:r>
      <w:r>
        <w:t xml:space="preserve">contribution of the structured environment.</w:t>
      </w:r>
    </w:p>
    <w:bookmarkEnd w:id="28"/>
    <w:bookmarkStart w:id="29" w:name="x.1.8-sensitivity-of-the-reference-state"/>
    <w:p>
      <w:pPr>
        <w:pStyle w:val="Heading2"/>
      </w:pPr>
      <w:r>
        <w:t xml:space="preserve">X.1.8 Sensitivity of the reference state</w:t>
      </w:r>
    </w:p>
    <w:p>
      <w:pPr>
        <w:pStyle w:val="FirstParagraph"/>
      </w:pPr>
      <w:r>
        <w:t xml:space="preserve">Two questions bear on whether the reference barrier can carry the weight placed</w:t>
      </w:r>
      <w:r>
        <w:t xml:space="preserve"> </w:t>
      </w:r>
      <w:r>
        <w:t xml:space="preserve">on it: how much of it the continuum is responsible for, and whether a basis</w:t>
      </w:r>
      <w:r>
        <w:t xml:space="preserve"> </w:t>
      </w:r>
      <w:r>
        <w:t xml:space="preserve">without diffuse functions is adequate for a dianion. I tested both by recomputing</w:t>
      </w:r>
      <w:r>
        <w:t xml:space="preserve"> </w:t>
      </w:r>
      <w:r>
        <w:t xml:space="preserve">the reactant and transition state at the same geometries in all four combinations</w:t>
      </w:r>
      <w:r>
        <w:t xml:space="preserve"> </w:t>
      </w:r>
      <w:r>
        <w:t xml:space="preserve">of two basis sets and two environments (Table X.1.2).</w:t>
      </w:r>
    </w:p>
    <w:p>
      <w:pPr>
        <w:pStyle w:val="BodyText"/>
      </w:pPr>
      <w:r>
        <w:rPr>
          <w:bCs/>
          <w:b/>
        </w:rPr>
        <w:t xml:space="preserve">Table X.1.2</w:t>
      </w:r>
      <w:r>
        <w:t xml:space="preserve"> </w:t>
      </w:r>
      <w:r>
        <w:t xml:space="preserve">Reference-state sensitivity. Identical geometries throughout, no</w:t>
      </w:r>
      <w:r>
        <w:t xml:space="preserve"> </w:t>
      </w:r>
      <w:r>
        <w:t xml:space="preserve">re-optimisation. Source:</w:t>
      </w:r>
      <w:r>
        <w:t xml:space="preserve"> </w:t>
      </w:r>
      <w:r>
        <w:rPr>
          <w:rStyle w:val="VerbatimChar"/>
        </w:rPr>
        <w:t xml:space="preserve">phase2b_charge_design/02_singlepoints/refstate_diagnostic/</w:t>
      </w:r>
      <w:r>
        <w:t xml:space="preserve">,</w:t>
      </w:r>
      <w:r>
        <w:t xml:space="preserve"> </w:t>
      </w:r>
      <w:r>
        <w:t xml:space="preserve">summarised in</w:t>
      </w:r>
      <w:r>
        <w:t xml:space="preserve"> </w:t>
      </w:r>
      <w:r>
        <w:rPr>
          <w:rStyle w:val="VerbatimChar"/>
        </w:rPr>
        <w:t xml:space="preserve">refstate_diagnostic.pbs.out</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Basis</w:t>
            </w:r>
          </w:p>
        </w:tc>
        <w:tc>
          <w:tcPr/>
          <w:p>
            <w:pPr>
              <w:pStyle w:val="Compact"/>
              <w:jc w:val="left"/>
            </w:pPr>
            <w:r>
              <w:t xml:space="preserve">Environment</w:t>
            </w:r>
          </w:p>
        </w:tc>
        <w:tc>
          <w:tcPr/>
          <w:p>
            <w:pPr>
              <w:pStyle w:val="Compact"/>
              <w:jc w:val="left"/>
            </w:pPr>
            <w:r>
              <w:t xml:space="preserve">E(R) (Eh)</w:t>
            </w:r>
          </w:p>
        </w:tc>
        <w:tc>
          <w:tcPr/>
          <w:p>
            <w:pPr>
              <w:pStyle w:val="Compact"/>
              <w:jc w:val="left"/>
            </w:pPr>
            <w:r>
              <w:t xml:space="preserve">E(TS) (Eh)</w:t>
            </w:r>
          </w:p>
        </w:tc>
        <w:tc>
          <w:tcPr/>
          <w:p>
            <w:pPr>
              <w:pStyle w:val="Compact"/>
              <w:jc w:val="left"/>
            </w:pPr>
            <w:r>
              <w:t xml:space="preserve">Barrier (kcal mol⁻¹)</w:t>
            </w:r>
          </w:p>
        </w:tc>
        <w:tc>
          <w:tcPr/>
          <w:p>
            <w:pPr>
              <w:pStyle w:val="Compact"/>
              <w:jc w:val="left"/>
            </w:pPr>
            <w:r>
              <w:t xml:space="preserve">HOMO(R) (Eh)</w:t>
            </w:r>
          </w:p>
        </w:tc>
        <w:tc>
          <w:tcPr/>
          <w:p>
            <w:pPr>
              <w:pStyle w:val="Compact"/>
              <w:jc w:val="left"/>
            </w:pPr>
            <w:r>
              <w:t xml:space="preserve">Bound</w:t>
            </w:r>
          </w:p>
        </w:tc>
      </w:tr>
      <w:tr>
        <w:tc>
          <w:tcPr/>
          <w:p>
            <w:pPr>
              <w:pStyle w:val="Compact"/>
              <w:jc w:val="left"/>
            </w:pPr>
            <w:r>
              <w:t xml:space="preserve">def2-SVP</w:t>
            </w:r>
          </w:p>
        </w:tc>
        <w:tc>
          <w:tcPr/>
          <w:p>
            <w:pPr>
              <w:pStyle w:val="Compact"/>
              <w:jc w:val="left"/>
            </w:pPr>
            <w:r>
              <w:t xml:space="preserve">vacuum</w:t>
            </w:r>
          </w:p>
        </w:tc>
        <w:tc>
          <w:tcPr/>
          <w:p>
            <w:pPr>
              <w:pStyle w:val="Compact"/>
              <w:jc w:val="left"/>
            </w:pPr>
            <w:r>
              <w:t xml:space="preserve">−836.148628</w:t>
            </w:r>
          </w:p>
        </w:tc>
        <w:tc>
          <w:tcPr/>
          <w:p>
            <w:pPr>
              <w:pStyle w:val="Compact"/>
              <w:jc w:val="left"/>
            </w:pPr>
            <w:r>
              <w:t xml:space="preserve">−836.120096</w:t>
            </w:r>
          </w:p>
        </w:tc>
        <w:tc>
          <w:tcPr/>
          <w:p>
            <w:pPr>
              <w:pStyle w:val="Compact"/>
              <w:jc w:val="left"/>
            </w:pPr>
            <w:r>
              <w:t xml:space="preserve">17.905</w:t>
            </w:r>
          </w:p>
        </w:tc>
        <w:tc>
          <w:tcPr/>
          <w:p>
            <w:pPr>
              <w:pStyle w:val="Compact"/>
              <w:jc w:val="left"/>
            </w:pPr>
            <w:r>
              <w:t xml:space="preserve">+0.082178</w:t>
            </w:r>
          </w:p>
        </w:tc>
        <w:tc>
          <w:tcPr/>
          <w:p>
            <w:pPr>
              <w:pStyle w:val="Compact"/>
              <w:jc w:val="left"/>
            </w:pPr>
            <w:r>
              <w:t xml:space="preserve">no</w:t>
            </w:r>
          </w:p>
        </w:tc>
      </w:tr>
      <w:tr>
        <w:tc>
          <w:tcPr/>
          <w:p>
            <w:pPr>
              <w:pStyle w:val="Compact"/>
              <w:jc w:val="left"/>
            </w:pPr>
            <w:r>
              <w:t xml:space="preserve">def2-SVP</w:t>
            </w:r>
          </w:p>
        </w:tc>
        <w:tc>
          <w:tcPr/>
          <w:p>
            <w:pPr>
              <w:pStyle w:val="Compact"/>
              <w:jc w:val="left"/>
            </w:pPr>
            <w:r>
              <w:t xml:space="preserve">CPCM ε = 4</w:t>
            </w:r>
          </w:p>
        </w:tc>
        <w:tc>
          <w:tcPr/>
          <w:p>
            <w:pPr>
              <w:pStyle w:val="Compact"/>
              <w:jc w:val="left"/>
            </w:pPr>
            <w:r>
              <w:t xml:space="preserve">−836.367258</w:t>
            </w:r>
          </w:p>
        </w:tc>
        <w:tc>
          <w:tcPr/>
          <w:p>
            <w:pPr>
              <w:pStyle w:val="Compact"/>
              <w:jc w:val="left"/>
            </w:pPr>
            <w:r>
              <w:t xml:space="preserve">−836.339412</w:t>
            </w:r>
          </w:p>
        </w:tc>
        <w:tc>
          <w:tcPr/>
          <w:p>
            <w:pPr>
              <w:pStyle w:val="Compact"/>
              <w:jc w:val="left"/>
            </w:pPr>
            <w:r>
              <w:t xml:space="preserve">17.474</w:t>
            </w:r>
          </w:p>
        </w:tc>
        <w:tc>
          <w:tcPr/>
          <w:p>
            <w:pPr>
              <w:pStyle w:val="Compact"/>
              <w:jc w:val="left"/>
            </w:pPr>
            <w:r>
              <w:t xml:space="preserve">−0.126348</w:t>
            </w:r>
          </w:p>
        </w:tc>
        <w:tc>
          <w:tcPr/>
          <w:p>
            <w:pPr>
              <w:pStyle w:val="Compact"/>
              <w:jc w:val="left"/>
            </w:pPr>
            <w:r>
              <w:t xml:space="preserve">yes</w:t>
            </w:r>
          </w:p>
        </w:tc>
      </w:tr>
      <w:tr>
        <w:tc>
          <w:tcPr/>
          <w:p>
            <w:pPr>
              <w:pStyle w:val="Compact"/>
              <w:jc w:val="left"/>
            </w:pPr>
            <w:r>
              <w:t xml:space="preserve">def2-SVPD</w:t>
            </w:r>
          </w:p>
        </w:tc>
        <w:tc>
          <w:tcPr/>
          <w:p>
            <w:pPr>
              <w:pStyle w:val="Compact"/>
              <w:jc w:val="left"/>
            </w:pPr>
            <w:r>
              <w:t xml:space="preserve">vacuum</w:t>
            </w:r>
          </w:p>
        </w:tc>
        <w:tc>
          <w:tcPr/>
          <w:p>
            <w:pPr>
              <w:pStyle w:val="Compact"/>
              <w:jc w:val="left"/>
            </w:pPr>
            <w:r>
              <w:t xml:space="preserve">−836.258367</w:t>
            </w:r>
          </w:p>
        </w:tc>
        <w:tc>
          <w:tcPr/>
          <w:p>
            <w:pPr>
              <w:pStyle w:val="Compact"/>
              <w:jc w:val="left"/>
            </w:pPr>
            <w:r>
              <w:t xml:space="preserve">−836.229691</w:t>
            </w:r>
          </w:p>
        </w:tc>
        <w:tc>
          <w:tcPr/>
          <w:p>
            <w:pPr>
              <w:pStyle w:val="Compact"/>
              <w:jc w:val="left"/>
            </w:pPr>
            <w:r>
              <w:t xml:space="preserve">17.995</w:t>
            </w:r>
          </w:p>
        </w:tc>
        <w:tc>
          <w:tcPr/>
          <w:p>
            <w:pPr>
              <w:pStyle w:val="Compact"/>
              <w:jc w:val="left"/>
            </w:pPr>
            <w:r>
              <w:t xml:space="preserve">+0.043789</w:t>
            </w:r>
          </w:p>
        </w:tc>
        <w:tc>
          <w:tcPr/>
          <w:p>
            <w:pPr>
              <w:pStyle w:val="Compact"/>
              <w:jc w:val="left"/>
            </w:pPr>
            <w:r>
              <w:t xml:space="preserve">no</w:t>
            </w:r>
          </w:p>
        </w:tc>
      </w:tr>
      <w:tr>
        <w:tc>
          <w:tcPr/>
          <w:p>
            <w:pPr>
              <w:pStyle w:val="Compact"/>
              <w:jc w:val="left"/>
            </w:pPr>
            <w:r>
              <w:t xml:space="preserve">def2-SVPD</w:t>
            </w:r>
          </w:p>
        </w:tc>
        <w:tc>
          <w:tcPr/>
          <w:p>
            <w:pPr>
              <w:pStyle w:val="Compact"/>
              <w:jc w:val="left"/>
            </w:pPr>
            <w:r>
              <w:t xml:space="preserve">CPCM ε = 4</w:t>
            </w:r>
          </w:p>
        </w:tc>
        <w:tc>
          <w:tcPr/>
          <w:p>
            <w:pPr>
              <w:pStyle w:val="Compact"/>
              <w:jc w:val="left"/>
            </w:pPr>
            <w:r>
              <w:t xml:space="preserve">−836.474068</w:t>
            </w:r>
          </w:p>
        </w:tc>
        <w:tc>
          <w:tcPr/>
          <w:p>
            <w:pPr>
              <w:pStyle w:val="Compact"/>
              <w:jc w:val="left"/>
            </w:pPr>
            <w:r>
              <w:t xml:space="preserve">−836.446125</w:t>
            </w:r>
          </w:p>
        </w:tc>
        <w:tc>
          <w:tcPr/>
          <w:p>
            <w:pPr>
              <w:pStyle w:val="Compact"/>
              <w:jc w:val="left"/>
            </w:pPr>
            <w:r>
              <w:t xml:space="preserve">17.535</w:t>
            </w:r>
          </w:p>
        </w:tc>
        <w:tc>
          <w:tcPr/>
          <w:p>
            <w:pPr>
              <w:pStyle w:val="Compact"/>
              <w:jc w:val="left"/>
            </w:pPr>
            <w:r>
              <w:t xml:space="preserve">−0.157283</w:t>
            </w:r>
          </w:p>
        </w:tc>
        <w:tc>
          <w:tcPr/>
          <w:p>
            <w:pPr>
              <w:pStyle w:val="Compact"/>
              <w:jc w:val="left"/>
            </w:pPr>
            <w:r>
              <w:t xml:space="preserve">yes</w:t>
            </w:r>
          </w:p>
        </w:tc>
      </w:tr>
    </w:tbl>
    <w:p>
      <w:pPr>
        <w:pStyle w:val="BodyText"/>
      </w:pPr>
      <w:r>
        <w:t xml:space="preserve">The barrier spans 0.521 kcal mol⁻¹ across all four combinations. Adding the</w:t>
      </w:r>
      <w:r>
        <w:t xml:space="preserve"> </w:t>
      </w:r>
      <w:r>
        <w:t xml:space="preserve">continuum lowers it by 0.431 kcal mol⁻¹ at def2-SVP and 0.460 kcal mol⁻¹ at</w:t>
      </w:r>
      <w:r>
        <w:t xml:space="preserve"> </w:t>
      </w:r>
      <w:r>
        <w:t xml:space="preserve">def2-SVPD, and adding diffuse functions raises it by 0.090 kcal mol⁻¹ in vacuum</w:t>
      </w:r>
      <w:r>
        <w:t xml:space="preserve"> </w:t>
      </w:r>
      <w:r>
        <w:t xml:space="preserve">and 0.061 kcal mol⁻¹ under the continuum. The diffuse functions lower the</w:t>
      </w:r>
      <w:r>
        <w:t xml:space="preserve"> </w:t>
      </w:r>
      <w:r>
        <w:t xml:space="preserve">absolute reactant energy by 68.9 kcal mol⁻¹ while changing the barrier by less</w:t>
      </w:r>
      <w:r>
        <w:t xml:space="preserve"> </w:t>
      </w:r>
      <w:r>
        <w:t xml:space="preserve">than a tenth of a kcal mol⁻¹, which is the cancellation expected of a difference</w:t>
      </w:r>
      <w:r>
        <w:t xml:space="preserve"> </w:t>
      </w:r>
      <w:r>
        <w:t xml:space="preserve">between two states of the same species at the same geometry.</w:t>
      </w:r>
    </w:p>
    <w:p>
      <w:pPr>
        <w:pStyle w:val="BodyText"/>
      </w:pPr>
      <w:r>
        <w:t xml:space="preserve">This answers the condition attached by Himo (2017). The barrier is not sensitive</w:t>
      </w:r>
      <w:r>
        <w:t xml:space="preserve"> </w:t>
      </w:r>
      <w:r>
        <w:t xml:space="preserve">to the choice of dielectric constant, 0.43 kcal mol⁻¹ being 2.5 % of its value,</w:t>
      </w:r>
      <w:r>
        <w:t xml:space="preserve"> </w:t>
      </w:r>
      <w:r>
        <w:t xml:space="preserve">and the objective of Section X.2 is more robust still, since the continuum</w:t>
      </w:r>
      <w:r>
        <w:t xml:space="preserve"> </w:t>
      </w:r>
      <w:r>
        <w:t xml:space="preserve">contribution enters both terms of a difference and cancels a second time.</w:t>
      </w:r>
      <w:r>
        <w:t xml:space="preserve"> </w:t>
      </w:r>
      <w:r>
        <w:t xml:space="preserve">Conclusions resting on these energies are therefore not weakened by the</w:t>
      </w:r>
      <w:r>
        <w:t xml:space="preserve"> </w:t>
      </w:r>
      <w:r>
        <w:t xml:space="preserve">arbitrariness of ε = 4. This is a statement about the insensitivity of the result</w:t>
      </w:r>
      <w:r>
        <w:t xml:space="preserve"> </w:t>
      </w:r>
      <w:r>
        <w:t xml:space="preserve">to the environment and not a justification for the environment, which is applied</w:t>
      </w:r>
      <w:r>
        <w:t xml:space="preserve"> </w:t>
      </w:r>
      <w:r>
        <w:t xml:space="preserve">for the reasons given in X.1.6.</w:t>
      </w:r>
    </w:p>
    <w:p>
      <w:pPr>
        <w:pStyle w:val="BodyText"/>
      </w:pPr>
      <w:r>
        <w:t xml:space="preserve">The orbital energies behave differently from the energies. The barrier is stable</w:t>
      </w:r>
      <w:r>
        <w:t xml:space="preserve"> </w:t>
      </w:r>
      <w:r>
        <w:t xml:space="preserve">to within half a kcal mol⁻¹, while the reactant HOMO changes sign between</w:t>
      </w:r>
      <w:r>
        <w:t xml:space="preserve"> </w:t>
      </w:r>
      <w:r>
        <w:t xml:space="preserve">environments and remains positive in vacuum on adding diffuse functions. Neither</w:t>
      </w:r>
      <w:r>
        <w:t xml:space="preserve"> </w:t>
      </w:r>
      <w:r>
        <w:t xml:space="preserve">observation is read as establishing that the isolated dianion is electronically</w:t>
      </w:r>
      <w:r>
        <w:t xml:space="preserve"> </w:t>
      </w:r>
      <w:r>
        <w:t xml:space="preserve">unbound (X.1.6.2). The narrower point is that a quantity as environment-sensitive</w:t>
      </w:r>
      <w:r>
        <w:t xml:space="preserve"> </w:t>
      </w:r>
      <w:r>
        <w:t xml:space="preserve">as an orbital energy can move substantially while an energy difference derived</w:t>
      </w:r>
      <w:r>
        <w:t xml:space="preserve"> </w:t>
      </w:r>
      <w:r>
        <w:t xml:space="preserve">from the same calculations does not, so insensitivity established for a</w:t>
      </w:r>
      <w:r>
        <w:t xml:space="preserve"> </w:t>
      </w:r>
      <w:r>
        <w:t xml:space="preserve">total-energy difference should not be assumed to carry over to a result that</w:t>
      </w:r>
      <w:r>
        <w:t xml:space="preserve"> </w:t>
      </w:r>
      <w:r>
        <w:t xml:space="preserve">depends on the density.</w:t>
      </w:r>
    </w:p>
    <w:p>
      <w:pPr>
        <w:pStyle w:val="BodyText"/>
      </w:pPr>
      <w:r>
        <w:t xml:space="preserve">The difference potential of Section X.2 is such a quantity. I derive it from the</w:t>
      </w:r>
      <w:r>
        <w:t xml:space="preserve"> </w:t>
      </w:r>
      <w:r>
        <w:t xml:space="preserve">wavefunction rather than from an energy and evaluate it three to five ångström</w:t>
      </w:r>
      <w:r>
        <w:t xml:space="preserve"> </w:t>
      </w:r>
      <w:r>
        <w:t xml:space="preserve">from the van der Waals surface, in the region of the density where diffuse</w:t>
      </w:r>
      <w:r>
        <w:t xml:space="preserve"> </w:t>
      </w:r>
      <w:r>
        <w:t xml:space="preserve">functions contribute most. The sensitivity established here therefore does not</w:t>
      </w:r>
      <w:r>
        <w:t xml:space="preserve"> </w:t>
      </w:r>
      <w:r>
        <w:t xml:space="preserve">transfer to it, and Section X.4 tests it separately.</w:t>
      </w:r>
    </w:p>
    <w:bookmarkEnd w:id="29"/>
    <w:bookmarkStart w:id="30" w:name="x.1.9-pipeline-of-operations"/>
    <w:p>
      <w:pPr>
        <w:pStyle w:val="Heading2"/>
      </w:pPr>
      <w:r>
        <w:t xml:space="preserve">X.1.9 Pipeline of Operations</w:t>
      </w:r>
    </w:p>
    <w:p>
      <w:pPr>
        <w:pStyle w:val="FirstParagraph"/>
      </w:pPr>
      <w:r>
        <w:rPr>
          <w:rStyle w:val="VerbatimChar"/>
        </w:rPr>
        <w:t xml:space="preserve">[FIGURE X.1.1 — flowchart of the reference-state construction. Inputs: the three QM-region trajectories from Chapter W. Steps: extract 24-atom substrate → validate reacting-bond distances against the provenance table → verify the NAC criterion → CPCM single points at three geometries → reference barrier. A side branch from the single points feeds the sensitivity diagnostic (two bases × two environments) and, in Section X.2, the difference potential. No data file required; this is a schematic.]</w:t>
      </w:r>
    </w:p>
    <w:p>
      <w:pPr>
        <w:numPr>
          <w:ilvl w:val="0"/>
          <w:numId w:val="1001"/>
        </w:numPr>
        <w:pStyle w:val="Compact"/>
      </w:pPr>
      <w:r>
        <w:rPr>
          <w:rStyle w:val="VerbatimChar"/>
        </w:rPr>
        <w:t xml:space="preserve">phase2b_charge_design/00_admin/reacting_atoms.tsv</w:t>
      </w:r>
      <w:r>
        <w:t xml:space="preserve"> </w:t>
      </w:r>
      <w:r>
        <w:t xml:space="preserve">— zero-based index map for</w:t>
      </w:r>
      <w:r>
        <w:t xml:space="preserve"> </w:t>
      </w:r>
      <w:r>
        <w:t xml:space="preserve">the four reacting atoms, giving O3 = 7, C4 = 8, C1 = 0 and C6 = 12. Consumed by</w:t>
      </w:r>
      <w:r>
        <w:t xml:space="preserve"> </w:t>
      </w:r>
      <w:r>
        <w:t xml:space="preserve">every script that measures the reacting bonds.</w:t>
      </w:r>
    </w:p>
    <w:p>
      <w:pPr>
        <w:numPr>
          <w:ilvl w:val="0"/>
          <w:numId w:val="1001"/>
        </w:numPr>
        <w:pStyle w:val="Compact"/>
      </w:pPr>
      <w:r>
        <w:rPr>
          <w:rStyle w:val="VerbatimChar"/>
        </w:rPr>
        <w:t xml:space="preserve">phase2b_charge_design/01_geometry/extract_substrate.py</w:t>
      </w:r>
      <w:r>
        <w:t xml:space="preserve"> </w:t>
      </w:r>
      <w:r>
        <w:t xml:space="preserve">— extracts the 24-atom</w:t>
      </w:r>
      <w:r>
        <w:t xml:space="preserve"> </w:t>
      </w:r>
      <w:r>
        <w:t xml:space="preserve">substrate from a QM-region trajectory. Outputs</w:t>
      </w:r>
      <w:r>
        <w:t xml:space="preserve"> </w:t>
      </w:r>
      <w:r>
        <w:rPr>
          <w:rStyle w:val="VerbatimChar"/>
        </w:rPr>
        <w:t xml:space="preserve">reactant.xyz</w:t>
      </w:r>
      <w:r>
        <w:t xml:space="preserve">,</w:t>
      </w:r>
      <w:r>
        <w:t xml:space="preserve"> </w:t>
      </w:r>
      <w:r>
        <w:rPr>
          <w:rStyle w:val="VerbatimChar"/>
        </w:rPr>
        <w:t xml:space="preserve">ts.xyz</w:t>
      </w:r>
      <w:r>
        <w:t xml:space="preserve"> </w:t>
      </w:r>
      <w:r>
        <w:t xml:space="preserve">and</w:t>
      </w:r>
      <w:r>
        <w:t xml:space="preserve"> </w:t>
      </w:r>
      <w:r>
        <w:rPr>
          <w:rStyle w:val="VerbatimChar"/>
        </w:rPr>
        <w:t xml:space="preserve">product.xyz</w:t>
      </w:r>
      <w:r>
        <w:t xml:space="preserve">.</w:t>
      </w:r>
    </w:p>
    <w:p>
      <w:pPr>
        <w:numPr>
          <w:ilvl w:val="0"/>
          <w:numId w:val="1001"/>
        </w:numPr>
        <w:pStyle w:val="Compact"/>
      </w:pPr>
      <w:r>
        <w:rPr>
          <w:rStyle w:val="VerbatimChar"/>
        </w:rPr>
        <w:t xml:space="preserve">phase2b_charge_design/01_geometry/provenance.tsv</w:t>
      </w:r>
      <w:r>
        <w:t xml:space="preserve"> </w:t>
      </w:r>
      <w:r>
        <w:t xml:space="preserve">— records the source</w:t>
      </w:r>
      <w:r>
        <w:t xml:space="preserve"> </w:t>
      </w:r>
      <w:r>
        <w:t xml:space="preserve">trajectory and the expected breaking and forming bond lengths for each</w:t>
      </w:r>
      <w:r>
        <w:t xml:space="preserve"> </w:t>
      </w:r>
      <w:r>
        <w:t xml:space="preserve">stationary geometry. Used as the reference against which extracted geometries</w:t>
      </w:r>
      <w:r>
        <w:t xml:space="preserve"> </w:t>
      </w:r>
      <w:r>
        <w:t xml:space="preserve">are checked.</w:t>
      </w:r>
    </w:p>
    <w:p>
      <w:pPr>
        <w:numPr>
          <w:ilvl w:val="0"/>
          <w:numId w:val="1001"/>
        </w:numPr>
        <w:pStyle w:val="Compact"/>
      </w:pPr>
      <w:r>
        <w:rPr>
          <w:rStyle w:val="VerbatimChar"/>
        </w:rPr>
        <w:t xml:space="preserve">phase1_system_dev/step11f_nac_check.py</w:t>
      </w:r>
      <w:r>
        <w:t xml:space="preserve"> </w:t>
      </w:r>
      <w:r>
        <w:t xml:space="preserve">— evaluates the three-part near-attack</w:t>
      </w:r>
      <w:r>
        <w:t xml:space="preserve"> </w:t>
      </w:r>
      <w:r>
        <w:t xml:space="preserve">criterion of Hur and Bruice (2003) for a geometry or a trajectory frame.</w:t>
      </w:r>
      <w:r>
        <w:t xml:space="preserve"> </w:t>
      </w:r>
      <w:r>
        <w:t xml:space="preserve">Outputs the forming-bond distance, θ₁, θ₂ and their deviations from the</w:t>
      </w:r>
      <w:r>
        <w:t xml:space="preserve"> </w:t>
      </w:r>
      <w:r>
        <w:t xml:space="preserve">transition-state reference values.</w:t>
      </w:r>
    </w:p>
    <w:p>
      <w:pPr>
        <w:numPr>
          <w:ilvl w:val="0"/>
          <w:numId w:val="1001"/>
        </w:numPr>
        <w:pStyle w:val="Compact"/>
      </w:pPr>
      <w:r>
        <w:rPr>
          <w:rStyle w:val="VerbatimChar"/>
        </w:rPr>
        <w:t xml:space="preserve">phase2b_charge_design/02_singlepoints/sp_reactant.inp</w:t>
      </w:r>
      <w:r>
        <w:t xml:space="preserve">,</w:t>
      </w:r>
      <w:r>
        <w:t xml:space="preserve"> </w:t>
      </w:r>
      <w:r>
        <w:rPr>
          <w:rStyle w:val="VerbatimChar"/>
        </w:rPr>
        <w:t xml:space="preserve">sp_ts.inp</w:t>
      </w:r>
      <w:r>
        <w:t xml:space="preserve">,</w:t>
      </w:r>
      <w:r>
        <w:t xml:space="preserve"> </w:t>
      </w:r>
      <w:r>
        <w:rPr>
          <w:rStyle w:val="VerbatimChar"/>
        </w:rPr>
        <w:t xml:space="preserve">sp_product.inp</w:t>
      </w:r>
      <w:r>
        <w:t xml:space="preserve"> </w:t>
      </w:r>
      <w:r>
        <w:t xml:space="preserve">— ORCA single-point inputs at the three geometries, at</w:t>
      </w:r>
      <w:r>
        <w:t xml:space="preserve"> </w:t>
      </w:r>
      <w:r>
        <w:t xml:space="preserve">B3LYP-D3BJ/def2-SVP with def2/J, RIJCOSX and CPCM(ε = 4). Output</w:t>
      </w:r>
      <w:r>
        <w:t xml:space="preserve"> </w:t>
      </w:r>
      <w:r>
        <w:rPr>
          <w:rStyle w:val="VerbatimChar"/>
        </w:rPr>
        <w:t xml:space="preserve">.out</w:t>
      </w:r>
      <w:r>
        <w:t xml:space="preserve"> </w:t>
      </w:r>
      <w:r>
        <w:t xml:space="preserve">files</w:t>
      </w:r>
      <w:r>
        <w:t xml:space="preserve"> </w:t>
      </w:r>
      <w:r>
        <w:t xml:space="preserve">supply the energies of X.1.7, and the</w:t>
      </w:r>
      <w:r>
        <w:t xml:space="preserve"> </w:t>
      </w:r>
      <w:r>
        <w:rPr>
          <w:rStyle w:val="VerbatimChar"/>
        </w:rPr>
        <w:t xml:space="preserve">.gbw</w:t>
      </w:r>
      <w:r>
        <w:t xml:space="preserve"> </w:t>
      </w:r>
      <w:r>
        <w:t xml:space="preserve">and</w:t>
      </w:r>
      <w:r>
        <w:t xml:space="preserve"> </w:t>
      </w:r>
      <w:r>
        <w:rPr>
          <w:rStyle w:val="VerbatimChar"/>
        </w:rPr>
        <w:t xml:space="preserve">.densities</w:t>
      </w:r>
      <w:r>
        <w:t xml:space="preserve"> </w:t>
      </w:r>
      <w:r>
        <w:t xml:space="preserve">files supply the</w:t>
      </w:r>
      <w:r>
        <w:t xml:space="preserve"> </w:t>
      </w:r>
      <w:r>
        <w:t xml:space="preserve">wavefunctions from which Section X.2 constructs the difference potential.</w:t>
      </w:r>
    </w:p>
    <w:p>
      <w:pPr>
        <w:numPr>
          <w:ilvl w:val="0"/>
          <w:numId w:val="1001"/>
        </w:numPr>
        <w:pStyle w:val="Compact"/>
      </w:pPr>
      <w:r>
        <w:rPr>
          <w:rStyle w:val="VerbatimChar"/>
        </w:rPr>
        <w:t xml:space="preserve">phase2b_charge_design/02_singlepoints/sp_all.pbs</w:t>
      </w:r>
      <w:r>
        <w:t xml:space="preserve"> </w:t>
      </w:r>
      <w:r>
        <w:t xml:space="preserve">— batch driver for the three</w:t>
      </w:r>
      <w:r>
        <w:t xml:space="preserve"> </w:t>
      </w:r>
      <w:r>
        <w:t xml:space="preserve">single points.</w:t>
      </w:r>
    </w:p>
    <w:p>
      <w:pPr>
        <w:numPr>
          <w:ilvl w:val="0"/>
          <w:numId w:val="1001"/>
        </w:numPr>
        <w:pStyle w:val="Compact"/>
      </w:pPr>
      <w:r>
        <w:rPr>
          <w:rStyle w:val="VerbatimChar"/>
        </w:rPr>
        <w:t xml:space="preserve">phase2b_charge_design/02_singlepoints/refstate_diagnostic.pbs</w:t>
      </w:r>
      <w:r>
        <w:t xml:space="preserve"> </w:t>
      </w:r>
      <w:r>
        <w:t xml:space="preserve">— recomputes</w:t>
      </w:r>
      <w:r>
        <w:t xml:space="preserve"> </w:t>
      </w:r>
      <w:r>
        <w:t xml:space="preserve">the reactant and transition state in four combinations of basis and</w:t>
      </w:r>
      <w:r>
        <w:t xml:space="preserve"> </w:t>
      </w:r>
      <w:r>
        <w:t xml:space="preserve">environment, checks the def2-SVP CPCM result against the canonical energies,</w:t>
      </w:r>
      <w:r>
        <w:t xml:space="preserve"> </w:t>
      </w:r>
      <w:r>
        <w:t xml:space="preserve">and reports the barriers and reactant HOMO energies of Table X.1.2. Outputs</w:t>
      </w:r>
      <w:r>
        <w:t xml:space="preserve"> </w:t>
      </w:r>
      <w:r>
        <w:rPr>
          <w:rStyle w:val="VerbatimChar"/>
        </w:rPr>
        <w:t xml:space="preserve">refstate_diagnostic.pbs.out</w:t>
      </w:r>
      <w:r>
        <w:t xml:space="preserve">.</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Barone, V. and Cossi, M. (1998)</w:t>
      </w:r>
      <w:r>
        <w:t xml:space="preserve"> </w:t>
      </w:r>
      <w:r>
        <w:t xml:space="preserve">‘</w:t>
      </w:r>
      <w:r>
        <w:t xml:space="preserve">Quantum calculation of molecular energies and</w:t>
      </w:r>
      <w:r>
        <w:t xml:space="preserve"> </w:t>
      </w:r>
      <w:r>
        <w:t xml:space="preserve">energy gradients in solution by a conductor solvent model</w:t>
      </w:r>
      <w:r>
        <w:t xml:space="preserve">’</w:t>
      </w:r>
      <w:r>
        <w:t xml:space="preserve">,</w:t>
      </w:r>
      <w:r>
        <w:t xml:space="preserve"> </w:t>
      </w:r>
      <w:r>
        <w:rPr>
          <w:iCs/>
          <w:i/>
        </w:rPr>
        <w:t xml:space="preserve">Journal of Physical</w:t>
      </w:r>
      <w:r>
        <w:rPr>
          <w:iCs/>
          <w:i/>
        </w:rPr>
        <w:t xml:space="preserve"> </w:t>
      </w:r>
      <w:r>
        <w:rPr>
          <w:iCs/>
          <w:i/>
        </w:rPr>
        <w:t xml:space="preserve">Chemistry A</w:t>
      </w:r>
      <w:r>
        <w:t xml:space="preserve">, 102(11), pp. 1995–2001. doi:10.1021/jp9716997.</w:t>
      </w:r>
    </w:p>
    <w:p>
      <w:pPr>
        <w:pStyle w:val="BodyText"/>
      </w:pPr>
      <w:r>
        <w:t xml:space="preserve">Becke, A.D. (1993)</w:t>
      </w:r>
      <w:r>
        <w:t xml:space="preserve"> </w:t>
      </w:r>
      <w:r>
        <w:t xml:space="preserve">‘</w:t>
      </w:r>
      <w:r>
        <w:t xml:space="preserve">Density-functional thermochemistry. III. The role of exact</w:t>
      </w:r>
      <w:r>
        <w:t xml:space="preserve"> </w:t>
      </w:r>
      <w:r>
        <w:t xml:space="preserve">exchange</w:t>
      </w:r>
      <w:r>
        <w:t xml:space="preserve">’</w:t>
      </w:r>
      <w:r>
        <w:t xml:space="preserve">,</w:t>
      </w:r>
      <w:r>
        <w:t xml:space="preserve"> </w:t>
      </w:r>
      <w:r>
        <w:rPr>
          <w:iCs/>
          <w:i/>
        </w:rPr>
        <w:t xml:space="preserve">Journal of Chemical Physics</w:t>
      </w:r>
      <w:r>
        <w:t xml:space="preserve">, 98(7), pp. 5648–5652.</w:t>
      </w:r>
      <w:r>
        <w:t xml:space="preserve"> </w:t>
      </w:r>
      <w:r>
        <w:t xml:space="preserve">doi:10.1063/1.464913.</w:t>
      </w:r>
    </w:p>
    <w:p>
      <w:pPr>
        <w:pStyle w:val="BodyText"/>
      </w:pPr>
      <w:r>
        <w:t xml:space="preserve">Burschowsky, D., van Eerde, A., Ökvist, M., Kienhöfer, A., Kast, P., Hilvert, D.</w:t>
      </w:r>
      <w:r>
        <w:t xml:space="preserve"> </w:t>
      </w:r>
      <w:r>
        <w:t xml:space="preserve">and Krengel, U. (2014)</w:t>
      </w:r>
      <w:r>
        <w:t xml:space="preserve"> </w:t>
      </w:r>
      <w:r>
        <w:t xml:space="preserve">‘</w:t>
      </w:r>
      <w:r>
        <w:t xml:space="preserve">Electrostatic transition state stabilization rather than</w:t>
      </w:r>
      <w:r>
        <w:t xml:space="preserve"> </w:t>
      </w:r>
      <w:r>
        <w:t xml:space="preserve">reactant destabilization provides the chemical basis for efficient chorismate</w:t>
      </w:r>
      <w:r>
        <w:t xml:space="preserve"> </w:t>
      </w:r>
      <w:r>
        <w:t xml:space="preserve">mutase catalysis</w:t>
      </w:r>
      <w:r>
        <w:t xml:space="preserve">’</w:t>
      </w:r>
      <w:r>
        <w:t xml:space="preserve">,</w:t>
      </w:r>
      <w:r>
        <w:t xml:space="preserve"> </w:t>
      </w:r>
      <w:r>
        <w:rPr>
          <w:iCs/>
          <w:i/>
        </w:rPr>
        <w:t xml:space="preserve">Proceedings of the National Academy of Sciences</w:t>
      </w:r>
      <w:r>
        <w:t xml:space="preserve">, 111(49),</w:t>
      </w:r>
      <w:r>
        <w:t xml:space="preserve"> </w:t>
      </w:r>
      <w:r>
        <w:t xml:space="preserve">pp. 17516–17521. doi:10.1073/pnas.1408512111.</w:t>
      </w:r>
    </w:p>
    <w:p>
      <w:pPr>
        <w:pStyle w:val="BodyText"/>
      </w:pPr>
      <w:r>
        <w:t xml:space="preserve">Chook, Y.M., Ke, H. and Lipscomb, W.N. (1993)</w:t>
      </w:r>
      <w:r>
        <w:t xml:space="preserve"> </w:t>
      </w:r>
      <w:r>
        <w:t xml:space="preserve">‘</w:t>
      </w:r>
      <w:r>
        <w:t xml:space="preserve">Crystal structures of the</w:t>
      </w:r>
      <w:r>
        <w:t xml:space="preserve"> </w:t>
      </w:r>
      <w:r>
        <w:t xml:space="preserve">monofunctional chorismate mutase from</w:t>
      </w:r>
      <w:r>
        <w:t xml:space="preserve"> </w:t>
      </w:r>
      <w:r>
        <w:rPr>
          <w:iCs/>
          <w:i/>
        </w:rPr>
        <w:t xml:space="preserve">Bacillus subtilis</w:t>
      </w:r>
      <w:r>
        <w:t xml:space="preserve"> </w:t>
      </w:r>
      <w:r>
        <w:t xml:space="preserve">and its complex with a</w:t>
      </w:r>
      <w:r>
        <w:t xml:space="preserve"> </w:t>
      </w:r>
      <w:r>
        <w:t xml:space="preserve">transition state analog</w:t>
      </w:r>
      <w:r>
        <w:t xml:space="preserve">’</w:t>
      </w:r>
      <w:r>
        <w:t xml:space="preserve">,</w:t>
      </w:r>
      <w:r>
        <w:t xml:space="preserve"> </w:t>
      </w:r>
      <w:r>
        <w:rPr>
          <w:iCs/>
          <w:i/>
        </w:rPr>
        <w:t xml:space="preserve">Proceedings of the National Academy of Sciences</w:t>
      </w:r>
      <w:r>
        <w:t xml:space="preserve">,</w:t>
      </w:r>
      <w:r>
        <w:t xml:space="preserve"> </w:t>
      </w:r>
      <w:r>
        <w:t xml:space="preserve">90(18), pp. 8600–8603. doi:10.1073/pnas.90.18.8600.</w:t>
      </w:r>
    </w:p>
    <w:p>
      <w:pPr>
        <w:pStyle w:val="BodyText"/>
      </w:pPr>
      <w:r>
        <w:t xml:space="preserve">Claeyssens, F., Ranaghan, K.E., Lawan, N., Macrae, S.J., Manby, F.R., Harvey,</w:t>
      </w:r>
      <w:r>
        <w:t xml:space="preserve"> </w:t>
      </w:r>
      <w:r>
        <w:t xml:space="preserve">J.N. and Mulholland, A.J. (2011)</w:t>
      </w:r>
      <w:r>
        <w:t xml:space="preserve"> </w:t>
      </w:r>
      <w:r>
        <w:t xml:space="preserve">‘</w:t>
      </w:r>
      <w:r>
        <w:t xml:space="preserve">Analysis of chorismate mutase catalysis by</w:t>
      </w:r>
      <w:r>
        <w:t xml:space="preserve"> </w:t>
      </w:r>
      <w:r>
        <w:t xml:space="preserve">QM/MM modelling of enzyme-catalysed and uncatalysed reactions</w:t>
      </w:r>
      <w:r>
        <w:t xml:space="preserve">’</w:t>
      </w:r>
      <w:r>
        <w:t xml:space="preserve">,</w:t>
      </w:r>
      <w:r>
        <w:t xml:space="preserve"> </w:t>
      </w:r>
      <w:r>
        <w:rPr>
          <w:iCs/>
          <w:i/>
        </w:rPr>
        <w:t xml:space="preserve">Organic &amp;</w:t>
      </w:r>
      <w:r>
        <w:rPr>
          <w:iCs/>
          <w:i/>
        </w:rPr>
        <w:t xml:space="preserve"> </w:t>
      </w:r>
      <w:r>
        <w:rPr>
          <w:iCs/>
          <w:i/>
        </w:rPr>
        <w:t xml:space="preserve">Biomolecular Chemistry</w:t>
      </w:r>
      <w:r>
        <w:t xml:space="preserve">, 9(5), pp. 1578–1590. doi:10.1039/c0ob00691b.</w:t>
      </w:r>
    </w:p>
    <w:p>
      <w:pPr>
        <w:pStyle w:val="BodyText"/>
      </w:pPr>
      <w:r>
        <w:t xml:space="preserve">Dreuw, A. and Cederbaum, L.S. (2002)</w:t>
      </w:r>
      <w:r>
        <w:t xml:space="preserve"> </w:t>
      </w:r>
      <w:r>
        <w:t xml:space="preserve">‘</w:t>
      </w:r>
      <w:r>
        <w:t xml:space="preserve">Multiply charged anions in the gas phase</w:t>
      </w:r>
      <w:r>
        <w:t xml:space="preserve">’</w:t>
      </w:r>
      <w:r>
        <w:t xml:space="preserve">,</w:t>
      </w:r>
      <w:r>
        <w:t xml:space="preserve"> </w:t>
      </w:r>
      <w:r>
        <w:rPr>
          <w:iCs/>
          <w:i/>
        </w:rPr>
        <w:t xml:space="preserve">Chemical Reviews</w:t>
      </w:r>
      <w:r>
        <w:t xml:space="preserve">, 102(1), pp. 181–200. doi:10.1021/cr0104227.</w:t>
      </w:r>
    </w:p>
    <w:p>
      <w:pPr>
        <w:pStyle w:val="BodyText"/>
      </w:pPr>
      <w:r>
        <w:t xml:space="preserve">Galbraith, J.M. and Schaefer, H.F. (1996)</w:t>
      </w:r>
      <w:r>
        <w:t xml:space="preserve"> </w:t>
      </w:r>
      <w:r>
        <w:t xml:space="preserve">‘</w:t>
      </w:r>
      <w:r>
        <w:t xml:space="preserve">Concerning the applicability of</w:t>
      </w:r>
      <w:r>
        <w:t xml:space="preserve"> </w:t>
      </w:r>
      <w:r>
        <w:t xml:space="preserve">density functional methods to atomic and molecular negative ions</w:t>
      </w:r>
      <w:r>
        <w:t xml:space="preserve">’</w:t>
      </w:r>
      <w:r>
        <w:t xml:space="preserve">,</w:t>
      </w:r>
      <w:r>
        <w:t xml:space="preserve"> </w:t>
      </w:r>
      <w:r>
        <w:rPr>
          <w:iCs/>
          <w:i/>
        </w:rPr>
        <w:t xml:space="preserve">Journal of</w:t>
      </w:r>
      <w:r>
        <w:rPr>
          <w:iCs/>
          <w:i/>
        </w:rPr>
        <w:t xml:space="preserve"> </w:t>
      </w:r>
      <w:r>
        <w:rPr>
          <w:iCs/>
          <w:i/>
        </w:rPr>
        <w:t xml:space="preserve">Chemical Physics</w:t>
      </w:r>
      <w:r>
        <w:t xml:space="preserve">, 105(2), pp. 862–864. doi:10.1063/1.471933.</w:t>
      </w:r>
    </w:p>
    <w:p>
      <w:pPr>
        <w:pStyle w:val="BodyText"/>
      </w:pPr>
      <w:r>
        <w:t xml:space="preserve">García-Ratés, M. and Neese, F. (2020)</w:t>
      </w:r>
      <w:r>
        <w:t xml:space="preserve"> </w:t>
      </w:r>
      <w:r>
        <w:t xml:space="preserve">‘</w:t>
      </w:r>
      <w:r>
        <w:t xml:space="preserve">Effect of the solute cavity on the</w:t>
      </w:r>
      <w:r>
        <w:t xml:space="preserve"> </w:t>
      </w:r>
      <w:r>
        <w:t xml:space="preserve">solvation energy and its derivatives within the framework of the Gaussian charge</w:t>
      </w:r>
      <w:r>
        <w:t xml:space="preserve"> </w:t>
      </w:r>
      <w:r>
        <w:t xml:space="preserve">scheme</w:t>
      </w:r>
      <w:r>
        <w:t xml:space="preserve">’</w:t>
      </w:r>
      <w:r>
        <w:t xml:space="preserve">,</w:t>
      </w:r>
      <w:r>
        <w:t xml:space="preserve"> </w:t>
      </w:r>
      <w:r>
        <w:rPr>
          <w:iCs/>
          <w:i/>
        </w:rPr>
        <w:t xml:space="preserve">Journal of Computational Chemistry</w:t>
      </w:r>
      <w:r>
        <w:t xml:space="preserve">, 41(9), pp. 922–939.</w:t>
      </w:r>
      <w:r>
        <w:t xml:space="preserve"> </w:t>
      </w:r>
      <w:r>
        <w:t xml:space="preserve">doi:10.1002/jcc.26139.</w:t>
      </w:r>
    </w:p>
    <w:p>
      <w:pPr>
        <w:pStyle w:val="BodyText"/>
      </w:pPr>
      <w:r>
        <w:t xml:space="preserve">Grimme, S., Antony, J., Ehrlich, S. and Krieg, H. (2010)</w:t>
      </w:r>
      <w:r>
        <w:t xml:space="preserve"> </w:t>
      </w:r>
      <w:r>
        <w:t xml:space="preserve">‘</w:t>
      </w:r>
      <w:r>
        <w:t xml:space="preserve">A consistent and</w:t>
      </w:r>
      <w:r>
        <w:t xml:space="preserve"> </w:t>
      </w:r>
      <w:r>
        <w:t xml:space="preserve">accurate ab initio parametrization of density functional dispersion correction</w:t>
      </w:r>
      <w:r>
        <w:t xml:space="preserve"> </w:t>
      </w:r>
      <w:r>
        <w:t xml:space="preserve">(DFT-D) for the 94 elements H-Pu</w:t>
      </w:r>
      <w:r>
        <w:t xml:space="preserve">’</w:t>
      </w:r>
      <w:r>
        <w:t xml:space="preserve">,</w:t>
      </w:r>
      <w:r>
        <w:t xml:space="preserve"> </w:t>
      </w:r>
      <w:r>
        <w:rPr>
          <w:iCs/>
          <w:i/>
        </w:rPr>
        <w:t xml:space="preserve">Journal of Chemical Physics</w:t>
      </w:r>
      <w:r>
        <w:t xml:space="preserve">, 132(15),</w:t>
      </w:r>
      <w:r>
        <w:t xml:space="preserve"> </w:t>
      </w:r>
      <w:r>
        <w:t xml:space="preserve">154104. doi:10.1063/1.3382344.</w:t>
      </w:r>
    </w:p>
    <w:p>
      <w:pPr>
        <w:pStyle w:val="BodyText"/>
      </w:pPr>
      <w:r>
        <w:t xml:space="preserve">Grimme, S., Ehrlich, S. and Goerigk, L. (2011)</w:t>
      </w:r>
      <w:r>
        <w:t xml:space="preserve"> </w:t>
      </w:r>
      <w:r>
        <w:t xml:space="preserve">‘</w:t>
      </w:r>
      <w:r>
        <w:t xml:space="preserve">Effect of the damping function in</w:t>
      </w:r>
      <w:r>
        <w:t xml:space="preserve"> </w:t>
      </w:r>
      <w:r>
        <w:t xml:space="preserve">dispersion corrected density functional theory</w:t>
      </w:r>
      <w:r>
        <w:t xml:space="preserve">’</w:t>
      </w:r>
      <w:r>
        <w:t xml:space="preserve">,</w:t>
      </w:r>
      <w:r>
        <w:t xml:space="preserve"> </w:t>
      </w:r>
      <w:r>
        <w:rPr>
          <w:iCs/>
          <w:i/>
        </w:rPr>
        <w:t xml:space="preserve">Journal of Computational</w:t>
      </w:r>
      <w:r>
        <w:rPr>
          <w:iCs/>
          <w:i/>
        </w:rPr>
        <w:t xml:space="preserve"> </w:t>
      </w:r>
      <w:r>
        <w:rPr>
          <w:iCs/>
          <w:i/>
        </w:rPr>
        <w:t xml:space="preserve">Chemistry</w:t>
      </w:r>
      <w:r>
        <w:t xml:space="preserve">, 32(7), pp. 1456–1465. doi:10.1002/jcc.21759.</w:t>
      </w:r>
    </w:p>
    <w:p>
      <w:pPr>
        <w:pStyle w:val="BodyText"/>
      </w:pPr>
      <w:r>
        <w:t xml:space="preserve">Himo, F. (2017)</w:t>
      </w:r>
      <w:r>
        <w:t xml:space="preserve"> </w:t>
      </w:r>
      <w:r>
        <w:t xml:space="preserve">‘</w:t>
      </w:r>
      <w:r>
        <w:t xml:space="preserve">Recent trends in quantum chemical modeling of enzymatic</w:t>
      </w:r>
      <w:r>
        <w:t xml:space="preserve"> </w:t>
      </w:r>
      <w:r>
        <w:t xml:space="preserve">reactions</w:t>
      </w:r>
      <w:r>
        <w:t xml:space="preserve">’</w:t>
      </w:r>
      <w:r>
        <w:t xml:space="preserve">,</w:t>
      </w:r>
      <w:r>
        <w:t xml:space="preserve"> </w:t>
      </w:r>
      <w:r>
        <w:rPr>
          <w:iCs/>
          <w:i/>
        </w:rPr>
        <w:t xml:space="preserve">Journal of the American Chemical Society</w:t>
      </w:r>
      <w:r>
        <w:t xml:space="preserve">, 139(20), pp. 6780–6786.</w:t>
      </w:r>
      <w:r>
        <w:t xml:space="preserve"> </w:t>
      </w:r>
      <w:r>
        <w:t xml:space="preserve">doi:10.1021/jacs.7b02671.</w:t>
      </w:r>
    </w:p>
    <w:p>
      <w:pPr>
        <w:pStyle w:val="BodyText"/>
      </w:pPr>
      <w:r>
        <w:t xml:space="preserve">Hur, S. and Bruice, T.C. (2003)</w:t>
      </w:r>
      <w:r>
        <w:t xml:space="preserve"> </w:t>
      </w:r>
      <w:r>
        <w:t xml:space="preserve">‘</w:t>
      </w:r>
      <w:r>
        <w:t xml:space="preserve">The near attack conformation approach to the</w:t>
      </w:r>
      <w:r>
        <w:t xml:space="preserve"> </w:t>
      </w:r>
      <w:r>
        <w:t xml:space="preserve">study of the chorismate to prephenate reaction</w:t>
      </w:r>
      <w:r>
        <w:t xml:space="preserve">’</w:t>
      </w:r>
      <w:r>
        <w:t xml:space="preserve">,</w:t>
      </w:r>
      <w:r>
        <w:t xml:space="preserve"> </w:t>
      </w:r>
      <w:r>
        <w:rPr>
          <w:iCs/>
          <w:i/>
        </w:rPr>
        <w:t xml:space="preserve">Proceedings of the National</w:t>
      </w:r>
      <w:r>
        <w:rPr>
          <w:iCs/>
          <w:i/>
        </w:rPr>
        <w:t xml:space="preserve"> </w:t>
      </w:r>
      <w:r>
        <w:rPr>
          <w:iCs/>
          <w:i/>
        </w:rPr>
        <w:t xml:space="preserve">Academy of Sciences</w:t>
      </w:r>
      <w:r>
        <w:t xml:space="preserve">, 100(21), pp. 12015–12020. doi:10.1073/pnas.1534873100.</w:t>
      </w:r>
    </w:p>
    <w:p>
      <w:pPr>
        <w:pStyle w:val="BodyText"/>
      </w:pPr>
      <w:r>
        <w:t xml:space="preserve">Kast, P., Asif-Ullah, M. and Hilvert, D. (1996)</w:t>
      </w:r>
      <w:r>
        <w:t xml:space="preserve"> </w:t>
      </w:r>
      <w:r>
        <w:t xml:space="preserve">‘</w:t>
      </w:r>
      <w:r>
        <w:t xml:space="preserve">Is chorismate mutase a</w:t>
      </w:r>
      <w:r>
        <w:t xml:space="preserve"> </w:t>
      </w:r>
      <w:r>
        <w:t xml:space="preserve">prototypic entropy trap? Activation parameters for the</w:t>
      </w:r>
      <w:r>
        <w:t xml:space="preserve"> </w:t>
      </w:r>
      <w:r>
        <w:rPr>
          <w:iCs/>
          <w:i/>
        </w:rPr>
        <w:t xml:space="preserve">Bacillus subtilis</w:t>
      </w:r>
      <w:r>
        <w:t xml:space="preserve"> </w:t>
      </w:r>
      <w:r>
        <w:t xml:space="preserve">enzyme</w:t>
      </w:r>
      <w:r>
        <w:t xml:space="preserve">’</w:t>
      </w:r>
      <w:r>
        <w:t xml:space="preserve">,</w:t>
      </w:r>
      <w:r>
        <w:t xml:space="preserve"> </w:t>
      </w:r>
      <w:r>
        <w:rPr>
          <w:iCs/>
          <w:i/>
        </w:rPr>
        <w:t xml:space="preserve">Tetrahedron Letters</w:t>
      </w:r>
      <w:r>
        <w:t xml:space="preserve">, 37(16), pp. 2691–2694.</w:t>
      </w:r>
      <w:r>
        <w:t xml:space="preserve"> </w:t>
      </w:r>
      <w:r>
        <w:t xml:space="preserve">doi:10.1016/0040-4039(96)00338-3.</w:t>
      </w:r>
    </w:p>
    <w:p>
      <w:pPr>
        <w:pStyle w:val="BodyText"/>
      </w:pPr>
      <w:r>
        <w:t xml:space="preserve">Lee, C., Yang, W. and Parr, R.G. (1988)</w:t>
      </w:r>
      <w:r>
        <w:t xml:space="preserve"> </w:t>
      </w:r>
      <w:r>
        <w:t xml:space="preserve">‘</w:t>
      </w:r>
      <w:r>
        <w:t xml:space="preserve">Development of the Colle-Salvetti</w:t>
      </w:r>
      <w:r>
        <w:t xml:space="preserve"> </w:t>
      </w:r>
      <w:r>
        <w:t xml:space="preserve">correlation-energy formula into a functional of the electron density</w:t>
      </w:r>
      <w:r>
        <w:t xml:space="preserve">’</w:t>
      </w:r>
      <w:r>
        <w:t xml:space="preserve">,</w:t>
      </w:r>
      <w:r>
        <w:t xml:space="preserve"> </w:t>
      </w:r>
      <w:r>
        <w:rPr>
          <w:iCs/>
          <w:i/>
        </w:rPr>
        <w:t xml:space="preserve">Physical</w:t>
      </w:r>
      <w:r>
        <w:rPr>
          <w:iCs/>
          <w:i/>
        </w:rPr>
        <w:t xml:space="preserve"> </w:t>
      </w:r>
      <w:r>
        <w:rPr>
          <w:iCs/>
          <w:i/>
        </w:rPr>
        <w:t xml:space="preserve">Review B</w:t>
      </w:r>
      <w:r>
        <w:t xml:space="preserve">, 37(2), pp. 785–789. doi:10.1103/PhysRevB.37.785.</w:t>
      </w:r>
    </w:p>
    <w:p>
      <w:pPr>
        <w:pStyle w:val="BodyText"/>
      </w:pPr>
      <w:r>
        <w:t xml:space="preserve">Neese, F. (2025)</w:t>
      </w:r>
      <w:r>
        <w:t xml:space="preserve"> </w:t>
      </w:r>
      <w:r>
        <w:t xml:space="preserve">‘</w:t>
      </w:r>
      <w:r>
        <w:t xml:space="preserve">Software update: the ORCA program system—version 6.0</w:t>
      </w:r>
      <w:r>
        <w:t xml:space="preserve">’</w:t>
      </w:r>
      <w:r>
        <w:t xml:space="preserve">,</w:t>
      </w:r>
      <w:r>
        <w:t xml:space="preserve"> </w:t>
      </w:r>
      <w:r>
        <w:rPr>
          <w:iCs/>
          <w:i/>
        </w:rPr>
        <w:t xml:space="preserve">WIREs</w:t>
      </w:r>
      <w:r>
        <w:rPr>
          <w:iCs/>
          <w:i/>
        </w:rPr>
        <w:t xml:space="preserve"> </w:t>
      </w:r>
      <w:r>
        <w:rPr>
          <w:iCs/>
          <w:i/>
        </w:rPr>
        <w:t xml:space="preserve">Computational Molecular Science</w:t>
      </w:r>
      <w:r>
        <w:t xml:space="preserve">, 15(2), e70019. doi:10.1002/wcms.70019.</w:t>
      </w:r>
    </w:p>
    <w:p>
      <w:pPr>
        <w:pStyle w:val="BodyText"/>
      </w:pPr>
      <w:r>
        <w:t xml:space="preserve">Neese, F., Wennmohs, F., Hansen, A. and Becker, U. (2009)</w:t>
      </w:r>
      <w:r>
        <w:t xml:space="preserve"> </w:t>
      </w:r>
      <w:r>
        <w:t xml:space="preserve">‘</w:t>
      </w:r>
      <w:r>
        <w:t xml:space="preserve">Efficient, approximate</w:t>
      </w:r>
      <w:r>
        <w:t xml:space="preserve"> </w:t>
      </w:r>
      <w:r>
        <w:t xml:space="preserve">and parallel Hartree–Fock and hybrid DFT calculations. A</w:t>
      </w:r>
      <w:r>
        <w:t xml:space="preserve"> </w:t>
      </w:r>
      <w:r>
        <w:t xml:space="preserve">“</w:t>
      </w:r>
      <w:r>
        <w:t xml:space="preserve">chain-of-spheres</w:t>
      </w:r>
      <w:r>
        <w:t xml:space="preserve">”</w:t>
      </w:r>
      <w:r>
        <w:t xml:space="preserve"> </w:t>
      </w:r>
      <w:r>
        <w:t xml:space="preserve">algorithm for the Hartree–Fock exchange</w:t>
      </w:r>
      <w:r>
        <w:t xml:space="preserve">’</w:t>
      </w:r>
      <w:r>
        <w:t xml:space="preserve">,</w:t>
      </w:r>
      <w:r>
        <w:t xml:space="preserve"> </w:t>
      </w:r>
      <w:r>
        <w:rPr>
          <w:iCs/>
          <w:i/>
        </w:rPr>
        <w:t xml:space="preserve">Chemical Physics</w:t>
      </w:r>
      <w:r>
        <w:t xml:space="preserve">, 356(1–3),</w:t>
      </w:r>
      <w:r>
        <w:t xml:space="preserve"> </w:t>
      </w:r>
      <w:r>
        <w:t xml:space="preserve">pp. 98–109. doi:10.1016/j.chemphys.2008.10.036.</w:t>
      </w:r>
    </w:p>
    <w:p>
      <w:pPr>
        <w:pStyle w:val="BodyText"/>
      </w:pPr>
      <w:r>
        <w:t xml:space="preserve">Rienstra-Kiracofe, J.C., Tschumper, G.S., Schaefer, H.F., Nandi, S. and Ellison,</w:t>
      </w:r>
      <w:r>
        <w:t xml:space="preserve"> </w:t>
      </w:r>
      <w:r>
        <w:t xml:space="preserve">G.B. (2002)</w:t>
      </w:r>
      <w:r>
        <w:t xml:space="preserve"> </w:t>
      </w:r>
      <w:r>
        <w:t xml:space="preserve">‘</w:t>
      </w:r>
      <w:r>
        <w:t xml:space="preserve">Atomic and molecular electron affinities: photoelectron experiments</w:t>
      </w:r>
      <w:r>
        <w:t xml:space="preserve"> </w:t>
      </w:r>
      <w:r>
        <w:t xml:space="preserve">and theoretical computations</w:t>
      </w:r>
      <w:r>
        <w:t xml:space="preserve">’</w:t>
      </w:r>
      <w:r>
        <w:t xml:space="preserve">,</w:t>
      </w:r>
      <w:r>
        <w:t xml:space="preserve"> </w:t>
      </w:r>
      <w:r>
        <w:rPr>
          <w:iCs/>
          <w:i/>
        </w:rPr>
        <w:t xml:space="preserve">Chemical Reviews</w:t>
      </w:r>
      <w:r>
        <w:t xml:space="preserve">, 102(1), pp. 231–282.</w:t>
      </w:r>
      <w:r>
        <w:t xml:space="preserve"> </w:t>
      </w:r>
      <w:r>
        <w:t xml:space="preserve">doi:10.1021/cr990044u.</w:t>
      </w:r>
    </w:p>
    <w:p>
      <w:pPr>
        <w:pStyle w:val="BodyText"/>
      </w:pPr>
      <w:r>
        <w:t xml:space="preserve">Stephens, P.J., Devlin, F.J., Chabalowski, C.F. and Frisch, M.J. (1994)</w:t>
      </w:r>
      <w:r>
        <w:t xml:space="preserve"> </w:t>
      </w:r>
      <w:r>
        <w:t xml:space="preserve">‘</w:t>
      </w:r>
      <w:r>
        <w:t xml:space="preserve">Ab</w:t>
      </w:r>
      <w:r>
        <w:t xml:space="preserve"> </w:t>
      </w:r>
      <w:r>
        <w:t xml:space="preserve">initio calculation of vibrational absorption and circular dichroism spectra using</w:t>
      </w:r>
      <w:r>
        <w:t xml:space="preserve"> </w:t>
      </w:r>
      <w:r>
        <w:t xml:space="preserve">density functional force fields</w:t>
      </w:r>
      <w:r>
        <w:t xml:space="preserve">’</w:t>
      </w:r>
      <w:r>
        <w:t xml:space="preserve">,</w:t>
      </w:r>
      <w:r>
        <w:t xml:space="preserve"> </w:t>
      </w:r>
      <w:r>
        <w:rPr>
          <w:iCs/>
          <w:i/>
        </w:rPr>
        <w:t xml:space="preserve">Journal of Physical Chemistry</w:t>
      </w:r>
      <w:r>
        <w:t xml:space="preserve">, 98(45),</w:t>
      </w:r>
      <w:r>
        <w:t xml:space="preserve"> </w:t>
      </w:r>
      <w:r>
        <w:t xml:space="preserve">pp. 11623–11627. doi:10.1021/j100096a001.</w:t>
      </w:r>
    </w:p>
    <w:p>
      <w:pPr>
        <w:pStyle w:val="BodyText"/>
      </w:pPr>
      <w:r>
        <w:t xml:space="preserve">Weigend, F. (2006)</w:t>
      </w:r>
      <w:r>
        <w:t xml:space="preserve"> </w:t>
      </w:r>
      <w:r>
        <w:t xml:space="preserve">‘</w:t>
      </w:r>
      <w:r>
        <w:t xml:space="preserve">Accurate Coulomb-fitting basis sets for H to Rn</w:t>
      </w:r>
      <w:r>
        <w:t xml:space="preserve">’</w:t>
      </w:r>
      <w:r>
        <w:t xml:space="preserve">,</w:t>
      </w:r>
      <w:r>
        <w:t xml:space="preserve"> </w:t>
      </w:r>
      <w:r>
        <w:rPr>
          <w:iCs/>
          <w:i/>
        </w:rPr>
        <w:t xml:space="preserve">Physical</w:t>
      </w:r>
      <w:r>
        <w:rPr>
          <w:iCs/>
          <w:i/>
        </w:rPr>
        <w:t xml:space="preserve"> </w:t>
      </w:r>
      <w:r>
        <w:rPr>
          <w:iCs/>
          <w:i/>
        </w:rPr>
        <w:t xml:space="preserve">Chemistry Chemical Physics</w:t>
      </w:r>
      <w:r>
        <w:t xml:space="preserve">, 8(9), pp. 1057–1065. doi:10.1039/b515623h.</w:t>
      </w:r>
    </w:p>
    <w:p>
      <w:pPr>
        <w:pStyle w:val="BodyText"/>
      </w:pPr>
      <w:r>
        <w:t xml:space="preserve">Weigend, F. and Ahlrichs, R. (2005)</w:t>
      </w:r>
      <w:r>
        <w:t xml:space="preserve"> </w:t>
      </w:r>
      <w:r>
        <w:t xml:space="preserve">‘</w:t>
      </w:r>
      <w:r>
        <w:t xml:space="preserve">Balanced basis sets of split valence, triple</w:t>
      </w:r>
      <w:r>
        <w:t xml:space="preserve"> </w:t>
      </w:r>
      <w:r>
        <w:t xml:space="preserve">zeta valence and quadruple zeta valence quality for H to Rn: design and</w:t>
      </w:r>
      <w:r>
        <w:t xml:space="preserve"> </w:t>
      </w:r>
      <w:r>
        <w:t xml:space="preserve">assessment of accuracy</w:t>
      </w:r>
      <w:r>
        <w:t xml:space="preserve">’</w:t>
      </w:r>
      <w:r>
        <w:t xml:space="preserve">,</w:t>
      </w:r>
      <w:r>
        <w:t xml:space="preserve"> </w:t>
      </w:r>
      <w:r>
        <w:rPr>
          <w:iCs/>
          <w:i/>
        </w:rPr>
        <w:t xml:space="preserve">Physical Chemistry Chemical Physics</w:t>
      </w:r>
      <w:r>
        <w:t xml:space="preserve">, 7(18),</w:t>
      </w:r>
      <w:r>
        <w:t xml:space="preserve"> </w:t>
      </w:r>
      <w:r>
        <w:t xml:space="preserve">pp. 3297–3305. doi:10.1039/b508541a.</w:t>
      </w:r>
    </w:p>
    <w:p>
      <w:r>
        <w:pict>
          <v:rect style="width:0;height:1.5pt" o:hralign="center" o:hrstd="t" o:hr="t"/>
        </w:pict>
      </w:r>
    </w:p>
    <w:bookmarkEnd w:id="31"/>
    <w:bookmarkStart w:id="32" w:name="sourcing-gaps"/>
    <w:p>
      <w:pPr>
        <w:pStyle w:val="Heading2"/>
      </w:pPr>
      <w:r>
        <w:t xml:space="preserve">Sourcing gaps</w:t>
      </w:r>
    </w:p>
    <w:p>
      <w:pPr>
        <w:numPr>
          <w:ilvl w:val="0"/>
          <w:numId w:val="1002"/>
        </w:numPr>
        <w:pStyle w:val="Compact"/>
      </w:pPr>
      <w:r>
        <w:rPr>
          <w:bCs/>
          <w:b/>
        </w:rPr>
        <w:t xml:space="preserve">Author lists.</w:t>
      </w:r>
      <w:r>
        <w:t xml:space="preserve"> </w:t>
      </w:r>
      <w:r>
        <w:t xml:space="preserve">Titles, journals, years, volumes and DOIs were checked</w:t>
      </w:r>
      <w:r>
        <w:t xml:space="preserve"> </w:t>
      </w:r>
      <w:r>
        <w:t xml:space="preserve">against the PDFs. The full author lists for Grimme</w:t>
      </w:r>
      <w:r>
        <w:t xml:space="preserve"> </w:t>
      </w:r>
      <w:r>
        <w:rPr>
          <w:iCs/>
          <w:i/>
        </w:rPr>
        <w:t xml:space="preserve">et al.</w:t>
      </w:r>
      <w:r>
        <w:t xml:space="preserve"> </w:t>
      </w:r>
      <w:r>
        <w:t xml:space="preserve">(2010), Neese</w:t>
      </w:r>
      <w:r>
        <w:t xml:space="preserve"> </w:t>
      </w:r>
      <w:r>
        <w:rPr>
          <w:iCs/>
          <w:i/>
        </w:rPr>
        <w:t xml:space="preserve">et</w:t>
      </w:r>
      <w:r>
        <w:rPr>
          <w:iCs/>
          <w:i/>
        </w:rPr>
        <w:t xml:space="preserve"> </w:t>
      </w:r>
      <w:r>
        <w:rPr>
          <w:iCs/>
          <w:i/>
        </w:rPr>
        <w:t xml:space="preserve">al.</w:t>
      </w:r>
      <w:r>
        <w:t xml:space="preserve"> </w:t>
      </w:r>
      <w:r>
        <w:t xml:space="preserve">(2009) and Stephens</w:t>
      </w:r>
      <w:r>
        <w:t xml:space="preserve"> </w:t>
      </w:r>
      <w:r>
        <w:rPr>
          <w:iCs/>
          <w:i/>
        </w:rPr>
        <w:t xml:space="preserve">et al.</w:t>
      </w:r>
      <w:r>
        <w:t xml:space="preserve"> </w:t>
      </w:r>
      <w:r>
        <w:t xml:space="preserve">(1994) follow standard citation practice and</w:t>
      </w:r>
      <w:r>
        <w:t xml:space="preserve"> </w:t>
      </w:r>
      <w:r>
        <w:t xml:space="preserve">should be confirmed against the title pages.</w:t>
      </w:r>
    </w:p>
    <w:p>
      <w:pPr>
        <w:numPr>
          <w:ilvl w:val="0"/>
          <w:numId w:val="1002"/>
        </w:numPr>
        <w:pStyle w:val="Compact"/>
      </w:pPr>
      <w:r>
        <w:rPr>
          <w:bCs/>
          <w:b/>
        </w:rPr>
        <w:t xml:space="preserve">Kast, Asif-Ullah and Hilvert (1996).</w:t>
      </w:r>
      <w:r>
        <w:t xml:space="preserve"> </w:t>
      </w:r>
      <w:r>
        <w:t xml:space="preserve">The ΔS‡ value and the entropy-trap</w:t>
      </w:r>
      <w:r>
        <w:t xml:space="preserve"> </w:t>
      </w:r>
      <w:r>
        <w:t xml:space="preserve">conclusion were verified from the published abstract. Volume and page numbers</w:t>
      </w:r>
      <w:r>
        <w:t xml:space="preserve"> </w:t>
      </w:r>
      <w:r>
        <w:t xml:space="preserve">should be confirmed against the paper, which has not been obtained.</w:t>
      </w:r>
    </w:p>
    <w:p>
      <w:pPr>
        <w:numPr>
          <w:ilvl w:val="0"/>
          <w:numId w:val="1002"/>
        </w:numPr>
        <w:pStyle w:val="Compact"/>
      </w:pPr>
      <w:r>
        <w:rPr>
          <w:bCs/>
          <w:b/>
        </w:rPr>
        <w:t xml:space="preserve">The geometric layer.</w:t>
      </w:r>
      <w:r>
        <w:t xml:space="preserve"> </w:t>
      </w:r>
      <w:r>
        <w:t xml:space="preserve">X.1.3 carries a</w:t>
      </w:r>
      <w:r>
        <w:t xml:space="preserve"> </w:t>
      </w:r>
      <w:r>
        <w:rPr>
          <w:rStyle w:val="VerbatimChar"/>
        </w:rPr>
        <w:t xml:space="preserve">[DECISION REQUIRED]</w:t>
      </w:r>
      <w:r>
        <w:t xml:space="preserve"> </w:t>
      </w:r>
      <w:r>
        <w:t xml:space="preserve">on whether the</w:t>
      </w:r>
      <w:r>
        <w:t xml:space="preserve"> </w:t>
      </w:r>
      <w:r>
        <w:t xml:space="preserve">design retains a second, geometric layer. The wording of that section depends</w:t>
      </w:r>
      <w:r>
        <w:t xml:space="preserve"> </w:t>
      </w:r>
      <w:r>
        <w:t xml:space="preserve">on the answer.</w:t>
      </w:r>
    </w:p>
    <w:p>
      <w:pPr>
        <w:numPr>
          <w:ilvl w:val="0"/>
          <w:numId w:val="1002"/>
        </w:numPr>
        <w:pStyle w:val="Compact"/>
      </w:pPr>
      <w:r>
        <w:rPr>
          <w:bCs/>
          <w:b/>
        </w:rPr>
        <w:t xml:space="preserve">Basis sensitivity of the difference potential.</w:t>
      </w:r>
      <w:r>
        <w:t xml:space="preserve"> </w:t>
      </w:r>
      <w:r>
        <w:t xml:space="preserve">X.1.8 establishes that the</w:t>
      </w:r>
      <w:r>
        <w:t xml:space="preserve"> </w:t>
      </w:r>
      <w:r>
        <w:t xml:space="preserve">barrier is basis-insensitive and states that this does not transfer to the</w:t>
      </w:r>
      <w:r>
        <w:t xml:space="preserve"> </w:t>
      </w:r>
      <w:r>
        <w:t xml:space="preserve">difference potential. The corresponding test is deferred to Section X.4.</w:t>
      </w:r>
    </w:p>
    <w:bookmarkEnd w:id="32"/>
    <w:bookmarkStart w:id="33" w:name="inconsistencies-found"/>
    <w:p>
      <w:pPr>
        <w:pStyle w:val="Heading2"/>
      </w:pPr>
      <w:r>
        <w:t xml:space="preserve">Inconsistencies found</w:t>
      </w:r>
    </w:p>
    <w:p>
      <w:pPr>
        <w:numPr>
          <w:ilvl w:val="0"/>
          <w:numId w:val="1003"/>
        </w:numPr>
        <w:pStyle w:val="Compact"/>
      </w:pPr>
      <w:r>
        <w:rPr>
          <w:bCs/>
          <w:b/>
        </w:rPr>
        <w:t xml:space="preserve">Imaginary-mode count at the Phase 1 transition state.</w:t>
      </w:r>
      <w:r>
        <w:t xml:space="preserve"> </w:t>
      </w:r>
      <w:r>
        <w:rPr>
          <w:rStyle w:val="VerbatimChar"/>
        </w:rPr>
        <w:t xml:space="preserve">05_qmmm/18c_reduced_region/ts_frequencies_summary.txt</w:t>
      </w:r>
      <w:r>
        <w:t xml:space="preserve"> </w:t>
      </w:r>
      <w:r>
        <w:t xml:space="preserve">tabulates two</w:t>
      </w:r>
      <w:r>
        <w:t xml:space="preserve"> </w:t>
      </w:r>
      <w:r>
        <w:t xml:space="preserve">imaginary modes, −313.30 and −18.65 cm⁻¹, while the header of that same file</w:t>
      </w:r>
      <w:r>
        <w:t xml:space="preserve"> </w:t>
      </w:r>
      <w:r>
        <w:t xml:space="preserve">and</w:t>
      </w:r>
      <w:r>
        <w:t xml:space="preserve"> </w:t>
      </w:r>
      <w:r>
        <w:rPr>
          <w:rStyle w:val="VerbatimChar"/>
        </w:rPr>
        <w:t xml:space="preserve">phase1_system_dev/BARRIER_FINAL.md</w:t>
      </w:r>
      <w:r>
        <w:t xml:space="preserve"> </w:t>
      </w:r>
      <w:r>
        <w:t xml:space="preserve">both state one.</w:t>
      </w:r>
      <w:r>
        <w:t xml:space="preserve"> </w:t>
      </w:r>
      <w:r>
        <w:rPr>
          <w:rStyle w:val="VerbatimChar"/>
        </w:rPr>
        <w:t xml:space="preserve">WRITEUP_INDEX.md</w:t>
      </w:r>
      <w:r>
        <w:t xml:space="preserve"> </w:t>
      </w:r>
      <w:r>
        <w:t xml:space="preserve">records the discrepancy as unreconciled. This does not</w:t>
      </w:r>
      <w:r>
        <w:t xml:space="preserve"> </w:t>
      </w:r>
      <w:r>
        <w:t xml:space="preserve">affect any number in X.1, which uses the geometries and not the Hessian, but</w:t>
      </w:r>
      <w:r>
        <w:t xml:space="preserve"> </w:t>
      </w:r>
      <w:r>
        <w:t xml:space="preserve">it bears on the transition-state characterisation cited from Chapter W.</w:t>
      </w:r>
    </w:p>
    <w:p>
      <w:pPr>
        <w:numPr>
          <w:ilvl w:val="0"/>
          <w:numId w:val="1003"/>
        </w:numPr>
        <w:pStyle w:val="Compact"/>
      </w:pPr>
      <w:r>
        <w:rPr>
          <w:bCs/>
          <w:b/>
        </w:rPr>
        <w:t xml:space="preserve">A superseded argument regarding diffuse functions.</w:t>
      </w:r>
      <w:r>
        <w:t xml:space="preserve"> </w:t>
      </w:r>
      <w:r>
        <w:t xml:space="preserve">An earlier draft of the</w:t>
      </w:r>
      <w:r>
        <w:t xml:space="preserve"> </w:t>
      </w:r>
      <w:r>
        <w:t xml:space="preserve">notes accompanying this section argued that fragmentation persisting under</w:t>
      </w:r>
      <w:r>
        <w:t xml:space="preserve"> </w:t>
      </w:r>
      <w:r>
        <w:t xml:space="preserve">def2-SVPD supports a genuine Coulomb dissociation, on the grounds that a real</w:t>
      </w:r>
      <w:r>
        <w:t xml:space="preserve"> </w:t>
      </w:r>
      <w:r>
        <w:t xml:space="preserve">effect would not be removed by a larger basis. That inference does not hold</w:t>
      </w:r>
      <w:r>
        <w:t xml:space="preserve"> </w:t>
      </w:r>
      <w:r>
        <w:t xml:space="preserve">for electron spill-out, which Laio</w:t>
      </w:r>
      <w:r>
        <w:t xml:space="preserve"> </w:t>
      </w:r>
      <w:r>
        <w:rPr>
          <w:iCs/>
          <w:i/>
        </w:rPr>
        <w:t xml:space="preserve">et al.</w:t>
      </w:r>
      <w:r>
        <w:t xml:space="preserve"> </w:t>
      </w:r>
      <w:r>
        <w:t xml:space="preserve">(2002) report is</w:t>
      </w:r>
      <w:r>
        <w:t xml:space="preserve"> </w:t>
      </w:r>
      <w:r>
        <w:t xml:space="preserve">“</w:t>
      </w:r>
      <w:r>
        <w:t xml:space="preserve">doomed to get</w:t>
      </w:r>
      <w:r>
        <w:t xml:space="preserve"> </w:t>
      </w:r>
      <w:r>
        <w:t xml:space="preserve">worse if the basis set is extended</w:t>
      </w:r>
      <w:r>
        <w:t xml:space="preserve">”</w:t>
      </w:r>
      <w:r>
        <w:t xml:space="preserve">. The argument has been removed and is</w:t>
      </w:r>
      <w:r>
        <w:t xml:space="preserve"> </w:t>
      </w:r>
      <w:r>
        <w:t xml:space="preserve">replaced in Section X.2 by one resting on the presence of explicit</w:t>
      </w:r>
      <w:r>
        <w:t xml:space="preserve"> </w:t>
      </w:r>
      <w:r>
        <w:t xml:space="preserve">Lennard-Jones walls.</w:t>
      </w:r>
    </w:p>
    <w:bookmarkEnd w:id="33"/>
    <w:bookmarkStart w:id="34" w:name="verification-log"/>
    <w:p>
      <w:pPr>
        <w:pStyle w:val="Heading2"/>
      </w:pPr>
      <w:r>
        <w:t xml:space="preserve">Verification log</w:t>
      </w:r>
    </w:p>
    <w:p>
      <w:pPr>
        <w:pStyle w:val="FirstParagraph"/>
      </w:pPr>
      <w:r>
        <w:t xml:space="preserve">Barriers re-derived from the committed energies, using</w:t>
      </w:r>
      <w:r>
        <w:t xml:space="preserve"> </w:t>
      </w:r>
      <w:r>
        <w:t xml:space="preserve">1 Eh = 627.5094740631 kcal mol⁻¹.</w:t>
      </w:r>
    </w:p>
    <w:p>
      <w:pPr>
        <w:numPr>
          <w:ilvl w:val="0"/>
          <w:numId w:val="1004"/>
        </w:numPr>
        <w:pStyle w:val="Compact"/>
      </w:pPr>
      <w:r>
        <w:t xml:space="preserve">Reference barrier, from</w:t>
      </w:r>
      <w:r>
        <w:t xml:space="preserve"> </w:t>
      </w:r>
      <w:r>
        <w:rPr>
          <w:rStyle w:val="VerbatimChar"/>
        </w:rPr>
        <w:t xml:space="preserve">sp_reactant.out</w:t>
      </w:r>
      <w:r>
        <w:t xml:space="preserve"> </w:t>
      </w:r>
      <w:r>
        <w:t xml:space="preserve">and</w:t>
      </w:r>
      <w:r>
        <w:t xml:space="preserve"> </w:t>
      </w:r>
      <w:r>
        <w:rPr>
          <w:rStyle w:val="VerbatimChar"/>
        </w:rPr>
        <w:t xml:space="preserve">sp_ts.out</w:t>
      </w:r>
      <w:r>
        <w:t xml:space="preserve">:</w:t>
      </w:r>
      <w:r>
        <w:t xml:space="preserve"> </w:t>
      </w:r>
      <w:r>
        <w:t xml:space="preserve">(−836.339411092751) − (−836.367257939969) = 0.027846847218 Eh =</w:t>
      </w:r>
      <w:r>
        <w:t xml:space="preserve"> </w:t>
      </w:r>
      <w:r>
        <w:rPr>
          <w:bCs/>
          <w:b/>
        </w:rPr>
        <w:t xml:space="preserve">17.4742</w:t>
      </w:r>
      <w:r>
        <w:rPr>
          <w:bCs/>
          <w:b/>
        </w:rPr>
        <w:t xml:space="preserve"> </w:t>
      </w:r>
      <w:r>
        <w:rPr>
          <w:bCs/>
          <w:b/>
        </w:rPr>
        <w:t xml:space="preserve">kcal mol⁻¹</w:t>
      </w:r>
      <w:r>
        <w:t xml:space="preserve">, reported as +17.47.</w:t>
      </w:r>
    </w:p>
    <w:p>
      <w:pPr>
        <w:numPr>
          <w:ilvl w:val="0"/>
          <w:numId w:val="1004"/>
        </w:numPr>
        <w:pStyle w:val="Compact"/>
      </w:pPr>
      <w:r>
        <w:t xml:space="preserve">Reaction energy, from</w:t>
      </w:r>
      <w:r>
        <w:t xml:space="preserve"> </w:t>
      </w:r>
      <w:r>
        <w:rPr>
          <w:rStyle w:val="VerbatimChar"/>
        </w:rPr>
        <w:t xml:space="preserve">sp_reactant.out</w:t>
      </w:r>
      <w:r>
        <w:t xml:space="preserve"> </w:t>
      </w:r>
      <w:r>
        <w:t xml:space="preserve">and</w:t>
      </w:r>
      <w:r>
        <w:t xml:space="preserve"> </w:t>
      </w:r>
      <w:r>
        <w:rPr>
          <w:rStyle w:val="VerbatimChar"/>
        </w:rPr>
        <w:t xml:space="preserve">sp_product.out</w:t>
      </w:r>
      <w:r>
        <w:t xml:space="preserve">:</w:t>
      </w:r>
      <w:r>
        <w:t xml:space="preserve"> </w:t>
      </w:r>
      <w:r>
        <w:t xml:space="preserve">(−836.395042998029) − (−836.367257939969) = −0.027785058060 Eh =</w:t>
      </w:r>
      <w:r>
        <w:t xml:space="preserve"> </w:t>
      </w:r>
      <w:r>
        <w:rPr>
          <w:bCs/>
          <w:b/>
        </w:rPr>
        <w:t xml:space="preserve">−17.4354</w:t>
      </w:r>
      <w:r>
        <w:rPr>
          <w:bCs/>
          <w:b/>
        </w:rPr>
        <w:t xml:space="preserve"> </w:t>
      </w:r>
      <w:r>
        <w:rPr>
          <w:bCs/>
          <w:b/>
        </w:rPr>
        <w:t xml:space="preserve">kcal mol⁻¹</w:t>
      </w:r>
      <w:r>
        <w:t xml:space="preserve">.</w:t>
      </w:r>
    </w:p>
    <w:p>
      <w:pPr>
        <w:numPr>
          <w:ilvl w:val="0"/>
          <w:numId w:val="1004"/>
        </w:numPr>
        <w:pStyle w:val="Compact"/>
      </w:pPr>
      <w:r>
        <w:t xml:space="preserve">Sensitivity barriers, from</w:t>
      </w:r>
      <w:r>
        <w:t xml:space="preserve"> </w:t>
      </w:r>
      <w:r>
        <w:rPr>
          <w:rStyle w:val="VerbatimChar"/>
        </w:rPr>
        <w:t xml:space="preserve">refstate_diagnostic.pbs.out</w:t>
      </w:r>
      <w:r>
        <w:t xml:space="preserve">: def2-SVP vacuum</w:t>
      </w:r>
      <w:r>
        <w:t xml:space="preserve"> </w:t>
      </w:r>
      <w:r>
        <w:t xml:space="preserve">17.905, def2-SVP CPCM 17.474, def2-SVPD vacuum 17.995, def2-SVPD CPCM 17.535</w:t>
      </w:r>
      <w:r>
        <w:t xml:space="preserve"> </w:t>
      </w:r>
      <w:r>
        <w:t xml:space="preserve">kcal mol⁻¹. Spread 0.521 kcal mol⁻¹.</w:t>
      </w:r>
    </w:p>
    <w:p>
      <w:pPr>
        <w:numPr>
          <w:ilvl w:val="0"/>
          <w:numId w:val="1004"/>
        </w:numPr>
        <w:pStyle w:val="Compact"/>
      </w:pPr>
      <w:r>
        <w:t xml:space="preserve">Consistency check between the diagnostic and the production single points: the</w:t>
      </w:r>
      <w:r>
        <w:t xml:space="preserve"> </w:t>
      </w:r>
      <w:r>
        <w:t xml:space="preserve">diagnostic reactant energy (−836.367258331119 Eh, computed with TightSCF)</w:t>
      </w:r>
      <w:r>
        <w:t xml:space="preserve"> </w:t>
      </w:r>
      <w:r>
        <w:t xml:space="preserve">differs from the production value (−836.367257939969 Eh) by 3.91 × 10⁻⁷ Eh,</w:t>
      </w:r>
      <w:r>
        <w:t xml:space="preserve"> </w:t>
      </w:r>
      <w:r>
        <w:t xml:space="preserve">equivalent to 0.00025 kcal mol⁻¹.</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2026-09-08T15:26:10Z</dcterms:created>
  <dcterms:modified xsi:type="dcterms:W3CDTF">2026-09-08T15:26:10Z</dcterms:modified>
</cp:coreProperties>
</file>

<file path=docProps/custom.xml><?xml version="1.0" encoding="utf-8"?>
<Properties xmlns="http://schemas.openxmlformats.org/officeDocument/2006/custom-properties" xmlns:vt="http://schemas.openxmlformats.org/officeDocument/2006/docPropsVTypes"/>
</file>