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2-representation-of-external-charge"/>
    <w:p>
      <w:pPr>
        <w:pStyle w:val="Heading1"/>
      </w:pPr>
      <w:r>
        <w:t xml:space="preserve">X.2 Representation of external charge</w:t>
      </w:r>
    </w:p>
    <w:bookmarkStart w:id="20" w:name="x.2.1-rationale"/>
    <w:p>
      <w:pPr>
        <w:pStyle w:val="Heading2"/>
      </w:pPr>
      <w:r>
        <w:t xml:space="preserve">X.2.1 Rationale</w:t>
      </w:r>
    </w:p>
    <w:p>
      <w:pPr>
        <w:pStyle w:val="FirstParagraph"/>
      </w:pPr>
      <w:r>
        <w:t xml:space="preserve">I designed the external environment as a set of discrete charged entities rather</w:t>
      </w:r>
      <w:r>
        <w:t xml:space="preserve"> </w:t>
      </w:r>
      <w:r>
        <w:t xml:space="preserve">than as a continuous field, following the electrostatic account of enzyme</w:t>
      </w:r>
      <w:r>
        <w:t xml:space="preserve"> </w:t>
      </w:r>
      <w:r>
        <w:t xml:space="preserve">catalysis given by Warshel</w:t>
      </w:r>
      <w:r>
        <w:t xml:space="preserve"> </w:t>
      </w:r>
      <w:r>
        <w:rPr>
          <w:iCs/>
          <w:i/>
        </w:rPr>
        <w:t xml:space="preserve">et al.</w:t>
      </w:r>
      <w:r>
        <w:t xml:space="preserve"> </w:t>
      </w:r>
      <w:r>
        <w:t xml:space="preserve">(2006), who attribute catalytic power to</w:t>
      </w:r>
      <w:r>
        <w:t xml:space="preserve"> </w:t>
      </w:r>
      <w:r>
        <w:t xml:space="preserve">“</w:t>
      </w:r>
      <w:r>
        <w:t xml:space="preserve">the</w:t>
      </w:r>
      <w:r>
        <w:t xml:space="preserve"> </w:t>
      </w:r>
      <w:r>
        <w:t xml:space="preserve">preorganized electrostatic environment</w:t>
      </w:r>
      <w:r>
        <w:t xml:space="preserve">”</w:t>
      </w:r>
      <w:r>
        <w:t xml:space="preserve"> </w:t>
      </w:r>
      <w:r>
        <w:t xml:space="preserve">of an active site and show that the</w:t>
      </w:r>
      <w:r>
        <w:t xml:space="preserve"> </w:t>
      </w:r>
      <w:r>
        <w:t xml:space="preserve">catalytic term vanishes</w:t>
      </w:r>
      <w:r>
        <w:t xml:space="preserve"> </w:t>
      </w:r>
      <w:r>
        <w:t xml:space="preserve">“</w:t>
      </w:r>
      <w:r>
        <w:t xml:space="preserve">if the environment is randomly oriented toward the TS in</w:t>
      </w:r>
      <w:r>
        <w:t xml:space="preserve"> </w:t>
      </w:r>
      <w:r>
        <w:t xml:space="preserve">the absence of charge (as is the case in water)</w:t>
      </w:r>
      <w:r>
        <w:t xml:space="preserve">”</w:t>
      </w:r>
      <w:r>
        <w:t xml:space="preserve">.</w:t>
      </w:r>
    </w:p>
    <w:p>
      <w:pPr>
        <w:pStyle w:val="BodyText"/>
      </w:pPr>
      <w:r>
        <w:t xml:space="preserve">Warshel</w:t>
      </w:r>
      <w:r>
        <w:t xml:space="preserve"> </w:t>
      </w:r>
      <w:r>
        <w:rPr>
          <w:iCs/>
          <w:i/>
        </w:rPr>
        <w:t xml:space="preserve">et al.</w:t>
      </w:r>
      <w:r>
        <w:t xml:space="preserve"> </w:t>
      </w:r>
      <w:r>
        <w:t xml:space="preserve">(2006) also identify the cost of that arrangement, in a section</w:t>
      </w:r>
      <w:r>
        <w:t xml:space="preserve"> </w:t>
      </w:r>
      <w:r>
        <w:t xml:space="preserve">headed</w:t>
      </w:r>
      <w:r>
        <w:t xml:space="preserve"> </w:t>
      </w:r>
      <w:r>
        <w:t xml:space="preserve">“</w:t>
      </w:r>
      <w:r>
        <w:t xml:space="preserve">The Cost of Electrostatic Preorganization Is Paid by the Folding Energy</w:t>
      </w:r>
      <w:r>
        <w:t xml:space="preserve">”</w:t>
      </w:r>
      <w:r>
        <w:t xml:space="preserve">.</w:t>
      </w:r>
      <w:r>
        <w:t xml:space="preserve"> </w:t>
      </w:r>
      <w:r>
        <w:t xml:space="preserve">An enzyme holds its active-site groups in position by means of the protein fold.</w:t>
      </w:r>
      <w:r>
        <w:t xml:space="preserve"> </w:t>
      </w:r>
      <w:r>
        <w:t xml:space="preserve">A set of charges placed in free space has no equivalent constraint, which is the</w:t>
      </w:r>
      <w:r>
        <w:t xml:space="preserve"> </w:t>
      </w:r>
      <w:r>
        <w:t xml:space="preserve">reason the design developed in this thesis carries a second, neutral layer</w:t>
      </w:r>
      <w:r>
        <w:t xml:space="preserve"> </w:t>
      </w:r>
      <w:r>
        <w:t xml:space="preserve">supplying geometric confinement (Chapter Y).</w:t>
      </w:r>
    </w:p>
    <w:p>
      <w:pPr>
        <w:pStyle w:val="BodyText"/>
      </w:pPr>
      <w:r>
        <w:t xml:space="preserve">I retained a charge layer, rather than relying on geometric confinement alone,</w:t>
      </w:r>
      <w:r>
        <w:t xml:space="preserve"> </w:t>
      </w:r>
      <w:r>
        <w:t xml:space="preserve">on the evidence of Burschowsky</w:t>
      </w:r>
      <w:r>
        <w:t xml:space="preserve"> </w:t>
      </w:r>
      <w:r>
        <w:rPr>
          <w:iCs/>
          <w:i/>
        </w:rPr>
        <w:t xml:space="preserve">et al.</w:t>
      </w:r>
      <w:r>
        <w:t xml:space="preserve"> </w:t>
      </w:r>
      <w:r>
        <w:t xml:space="preserve">(2014). They replaced the cationic</w:t>
      </w:r>
      <w:r>
        <w:t xml:space="preserve"> </w:t>
      </w:r>
      <w:r>
        <w:t xml:space="preserve">active-site Arg90 of</w:t>
      </w:r>
      <w:r>
        <w:t xml:space="preserve"> </w:t>
      </w:r>
      <w:r>
        <w:rPr>
          <w:iCs/>
          <w:i/>
        </w:rPr>
        <w:t xml:space="preserve">Bacillus subtilis</w:t>
      </w:r>
      <w:r>
        <w:t xml:space="preserve"> </w:t>
      </w:r>
      <w:r>
        <w:t xml:space="preserve">chorismate mutase with neutral</w:t>
      </w:r>
      <w:r>
        <w:t xml:space="preserve"> </w:t>
      </w:r>
      <w:r>
        <w:t xml:space="preserve">citrulline and reported a variant that</w:t>
      </w:r>
      <w:r>
        <w:t xml:space="preserve"> </w:t>
      </w:r>
      <w:r>
        <w:t xml:space="preserve">“</w:t>
      </w:r>
      <w:r>
        <w:t xml:space="preserve">is a poor catalyst even though it</w:t>
      </w:r>
      <w:r>
        <w:t xml:space="preserve"> </w:t>
      </w:r>
      <w:r>
        <w:t xml:space="preserve">effectively preorganizes chorismate for the reaction</w:t>
      </w:r>
      <w:r>
        <w:t xml:space="preserve">”</w:t>
      </w:r>
      <w:r>
        <w:t xml:space="preserve">, concluding that an active</w:t>
      </w:r>
      <w:r>
        <w:t xml:space="preserve"> </w:t>
      </w:r>
      <w:r>
        <w:t xml:space="preserve">site</w:t>
      </w:r>
      <w:r>
        <w:t xml:space="preserve"> </w:t>
      </w:r>
      <w:r>
        <w:t xml:space="preserve">“</w:t>
      </w:r>
      <w:r>
        <w:t xml:space="preserve">which is only complementary in shape to a reactive substrate conformer, is</w:t>
      </w:r>
      <w:r>
        <w:t xml:space="preserve"> </w:t>
      </w:r>
      <w:r>
        <w:t xml:space="preserve">insufficient for effective catalysis</w:t>
      </w:r>
      <w:r>
        <w:t xml:space="preserve">”</w:t>
      </w:r>
      <w:r>
        <w:t xml:space="preserve">.</w:t>
      </w:r>
    </w:p>
    <w:bookmarkEnd w:id="20"/>
    <w:bookmarkStart w:id="21" w:name="x.2.2-embedding-scheme"/>
    <w:p>
      <w:pPr>
        <w:pStyle w:val="Heading2"/>
      </w:pPr>
      <w:r>
        <w:t xml:space="preserve">X.2.2 Embedding scheme</w:t>
      </w:r>
    </w:p>
    <w:p>
      <w:pPr>
        <w:pStyle w:val="FirstParagraph"/>
      </w:pPr>
      <w:r>
        <w:t xml:space="preserve">I treated the external charges by electrostatic embedding, in the classification</w:t>
      </w:r>
      <w:r>
        <w:t xml:space="preserve"> </w:t>
      </w:r>
      <w:r>
        <w:t xml:space="preserve">of Senn and Thiel (2009), who distinguish</w:t>
      </w:r>
      <w:r>
        <w:t xml:space="preserve"> </w:t>
      </w:r>
      <w:r>
        <w:t xml:space="preserve">“</w:t>
      </w:r>
      <w:r>
        <w:t xml:space="preserve">mechanical embedding (model A),</w:t>
      </w:r>
      <w:r>
        <w:t xml:space="preserve"> </w:t>
      </w:r>
      <w:r>
        <w:t xml:space="preserve">electrostatic embedding (model B), and polarized embedding (models C and D)</w:t>
      </w:r>
      <w:r>
        <w:t xml:space="preserve">”</w:t>
      </w:r>
      <w:r>
        <w:t xml:space="preserve">.</w:t>
      </w:r>
      <w:r>
        <w:t xml:space="preserve"> </w:t>
      </w:r>
      <w:r>
        <w:t xml:space="preserve">Mechanical embedding was unsuitable because, in that scheme,</w:t>
      </w:r>
      <w:r>
        <w:t xml:space="preserve"> </w:t>
      </w:r>
      <w:r>
        <w:t xml:space="preserve">“</w:t>
      </w:r>
      <w:r>
        <w:t xml:space="preserve">the charges in the</w:t>
      </w:r>
      <w:r>
        <w:t xml:space="preserve"> </w:t>
      </w:r>
      <w:r>
        <w:t xml:space="preserve">outer region do not interact with the QM density, which is thus not directly</w:t>
      </w:r>
      <w:r>
        <w:t xml:space="preserve"> </w:t>
      </w:r>
      <w:r>
        <w:t xml:space="preserve">influenced (polarized) by the electrostatic environment</w:t>
      </w:r>
      <w:r>
        <w:t xml:space="preserve">”</w:t>
      </w:r>
      <w:r>
        <w:t xml:space="preserve">, and the polarising</w:t>
      </w:r>
      <w:r>
        <w:t xml:space="preserve"> </w:t>
      </w:r>
      <w:r>
        <w:t xml:space="preserve">effect of the environment on the substrate is the quantity this work optimises.</w:t>
      </w:r>
      <w:r>
        <w:t xml:space="preserve"> </w:t>
      </w:r>
      <w:r>
        <w:t xml:space="preserve">Polarized embedding would additionally allow the environment to respond to the</w:t>
      </w:r>
      <w:r>
        <w:t xml:space="preserve"> </w:t>
      </w:r>
      <w:r>
        <w:t xml:space="preserve">substrate, which the designed entities considered here do not do. Senn and Thiel</w:t>
      </w:r>
      <w:r>
        <w:t xml:space="preserve"> </w:t>
      </w:r>
      <w:r>
        <w:t xml:space="preserve">(2009) describe electrostatic embedding as</w:t>
      </w:r>
      <w:r>
        <w:t xml:space="preserve"> </w:t>
      </w:r>
      <w:r>
        <w:t xml:space="preserve">“</w:t>
      </w:r>
      <w:r>
        <w:t xml:space="preserve">the most popular embedding scheme in</w:t>
      </w:r>
      <w:r>
        <w:t xml:space="preserve"> </w:t>
      </w:r>
      <w:r>
        <w:t xml:space="preserve">use today, certainly for biomolecular applications</w:t>
      </w:r>
      <w:r>
        <w:t xml:space="preserve">”</w:t>
      </w:r>
      <w:r>
        <w:t xml:space="preserve">.</w:t>
      </w:r>
    </w:p>
    <w:bookmarkEnd w:id="21"/>
    <w:bookmarkStart w:id="22" w:name="x.2.3-electron-spill-out"/>
    <w:p>
      <w:pPr>
        <w:pStyle w:val="Heading2"/>
      </w:pPr>
      <w:r>
        <w:t xml:space="preserve">X.2.3 Electron spill-out</w:t>
      </w:r>
    </w:p>
    <w:p>
      <w:pPr>
        <w:pStyle w:val="FirstParagraph"/>
      </w:pPr>
      <w:r>
        <w:t xml:space="preserve">A point charge carries no electron density and therefore exerts no Pauli</w:t>
      </w:r>
      <w:r>
        <w:t xml:space="preserve"> </w:t>
      </w:r>
      <w:r>
        <w:t xml:space="preserve">repulsion on the quantum subsystem. Laio</w:t>
      </w:r>
      <w:r>
        <w:t xml:space="preserve"> </w:t>
      </w:r>
      <w:r>
        <w:rPr>
          <w:iCs/>
          <w:i/>
        </w:rPr>
        <w:t xml:space="preserve">et al.</w:t>
      </w:r>
      <w:r>
        <w:t xml:space="preserve"> </w:t>
      </w:r>
      <w:r>
        <w:t xml:space="preserve">(2002) describe the</w:t>
      </w:r>
      <w:r>
        <w:t xml:space="preserve"> </w:t>
      </w:r>
      <w:r>
        <w:t xml:space="preserve">consequence:</w:t>
      </w:r>
      <w:r>
        <w:t xml:space="preserve"> </w:t>
      </w:r>
      <w:r>
        <w:t xml:space="preserve">“</w:t>
      </w:r>
      <w:r>
        <w:t xml:space="preserve">positively charged classical atoms can act as traps for the</w:t>
      </w:r>
      <w:r>
        <w:t xml:space="preserve"> </w:t>
      </w:r>
      <w:r>
        <w:t xml:space="preserve">electron if the basis set is flexible enough to allow for this. In fact, the</w:t>
      </w:r>
      <w:r>
        <w:t xml:space="preserve"> </w:t>
      </w:r>
      <w:r>
        <w:t xml:space="preserve">Pauli repulsion from the electron cloud that would surround the classical atoms</w:t>
      </w:r>
      <w:r>
        <w:t xml:space="preserve"> </w:t>
      </w:r>
      <w:r>
        <w:t xml:space="preserve">is absent, and therefore, the electron density is over-polarized, at short range,</w:t>
      </w:r>
      <w:r>
        <w:t xml:space="preserve"> </w:t>
      </w:r>
      <w:r>
        <w:t xml:space="preserve">by an incorrect purely attractive potential, giving rise to the so-called</w:t>
      </w:r>
      <w:r>
        <w:t xml:space="preserve"> </w:t>
      </w:r>
      <w:r>
        <w:t xml:space="preserve">electron spill-out problem.</w:t>
      </w:r>
      <w:r>
        <w:t xml:space="preserve">”</w:t>
      </w:r>
    </w:p>
    <w:p>
      <w:pPr>
        <w:pStyle w:val="BodyText"/>
      </w:pPr>
      <w:r>
        <w:t xml:space="preserve">The effect is not attributable to field strength. A spherically symmetric charge</w:t>
      </w:r>
      <w:r>
        <w:t xml:space="preserve"> </w:t>
      </w:r>
      <w:r>
        <w:t xml:space="preserve">distribution produces, at every point outside itself, the field of a point charge</w:t>
      </w:r>
      <w:r>
        <w:t xml:space="preserve"> </w:t>
      </w:r>
      <w:r>
        <w:t xml:space="preserve">of equal magnitude at its centre. Conferring spatial extent on a charge therefore</w:t>
      </w:r>
      <w:r>
        <w:t xml:space="preserve"> </w:t>
      </w:r>
      <w:r>
        <w:t xml:space="preserve">alters the short-range interaction with the quantum density without altering the</w:t>
      </w:r>
      <w:r>
        <w:t xml:space="preserve"> </w:t>
      </w:r>
      <w:r>
        <w:t xml:space="preserve">field imposed on the substrate.</w:t>
      </w:r>
    </w:p>
    <w:p>
      <w:pPr>
        <w:pStyle w:val="BodyText"/>
      </w:pPr>
      <w:r>
        <w:t xml:space="preserve">Basis-set extension does not remedy the problem. Laio</w:t>
      </w:r>
      <w:r>
        <w:t xml:space="preserve"> </w:t>
      </w:r>
      <w:r>
        <w:rPr>
          <w:iCs/>
          <w:i/>
        </w:rPr>
        <w:t xml:space="preserve">et al.</w:t>
      </w:r>
      <w:r>
        <w:t xml:space="preserve"> </w:t>
      </w:r>
      <w:r>
        <w:t xml:space="preserve">(2002) report that</w:t>
      </w:r>
      <w:r>
        <w:t xml:space="preserve"> </w:t>
      </w:r>
      <w:r>
        <w:t xml:space="preserve">the effect</w:t>
      </w:r>
      <w:r>
        <w:t xml:space="preserve"> </w:t>
      </w:r>
      <w:r>
        <w:t xml:space="preserve">“</w:t>
      </w:r>
      <w:r>
        <w:t xml:space="preserve">can be of relevance also in schemes using localized basis sets,</w:t>
      </w:r>
      <w:r>
        <w:t xml:space="preserve"> </w:t>
      </w:r>
      <w:r>
        <w:t xml:space="preserve">especially if extended basis sets with diffuse functions are used</w:t>
      </w:r>
      <w:r>
        <w:t xml:space="preserve">”</w:t>
      </w:r>
      <w:r>
        <w:t xml:space="preserve">, and that</w:t>
      </w:r>
      <w:r>
        <w:t xml:space="preserve"> </w:t>
      </w:r>
      <w:r>
        <w:t xml:space="preserve">“</w:t>
      </w:r>
      <w:r>
        <w:t xml:space="preserve">the</w:t>
      </w:r>
      <w:r>
        <w:t xml:space="preserve"> </w:t>
      </w:r>
      <w:r>
        <w:t xml:space="preserve">unphysical nature of the interaction is present at any level of description, and</w:t>
      </w:r>
      <w:r>
        <w:t xml:space="preserve"> </w:t>
      </w:r>
      <w:r>
        <w:t xml:space="preserve">is doomed to get worse if the basis set is extended</w:t>
      </w:r>
      <w:r>
        <w:t xml:space="preserve">”</w:t>
      </w:r>
      <w:r>
        <w:t xml:space="preserve">. A result that persists</w:t>
      </w:r>
      <w:r>
        <w:t xml:space="preserve"> </w:t>
      </w:r>
      <w:r>
        <w:t xml:space="preserve">under basis extension is therefore not, on that evidence alone, free of the</w:t>
      </w:r>
      <w:r>
        <w:t xml:space="preserve"> </w:t>
      </w:r>
      <w:r>
        <w:t xml:space="preserve">artefact.</w:t>
      </w:r>
    </w:p>
    <w:p>
      <w:pPr>
        <w:pStyle w:val="BodyText"/>
      </w:pPr>
      <w:r>
        <w:t xml:space="preserve">Senn and Thiel (2009) record the accepted remedy as repulsive rather than</w:t>
      </w:r>
      <w:r>
        <w:t xml:space="preserve"> </w:t>
      </w:r>
      <w:r>
        <w:t xml:space="preserve">electrostatic, citing Lennard-Jones radii</w:t>
      </w:r>
      <w:r>
        <w:t xml:space="preserve"> </w:t>
      </w:r>
      <w:r>
        <w:t xml:space="preserve">“</w:t>
      </w:r>
      <w:r>
        <w:t xml:space="preserve">5-10 % larger than those of the</w:t>
      </w:r>
      <w:r>
        <w:t xml:space="preserve"> </w:t>
      </w:r>
      <w:r>
        <w:t xml:space="preserve">underlying force field</w:t>
      </w:r>
      <w:r>
        <w:t xml:space="preserve">”</w:t>
      </w:r>
      <w:r>
        <w:t xml:space="preserve">, where</w:t>
      </w:r>
      <w:r>
        <w:t xml:space="preserve"> </w:t>
      </w:r>
      <w:r>
        <w:t xml:space="preserve">“</w:t>
      </w:r>
      <w:r>
        <w:t xml:space="preserve">the resulting increased repulsion compensates for</w:t>
      </w:r>
      <w:r>
        <w:t xml:space="preserve"> </w:t>
      </w:r>
      <w:r>
        <w:t xml:space="preserve">the too strong QM-MM electrostatic attraction which arises from overpolarization</w:t>
      </w:r>
      <w:r>
        <w:t xml:space="preserve"> </w:t>
      </w:r>
      <w:r>
        <w:t xml:space="preserve">at the boundary</w:t>
      </w:r>
      <w:r>
        <w:t xml:space="preserve">”</w:t>
      </w:r>
      <w:r>
        <w:t xml:space="preserve">.</w:t>
      </w:r>
    </w:p>
    <w:p>
      <w:pPr>
        <w:pStyle w:val="BodyText"/>
      </w:pPr>
      <w:r>
        <w:t xml:space="preserve">Spill-out therefore sets the criterion against which the available</w:t>
      </w:r>
      <w:r>
        <w:t xml:space="preserve"> </w:t>
      </w:r>
      <w:r>
        <w:t xml:space="preserve">representations are assessed in X.2.4: whether the representation excludes the</w:t>
      </w:r>
      <w:r>
        <w:t xml:space="preserve"> </w:t>
      </w:r>
      <w:r>
        <w:t xml:space="preserve">quantum density from the immediate neighbourhood of the charge.</w:t>
      </w:r>
    </w:p>
    <w:bookmarkEnd w:id="22"/>
    <w:bookmarkStart w:id="23" w:name="x.2.4-available-representations"/>
    <w:p>
      <w:pPr>
        <w:pStyle w:val="Heading2"/>
      </w:pPr>
      <w:r>
        <w:t xml:space="preserve">X.2.4 Available representations</w:t>
      </w:r>
    </w:p>
    <w:p>
      <w:pPr>
        <w:pStyle w:val="FirstParagraph"/>
      </w:pPr>
      <w:r>
        <w:t xml:space="preserve">A charged entity may be introduced into an ORCA calculation by several routes,</w:t>
      </w:r>
      <w:r>
        <w:t xml:space="preserve"> </w:t>
      </w:r>
      <w:r>
        <w:t xml:space="preserve">differing in whether the entity is treated quantum-mechanically, whether it</w:t>
      </w:r>
      <w:r>
        <w:t xml:space="preserve"> </w:t>
      </w:r>
      <w:r>
        <w:t xml:space="preserve">excludes the substrate density, and how its charge is distributed in space. I</w:t>
      </w:r>
      <w:r>
        <w:t xml:space="preserve"> </w:t>
      </w:r>
      <w:r>
        <w:t xml:space="preserve">enumerate them here before selecting among them in X.2.5.</w:t>
      </w:r>
    </w:p>
    <w:p>
      <w:pPr>
        <w:pStyle w:val="BodyText"/>
      </w:pPr>
      <w:r>
        <w:t xml:space="preserve">ORCA 6.0.1 provides two native mechanisms for external charge. The first declares</w:t>
      </w:r>
      <w:r>
        <w:t xml:space="preserve"> </w:t>
      </w:r>
      <w:r>
        <w:t xml:space="preserve">charges as pseudo-atoms in the coordinate block, whereupon the program treats</w:t>
      </w:r>
      <w:r>
        <w:t xml:space="preserve"> </w:t>
      </w:r>
      <w:r>
        <w:t xml:space="preserve">them</w:t>
      </w:r>
      <w:r>
        <w:t xml:space="preserve"> </w:t>
      </w:r>
      <w:r>
        <w:t xml:space="preserve">“</w:t>
      </w:r>
      <w:r>
        <w:t xml:space="preserve">as atoms with no basis functions and nuclear charges equal to the</w:t>
      </w:r>
      <w:r>
        <w:t xml:space="preserve"> </w:t>
      </w:r>
      <w:r>
        <w:t xml:space="preserve">‘</w:t>
      </w:r>
      <w:r>
        <w:t xml:space="preserve">Q</w:t>
      </w:r>
      <w:r>
        <w:t xml:space="preserve">’</w:t>
      </w:r>
      <w:r>
        <w:t xml:space="preserve"> </w:t>
      </w:r>
      <w:r>
        <w:t xml:space="preserve">values</w:t>
      </w:r>
      <w:r>
        <w:t xml:space="preserve">”</w:t>
      </w:r>
      <w:r>
        <w:t xml:space="preserve">. The second reads them from an external file specified by</w:t>
      </w:r>
      <w:r>
        <w:t xml:space="preserve"> </w:t>
      </w:r>
      <w:r>
        <w:rPr>
          <w:rStyle w:val="VerbatimChar"/>
        </w:rPr>
        <w:t xml:space="preserve">%pointcharges</w:t>
      </w:r>
      <w:r>
        <w:t xml:space="preserve">, in which each line gives</w:t>
      </w:r>
      <w:r>
        <w:t xml:space="preserve"> </w:t>
      </w:r>
      <w:r>
        <w:t xml:space="preserve">“</w:t>
      </w:r>
      <w:r>
        <w:t xml:space="preserve">the magnitude of the point charge (in</w:t>
      </w:r>
      <w:r>
        <w:t xml:space="preserve"> </w:t>
      </w:r>
      <w:r>
        <w:t xml:space="preserve">atomic units) and its position (in Ångström units)</w:t>
      </w:r>
      <w:r>
        <w:t xml:space="preserve">”</w:t>
      </w:r>
      <w:r>
        <w:t xml:space="preserve"> </w:t>
      </w:r>
      <w:r>
        <w:t xml:space="preserve">(ORCA 6.0 manual, §7.2.4).</w:t>
      </w:r>
      <w:r>
        <w:t xml:space="preserve"> </w:t>
      </w:r>
      <w:r>
        <w:t xml:space="preserve">Neither accepts a width, radius or other parameter conferring spatial extent, so</w:t>
      </w:r>
      <w:r>
        <w:t xml:space="preserve"> </w:t>
      </w:r>
      <w:r>
        <w:t xml:space="preserve">a charge introduced by either route is a mathematical point and is subject to</w:t>
      </w:r>
      <w:r>
        <w:t xml:space="preserve"> </w:t>
      </w:r>
      <w:r>
        <w:t xml:space="preserve">spill-out. Spatial extent enters only through the QM/MM interface, in which an</w:t>
      </w:r>
      <w:r>
        <w:t xml:space="preserve"> </w:t>
      </w:r>
      <w:r>
        <w:t xml:space="preserve">environment particle carries Lennard-Jones parameters alongside its charge; the</w:t>
      </w:r>
      <w:r>
        <w:t xml:space="preserve"> </w:t>
      </w:r>
      <w:r>
        <w:t xml:space="preserve">force-field parameters for this work are held in</w:t>
      </w:r>
      <w:r>
        <w:t xml:space="preserve"> </w:t>
      </w:r>
      <w:r>
        <w:rPr>
          <w:rStyle w:val="VerbatimChar"/>
        </w:rPr>
        <w:t xml:space="preserve">complex_solvated.ORCAFF.prms</w:t>
      </w:r>
      <w:r>
        <w:t xml:space="preserve">.</w:t>
      </w:r>
      <w:r>
        <w:t xml:space="preserve"> </w:t>
      </w:r>
      <w:r>
        <w:t xml:space="preserve">A charged entity may also be placed in the quantum region itself, in which case</w:t>
      </w:r>
      <w:r>
        <w:t xml:space="preserve"> </w:t>
      </w:r>
      <w:r>
        <w:t xml:space="preserve">no embedding approximation applies. Separately, ORCA supports a uniform external</w:t>
      </w:r>
      <w:r>
        <w:t xml:space="preserve"> </w:t>
      </w:r>
      <w:r>
        <w:t xml:space="preserve">electric field for single points, geometry optimisations and transition-state</w:t>
      </w:r>
      <w:r>
        <w:t xml:space="preserve"> </w:t>
      </w:r>
      <w:r>
        <w:t xml:space="preserve">searches (Neese, 2025).</w:t>
      </w:r>
    </w:p>
    <w:p>
      <w:pPr>
        <w:pStyle w:val="BodyText"/>
      </w:pPr>
      <w:r>
        <w:t xml:space="preserve">Six representations follow, summarised in Table X.2.1.</w:t>
      </w:r>
    </w:p>
    <w:p>
      <w:pPr>
        <w:pStyle w:val="BodyText"/>
      </w:pPr>
      <w:r>
        <w:rPr>
          <w:bCs/>
          <w:b/>
        </w:rPr>
        <w:t xml:space="preserve">Table X.2.1</w:t>
      </w:r>
      <w:r>
        <w:t xml:space="preserve"> </w:t>
      </w:r>
      <w:r>
        <w:t xml:space="preserve">Construction of the six representations. Degrees of freedom are</w:t>
      </w:r>
      <w:r>
        <w:t xml:space="preserve"> </w:t>
      </w:r>
      <w:r>
        <w:t xml:space="preserve">per placed entity.</w:t>
      </w:r>
      <w:r>
        <w:t xml:space="preserve"> </w:t>
      </w:r>
      <w:r>
        <w:rPr>
          <w:iCs/>
          <w:i/>
        </w:rPr>
        <w:t xml:space="preserve">Responds to substrate</w:t>
      </w:r>
      <w:r>
        <w:t xml:space="preserve"> </w:t>
      </w:r>
      <w:r>
        <w:t xml:space="preserve">indicates whether the entity polarises</w:t>
      </w:r>
      <w:r>
        <w:t xml:space="preserve"> </w:t>
      </w:r>
      <w:r>
        <w:t xml:space="preserve">in the field of the substrate; only the quantum-region entity does so, the</w:t>
      </w:r>
      <w:r>
        <w:t xml:space="preserve"> </w:t>
      </w:r>
      <w:r>
        <w:t xml:space="preserve">remainder being rigid.</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w:t>
            </w:r>
          </w:p>
        </w:tc>
        <w:tc>
          <w:tcPr/>
          <w:p>
            <w:pPr>
              <w:pStyle w:val="Compact"/>
              <w:jc w:val="left"/>
            </w:pPr>
            <w:r>
              <w:t xml:space="preserve">Representation</w:t>
            </w:r>
          </w:p>
        </w:tc>
        <w:tc>
          <w:tcPr/>
          <w:p>
            <w:pPr>
              <w:pStyle w:val="Compact"/>
              <w:jc w:val="left"/>
            </w:pPr>
            <w:r>
              <w:t xml:space="preserve">Implemented as</w:t>
            </w:r>
          </w:p>
        </w:tc>
        <w:tc>
          <w:tcPr/>
          <w:p>
            <w:pPr>
              <w:pStyle w:val="Compact"/>
              <w:jc w:val="left"/>
            </w:pPr>
            <w:r>
              <w:t xml:space="preserve">Field produced</w:t>
            </w:r>
          </w:p>
        </w:tc>
        <w:tc>
          <w:tcPr/>
          <w:p>
            <w:pPr>
              <w:pStyle w:val="Compact"/>
              <w:jc w:val="left"/>
            </w:pPr>
            <w:r>
              <w:t xml:space="preserve">DOF</w:t>
            </w:r>
          </w:p>
        </w:tc>
        <w:tc>
          <w:tcPr/>
          <w:p>
            <w:pPr>
              <w:pStyle w:val="Compact"/>
              <w:jc w:val="left"/>
            </w:pPr>
            <w:r>
              <w:t xml:space="preserve">Responds to substrate</w:t>
            </w:r>
          </w:p>
        </w:tc>
      </w:tr>
      <w:tr>
        <w:tc>
          <w:tcPr/>
          <w:p>
            <w:pPr>
              <w:pStyle w:val="Compact"/>
              <w:jc w:val="left"/>
            </w:pPr>
            <w:r>
              <w:t xml:space="preserve">1</w:t>
            </w:r>
          </w:p>
        </w:tc>
        <w:tc>
          <w:tcPr/>
          <w:p>
            <w:pPr>
              <w:pStyle w:val="Compact"/>
              <w:jc w:val="left"/>
            </w:pPr>
            <w:r>
              <w:t xml:space="preserve">Point charge</w:t>
            </w:r>
          </w:p>
        </w:tc>
        <w:tc>
          <w:tcPr/>
          <w:p>
            <w:pPr>
              <w:pStyle w:val="Compact"/>
              <w:jc w:val="left"/>
            </w:pPr>
            <w:r>
              <w:rPr>
                <w:rStyle w:val="VerbatimChar"/>
              </w:rPr>
              <w:t xml:space="preserve">%pointcharges</w:t>
            </w:r>
            <w:r>
              <w:t xml:space="preserve"> </w:t>
            </w:r>
            <w:r>
              <w:t xml:space="preserve">file or</w:t>
            </w:r>
            <w:r>
              <w:t xml:space="preserve"> </w:t>
            </w:r>
            <w:r>
              <w:rPr>
                <w:rStyle w:val="VerbatimChar"/>
              </w:rPr>
              <w:t xml:space="preserve">Q</w:t>
            </w:r>
            <w:r>
              <w:t xml:space="preserve"> </w:t>
            </w:r>
            <w:r>
              <w:t xml:space="preserve">pseudo-atom</w:t>
            </w:r>
          </w:p>
        </w:tc>
        <w:tc>
          <w:tcPr/>
          <w:p>
            <w:pPr>
              <w:pStyle w:val="Compact"/>
              <w:jc w:val="left"/>
            </w:pPr>
            <w:r>
              <w:t xml:space="preserve">monopole</w:t>
            </w:r>
          </w:p>
        </w:tc>
        <w:tc>
          <w:tcPr/>
          <w:p>
            <w:pPr>
              <w:pStyle w:val="Compact"/>
              <w:jc w:val="left"/>
            </w:pPr>
            <w:r>
              <w:t xml:space="preserve">3</w:t>
            </w:r>
          </w:p>
        </w:tc>
        <w:tc>
          <w:tcPr/>
          <w:p>
            <w:pPr>
              <w:pStyle w:val="Compact"/>
              <w:jc w:val="left"/>
            </w:pPr>
            <w:r>
              <w:t xml:space="preserve">no</w:t>
            </w:r>
          </w:p>
        </w:tc>
      </w:tr>
      <w:tr>
        <w:tc>
          <w:tcPr/>
          <w:p>
            <w:pPr>
              <w:pStyle w:val="Compact"/>
              <w:jc w:val="left"/>
            </w:pPr>
            <w:r>
              <w:t xml:space="preserve">2</w:t>
            </w:r>
          </w:p>
        </w:tc>
        <w:tc>
          <w:tcPr/>
          <w:p>
            <w:pPr>
              <w:pStyle w:val="Compact"/>
              <w:jc w:val="left"/>
            </w:pPr>
            <w:r>
              <w:t xml:space="preserve">Point-charge shell</w:t>
            </w:r>
          </w:p>
        </w:tc>
        <w:tc>
          <w:tcPr/>
          <w:p>
            <w:pPr>
              <w:pStyle w:val="Compact"/>
              <w:jc w:val="left"/>
            </w:pPr>
            <w:r>
              <w:t xml:space="preserve">several</w:t>
            </w:r>
            <w:r>
              <w:t xml:space="preserve"> </w:t>
            </w:r>
            <w:r>
              <w:rPr>
                <w:rStyle w:val="VerbatimChar"/>
              </w:rPr>
              <w:t xml:space="preserve">%pointcharges</w:t>
            </w:r>
            <w:r>
              <w:t xml:space="preserve"> </w:t>
            </w:r>
            <w:r>
              <w:t xml:space="preserve">entries on a sphere</w:t>
            </w:r>
          </w:p>
        </w:tc>
        <w:tc>
          <w:tcPr/>
          <w:p>
            <w:pPr>
              <w:pStyle w:val="Compact"/>
              <w:jc w:val="left"/>
            </w:pPr>
            <w:r>
              <w:t xml:space="preserve">monopole outside the shell</w:t>
            </w:r>
          </w:p>
        </w:tc>
        <w:tc>
          <w:tcPr/>
          <w:p>
            <w:pPr>
              <w:pStyle w:val="Compact"/>
              <w:jc w:val="left"/>
            </w:pPr>
            <w:r>
              <w:t xml:space="preserve">3</w:t>
            </w:r>
          </w:p>
        </w:tc>
        <w:tc>
          <w:tcPr/>
          <w:p>
            <w:pPr>
              <w:pStyle w:val="Compact"/>
              <w:jc w:val="left"/>
            </w:pPr>
            <w:r>
              <w:t xml:space="preserve">no</w:t>
            </w:r>
          </w:p>
        </w:tc>
      </w:tr>
      <w:tr>
        <w:tc>
          <w:tcPr/>
          <w:p>
            <w:pPr>
              <w:pStyle w:val="Compact"/>
              <w:jc w:val="left"/>
            </w:pPr>
            <w:r>
              <w:t xml:space="preserve">3</w:t>
            </w:r>
          </w:p>
        </w:tc>
        <w:tc>
          <w:tcPr/>
          <w:p>
            <w:pPr>
              <w:pStyle w:val="Compact"/>
              <w:jc w:val="left"/>
            </w:pPr>
            <w:r>
              <w:t xml:space="preserve">Charged sphere</w:t>
            </w:r>
          </w:p>
        </w:tc>
        <w:tc>
          <w:tcPr/>
          <w:p>
            <w:pPr>
              <w:pStyle w:val="Compact"/>
              <w:jc w:val="left"/>
            </w:pPr>
            <w:r>
              <w:t xml:space="preserve">one QM/MM particle with</w:t>
            </w:r>
            <w:r>
              <w:t xml:space="preserve"> </w:t>
            </w:r>
            <w:r>
              <w:rPr>
                <w:iCs/>
                <w:i/>
              </w:rPr>
              <w:t xml:space="preserve">q</w:t>
            </w:r>
            <w:r>
              <w:t xml:space="preserve">, σ, ε</w:t>
            </w:r>
          </w:p>
        </w:tc>
        <w:tc>
          <w:tcPr/>
          <w:p>
            <w:pPr>
              <w:pStyle w:val="Compact"/>
              <w:jc w:val="left"/>
            </w:pPr>
            <w:r>
              <w:t xml:space="preserve">monopole outside σ</w:t>
            </w:r>
          </w:p>
        </w:tc>
        <w:tc>
          <w:tcPr/>
          <w:p>
            <w:pPr>
              <w:pStyle w:val="Compact"/>
              <w:jc w:val="left"/>
            </w:pPr>
            <w:r>
              <w:t xml:space="preserve">3</w:t>
            </w:r>
          </w:p>
        </w:tc>
        <w:tc>
          <w:tcPr/>
          <w:p>
            <w:pPr>
              <w:pStyle w:val="Compact"/>
              <w:jc w:val="left"/>
            </w:pPr>
            <w:r>
              <w:t xml:space="preserve">no</w:t>
            </w:r>
          </w:p>
        </w:tc>
      </w:tr>
      <w:tr>
        <w:tc>
          <w:tcPr/>
          <w:p>
            <w:pPr>
              <w:pStyle w:val="Compact"/>
              <w:jc w:val="left"/>
            </w:pPr>
            <w:r>
              <w:t xml:space="preserve">4</w:t>
            </w:r>
          </w:p>
        </w:tc>
        <w:tc>
          <w:tcPr/>
          <w:p>
            <w:pPr>
              <w:pStyle w:val="Compact"/>
              <w:jc w:val="left"/>
            </w:pPr>
            <w:r>
              <w:t xml:space="preserve">Molecular surrogate</w:t>
            </w:r>
          </w:p>
        </w:tc>
        <w:tc>
          <w:tcPr/>
          <w:p>
            <w:pPr>
              <w:pStyle w:val="Compact"/>
              <w:jc w:val="left"/>
            </w:pPr>
            <w:r>
              <w:t xml:space="preserve">several QM/MM sites forming a group</w:t>
            </w:r>
          </w:p>
        </w:tc>
        <w:tc>
          <w:tcPr/>
          <w:p>
            <w:pPr>
              <w:pStyle w:val="Compact"/>
              <w:jc w:val="left"/>
            </w:pPr>
            <w:r>
              <w:t xml:space="preserve">monopole, dipole and higher moments</w:t>
            </w:r>
          </w:p>
        </w:tc>
        <w:tc>
          <w:tcPr/>
          <w:p>
            <w:pPr>
              <w:pStyle w:val="Compact"/>
              <w:jc w:val="left"/>
            </w:pPr>
            <w:r>
              <w:t xml:space="preserve">6</w:t>
            </w:r>
          </w:p>
        </w:tc>
        <w:tc>
          <w:tcPr/>
          <w:p>
            <w:pPr>
              <w:pStyle w:val="Compact"/>
              <w:jc w:val="left"/>
            </w:pPr>
            <w:r>
              <w:t xml:space="preserve">no</w:t>
            </w:r>
          </w:p>
        </w:tc>
      </w:tr>
      <w:tr>
        <w:tc>
          <w:tcPr/>
          <w:p>
            <w:pPr>
              <w:pStyle w:val="Compact"/>
              <w:jc w:val="left"/>
            </w:pPr>
            <w:r>
              <w:t xml:space="preserve">5</w:t>
            </w:r>
          </w:p>
        </w:tc>
        <w:tc>
          <w:tcPr/>
          <w:p>
            <w:pPr>
              <w:pStyle w:val="Compact"/>
              <w:jc w:val="left"/>
            </w:pPr>
            <w:r>
              <w:t xml:space="preserve">Quantum-region entity</w:t>
            </w:r>
          </w:p>
        </w:tc>
        <w:tc>
          <w:tcPr/>
          <w:p>
            <w:pPr>
              <w:pStyle w:val="Compact"/>
              <w:jc w:val="left"/>
            </w:pPr>
            <w:r>
              <w:t xml:space="preserve">atoms added to the QM region</w:t>
            </w:r>
          </w:p>
        </w:tc>
        <w:tc>
          <w:tcPr/>
          <w:p>
            <w:pPr>
              <w:pStyle w:val="Compact"/>
              <w:jc w:val="left"/>
            </w:pPr>
            <w:r>
              <w:t xml:space="preserve">exact</w:t>
            </w:r>
          </w:p>
        </w:tc>
        <w:tc>
          <w:tcPr/>
          <w:p>
            <w:pPr>
              <w:pStyle w:val="Compact"/>
              <w:jc w:val="left"/>
            </w:pPr>
            <w:r>
              <w:t xml:space="preserve">6</w:t>
            </w:r>
          </w:p>
        </w:tc>
        <w:tc>
          <w:tcPr/>
          <w:p>
            <w:pPr>
              <w:pStyle w:val="Compact"/>
              <w:jc w:val="left"/>
            </w:pPr>
            <w:r>
              <w:t xml:space="preserve">yes</w:t>
            </w:r>
          </w:p>
        </w:tc>
      </w:tr>
      <w:tr>
        <w:tc>
          <w:tcPr/>
          <w:p>
            <w:pPr>
              <w:pStyle w:val="Compact"/>
              <w:jc w:val="left"/>
            </w:pPr>
            <w:r>
              <w:t xml:space="preserve">6</w:t>
            </w:r>
          </w:p>
        </w:tc>
        <w:tc>
          <w:tcPr/>
          <w:p>
            <w:pPr>
              <w:pStyle w:val="Compact"/>
              <w:jc w:val="left"/>
            </w:pPr>
            <w:r>
              <w:t xml:space="preserve">Uniform field</w:t>
            </w:r>
          </w:p>
        </w:tc>
        <w:tc>
          <w:tcPr/>
          <w:p>
            <w:pPr>
              <w:pStyle w:val="Compact"/>
              <w:jc w:val="left"/>
            </w:pPr>
            <w:r>
              <w:rPr>
                <w:rStyle w:val="VerbatimChar"/>
              </w:rPr>
              <w:t xml:space="preserve">%scf</w:t>
            </w:r>
            <w:r>
              <w:t xml:space="preserve"> </w:t>
            </w:r>
            <w:r>
              <w:t xml:space="preserve">external field</w:t>
            </w:r>
          </w:p>
        </w:tc>
        <w:tc>
          <w:tcPr/>
          <w:p>
            <w:pPr>
              <w:pStyle w:val="Compact"/>
              <w:jc w:val="left"/>
            </w:pPr>
            <w:r>
              <w:t xml:space="preserve">uniform, unbounded</w:t>
            </w:r>
          </w:p>
        </w:tc>
        <w:tc>
          <w:tcPr/>
          <w:p>
            <w:pPr>
              <w:pStyle w:val="Compact"/>
              <w:jc w:val="left"/>
            </w:pPr>
            <w:r>
              <w:t xml:space="preserve">3 (vector)</w:t>
            </w:r>
          </w:p>
        </w:tc>
        <w:tc>
          <w:tcPr/>
          <w:p>
            <w:pPr>
              <w:pStyle w:val="Compact"/>
              <w:jc w:val="left"/>
            </w:pPr>
            <w:r>
              <w:t xml:space="preserve">no</w:t>
            </w:r>
          </w:p>
        </w:tc>
      </w:tr>
    </w:tbl>
    <w:p>
      <w:pPr>
        <w:pStyle w:val="BodyText"/>
      </w:pPr>
      <w:r>
        <w:t xml:space="preserve">The ORCA mechanism realising each is given in the preceding paragraph:</w:t>
      </w:r>
      <w:r>
        <w:t xml:space="preserve"> </w:t>
      </w:r>
      <w:r>
        <w:t xml:space="preserve">representations 1 and 2 use</w:t>
      </w:r>
      <w:r>
        <w:t xml:space="preserve"> </w:t>
      </w:r>
      <w:r>
        <w:rPr>
          <w:rStyle w:val="VerbatimChar"/>
        </w:rPr>
        <w:t xml:space="preserve">%pointcharges</w:t>
      </w:r>
      <w:r>
        <w:t xml:space="preserve"> </w:t>
      </w:r>
      <w:r>
        <w:t xml:space="preserve">or</w:t>
      </w:r>
      <w:r>
        <w:t xml:space="preserve"> </w:t>
      </w:r>
      <w:r>
        <w:rPr>
          <w:rStyle w:val="VerbatimChar"/>
        </w:rPr>
        <w:t xml:space="preserve">Q</w:t>
      </w:r>
      <w:r>
        <w:t xml:space="preserve"> </w:t>
      </w:r>
      <w:r>
        <w:t xml:space="preserve">pseudo-atoms, 3 and 4 the</w:t>
      </w:r>
      <w:r>
        <w:t xml:space="preserve"> </w:t>
      </w:r>
      <w:r>
        <w:t xml:space="preserve">QM/MM interface with</w:t>
      </w:r>
      <w:r>
        <w:t xml:space="preserve"> </w:t>
      </w:r>
      <w:r>
        <w:rPr>
          <w:rStyle w:val="VerbatimChar"/>
        </w:rPr>
        <w:t xml:space="preserve">complex_solvated.ORCAFF.prms</w:t>
      </w:r>
      <w:r>
        <w:t xml:space="preserve">, 5 the quantum region itself,</w:t>
      </w:r>
      <w:r>
        <w:t xml:space="preserve"> </w:t>
      </w:r>
      <w:r>
        <w:t xml:space="preserve">and 6 the external-field keyword.</w:t>
      </w:r>
    </w:p>
    <w:p>
      <w:pPr>
        <w:pStyle w:val="BodyText"/>
      </w:pPr>
      <w:r>
        <w:t xml:space="preserve">A</w:t>
      </w:r>
      <w:r>
        <w:t xml:space="preserve"> </w:t>
      </w:r>
      <w:r>
        <w:rPr>
          <w:bCs/>
          <w:b/>
        </w:rPr>
        <w:t xml:space="preserve">point charge</w:t>
      </w:r>
      <w:r>
        <w:t xml:space="preserve"> </w:t>
      </w:r>
      <w:r>
        <w:t xml:space="preserve">(1) places the full charge at a single position without a</w:t>
      </w:r>
      <w:r>
        <w:t xml:space="preserve"> </w:t>
      </w:r>
      <w:r>
        <w:t xml:space="preserve">repulsive term. It produces a monopole field and admits an exactly defined</w:t>
      </w:r>
      <w:r>
        <w:t xml:space="preserve"> </w:t>
      </w:r>
      <w:r>
        <w:t xml:space="preserve">first-order interaction energy, and it is subject to spill-out as described in</w:t>
      </w:r>
      <w:r>
        <w:t xml:space="preserve"> </w:t>
      </w:r>
      <w:r>
        <w:t xml:space="preserve">X.2.3.</w:t>
      </w:r>
    </w:p>
    <w:p>
      <w:pPr>
        <w:pStyle w:val="BodyText"/>
      </w:pPr>
      <w:r>
        <w:t xml:space="preserve">A</w:t>
      </w:r>
      <w:r>
        <w:t xml:space="preserve"> </w:t>
      </w:r>
      <w:r>
        <w:rPr>
          <w:bCs/>
          <w:b/>
        </w:rPr>
        <w:t xml:space="preserve">point-charge shell</w:t>
      </w:r>
      <w:r>
        <w:t xml:space="preserve"> </w:t>
      </w:r>
      <w:r>
        <w:t xml:space="preserve">(2) distributes the same total charge over many points</w:t>
      </w:r>
      <w:r>
        <w:t xml:space="preserve"> </w:t>
      </w:r>
      <w:r>
        <w:t xml:space="preserve">arranged on a sphere. Outside the shell its field is that of a point charge at</w:t>
      </w:r>
      <w:r>
        <w:t xml:space="preserve"> </w:t>
      </w:r>
      <w:r>
        <w:t xml:space="preserve">the centre, by the same argument as for a continuous distribution. It does not</w:t>
      </w:r>
      <w:r>
        <w:t xml:space="preserve"> </w:t>
      </w:r>
      <w:r>
        <w:t xml:space="preserve">solve the spill-out problem, because each constituent point remains a bare charge</w:t>
      </w:r>
      <w:r>
        <w:t xml:space="preserve"> </w:t>
      </w:r>
      <w:r>
        <w:t xml:space="preserve">and the substrate density may still collapse onto any of them; it only moves the</w:t>
      </w:r>
      <w:r>
        <w:t xml:space="preserve"> </w:t>
      </w:r>
      <w:r>
        <w:t xml:space="preserve">individual singularities outward. I record it because it is the natural attempt</w:t>
      </w:r>
      <w:r>
        <w:t xml:space="preserve"> </w:t>
      </w:r>
      <w:r>
        <w:t xml:space="preserve">to build spatial extent from the native mechanism alone, and because its failure</w:t>
      </w:r>
      <w:r>
        <w:t xml:space="preserve"> </w:t>
      </w:r>
      <w:r>
        <w:t xml:space="preserve">to remedy spill-out establishes that the Lennard-Jones term, rather than the</w:t>
      </w:r>
      <w:r>
        <w:t xml:space="preserve"> </w:t>
      </w:r>
      <w:r>
        <w:t xml:space="preserve">spatial distribution of charge, is what is required.</w:t>
      </w:r>
    </w:p>
    <w:p>
      <w:pPr>
        <w:pStyle w:val="BodyText"/>
      </w:pPr>
      <w:r>
        <w:t xml:space="preserve">A</w:t>
      </w:r>
      <w:r>
        <w:t xml:space="preserve"> </w:t>
      </w:r>
      <w:r>
        <w:rPr>
          <w:bCs/>
          <w:b/>
        </w:rPr>
        <w:t xml:space="preserve">charged sphere</w:t>
      </w:r>
      <w:r>
        <w:t xml:space="preserve"> </w:t>
      </w:r>
      <w:r>
        <w:t xml:space="preserve">(3) is a single QM/MM particle carrying charge</w:t>
      </w:r>
      <w:r>
        <w:t xml:space="preserve"> </w:t>
      </w:r>
      <w:r>
        <w:rPr>
          <w:iCs/>
          <w:i/>
        </w:rPr>
        <w:t xml:space="preserve">q</w:t>
      </w:r>
      <w:r>
        <w:t xml:space="preserve"> </w:t>
      </w:r>
      <w:r>
        <w:t xml:space="preserve">together</w:t>
      </w:r>
      <w:r>
        <w:t xml:space="preserve"> </w:t>
      </w:r>
      <w:r>
        <w:t xml:space="preserve">with Lennard-Jones parameters σ and ε. Outside σ its field is that of a point</w:t>
      </w:r>
      <w:r>
        <w:t xml:space="preserve"> </w:t>
      </w:r>
      <w:r>
        <w:t xml:space="preserve">charge of magnitude</w:t>
      </w:r>
      <w:r>
        <w:t xml:space="preserve"> </w:t>
      </w:r>
      <w:r>
        <w:rPr>
          <w:iCs/>
          <w:i/>
        </w:rPr>
        <w:t xml:space="preserve">q</w:t>
      </w:r>
      <w:r>
        <w:t xml:space="preserve"> </w:t>
      </w:r>
      <w:r>
        <w:t xml:space="preserve">at the particle centre, and the quantum density is</w:t>
      </w:r>
      <w:r>
        <w:t xml:space="preserve"> </w:t>
      </w:r>
      <w:r>
        <w:t xml:space="preserve">excluded from the region in which spill-out occurs. Treating such a particle as</w:t>
      </w:r>
      <w:r>
        <w:t xml:space="preserve"> </w:t>
      </w:r>
      <w:r>
        <w:t xml:space="preserve">its monopole is therefore exact at every point outside σ. The equivalence holds</w:t>
      </w:r>
      <w:r>
        <w:t xml:space="preserve"> </w:t>
      </w:r>
      <w:r>
        <w:t xml:space="preserve">outside the sphere; at the standoff distances used in this work the substrate</w:t>
      </w:r>
      <w:r>
        <w:t xml:space="preserve"> </w:t>
      </w:r>
      <w:r>
        <w:t xml:space="preserve">density extends into the region the sphere occupies, so the equivalence is close</w:t>
      </w:r>
      <w:r>
        <w:t xml:space="preserve"> </w:t>
      </w:r>
      <w:r>
        <w:t xml:space="preserve">rather than exact, and the residual is quantified in X.4.</w:t>
      </w:r>
    </w:p>
    <w:p>
      <w:pPr>
        <w:pStyle w:val="BodyText"/>
      </w:pPr>
      <w:r>
        <w:t xml:space="preserve">A</w:t>
      </w:r>
      <w:r>
        <w:t xml:space="preserve"> </w:t>
      </w:r>
      <w:r>
        <w:rPr>
          <w:bCs/>
          <w:b/>
        </w:rPr>
        <w:t xml:space="preserve">molecular surrogate</w:t>
      </w:r>
      <w:r>
        <w:t xml:space="preserve"> </w:t>
      </w:r>
      <w:r>
        <w:t xml:space="preserve">(4) represents a guanidinium or carboxylate group as</w:t>
      </w:r>
      <w:r>
        <w:t xml:space="preserve"> </w:t>
      </w:r>
      <w:r>
        <w:t xml:space="preserve">several QM/MM sites carrying charges and Lennard-Jones parameters. Its field is</w:t>
      </w:r>
      <w:r>
        <w:t xml:space="preserve"> </w:t>
      </w:r>
      <w:r>
        <w:t xml:space="preserve">not that of a monopole at any single point, it carries a dipole and higher</w:t>
      </w:r>
      <w:r>
        <w:t xml:space="preserve"> </w:t>
      </w:r>
      <w:r>
        <w:t xml:space="preserve">moments, and its orientation adds three degrees of freedom to each placement.</w:t>
      </w:r>
      <w:r>
        <w:t xml:space="preserve"> </w:t>
      </w:r>
      <w:r>
        <w:t xml:space="preserve">Beker and Sokalski (2016) compared atomic point-charge and cumulative atomic</w:t>
      </w:r>
      <w:r>
        <w:t xml:space="preserve"> </w:t>
      </w:r>
      <w:r>
        <w:t xml:space="preserve">multipole descriptions of an enzyme active site and found that, although point</w:t>
      </w:r>
      <w:r>
        <w:t xml:space="preserve"> </w:t>
      </w:r>
      <w:r>
        <w:t xml:space="preserve">charges performed</w:t>
      </w:r>
      <w:r>
        <w:t xml:space="preserve"> </w:t>
      </w:r>
      <w:r>
        <w:t xml:space="preserve">“</w:t>
      </w:r>
      <w:r>
        <w:t xml:space="preserve">reasonably well</w:t>
      </w:r>
      <w:r>
        <w:t xml:space="preserve">”</w:t>
      </w:r>
      <w:r>
        <w:t xml:space="preserve"> </w:t>
      </w:r>
      <w:r>
        <w:t xml:space="preserve">for their system,</w:t>
      </w:r>
      <w:r>
        <w:t xml:space="preserve"> </w:t>
      </w:r>
      <w:r>
        <w:t xml:space="preserve">“</w:t>
      </w:r>
      <w:r>
        <w:t xml:space="preserve">the difference between</w:t>
      </w:r>
      <w:r>
        <w:t xml:space="preserve"> </w:t>
      </w:r>
      <w:r>
        <w:t xml:space="preserve">these two models is not systematic, and there is thus no simple correction term</w:t>
      </w:r>
      <w:r>
        <w:t xml:space="preserve"> </w:t>
      </w:r>
      <w:r>
        <w:t xml:space="preserve">that can be applied to the point-charge calculation to improve the correlation to</w:t>
      </w:r>
      <w:r>
        <w:t xml:space="preserve"> </w:t>
      </w:r>
      <w:r>
        <w:t xml:space="preserve">the experimental values</w:t>
      </w:r>
      <w:r>
        <w:t xml:space="preserve">”</w:t>
      </w:r>
      <w:r>
        <w:t xml:space="preserve">.</w:t>
      </w:r>
    </w:p>
    <w:p>
      <w:pPr>
        <w:pStyle w:val="BodyText"/>
      </w:pPr>
      <w:r>
        <w:t xml:space="preserve">A</w:t>
      </w:r>
      <w:r>
        <w:t xml:space="preserve"> </w:t>
      </w:r>
      <w:r>
        <w:rPr>
          <w:bCs/>
          <w:b/>
        </w:rPr>
        <w:t xml:space="preserve">quantum-region entity</w:t>
      </w:r>
      <w:r>
        <w:t xml:space="preserve"> </w:t>
      </w:r>
      <w:r>
        <w:t xml:space="preserve">(5) places the charged group inside the QM region, so</w:t>
      </w:r>
      <w:r>
        <w:t xml:space="preserve"> </w:t>
      </w:r>
      <w:r>
        <w:t xml:space="preserve">that it carries real electrons, exerts real Pauli repulsion, and polarises in</w:t>
      </w:r>
      <w:r>
        <w:t xml:space="preserve"> </w:t>
      </w:r>
      <w:r>
        <w:t xml:space="preserve">response to the substrate. No embedding approximation applies, and it is</w:t>
      </w:r>
      <w:r>
        <w:t xml:space="preserve"> </w:t>
      </w:r>
      <w:r>
        <w:t xml:space="preserve">therefore the reference against which the accuracy of representations 1 to 4 is</w:t>
      </w:r>
      <w:r>
        <w:t xml:space="preserve"> </w:t>
      </w:r>
      <w:r>
        <w:t xml:space="preserve">properly judged. It also changes the electron count and total charge of the</w:t>
      </w:r>
      <w:r>
        <w:t xml:space="preserve"> </w:t>
      </w:r>
      <w:r>
        <w:t xml:space="preserve">quantum system, raises the cost steeply with the number of entities placed, and</w:t>
      </w:r>
      <w:r>
        <w:t xml:space="preserve"> </w:t>
      </w:r>
      <w:r>
        <w:t xml:space="preserve">offers no monopole description at all, so it is unsuited to a screen over many</w:t>
      </w:r>
      <w:r>
        <w:t xml:space="preserve"> </w:t>
      </w:r>
      <w:r>
        <w:t xml:space="preserve">candidate arrangements.</w:t>
      </w:r>
    </w:p>
    <w:p>
      <w:pPr>
        <w:pStyle w:val="BodyText"/>
      </w:pPr>
      <w:r>
        <w:t xml:space="preserve">A</w:t>
      </w:r>
      <w:r>
        <w:t xml:space="preserve"> </w:t>
      </w:r>
      <w:r>
        <w:rPr>
          <w:bCs/>
          <w:b/>
        </w:rPr>
        <w:t xml:space="preserve">uniform field</w:t>
      </w:r>
      <w:r>
        <w:t xml:space="preserve"> </w:t>
      </w:r>
      <w:r>
        <w:t xml:space="preserve">(6) imposes a direction and magnitude without occupying a</w:t>
      </w:r>
      <w:r>
        <w:t xml:space="preserve"> </w:t>
      </w:r>
      <w:r>
        <w:t xml:space="preserve">position. It admits no placement problem, no candidate grid and no combinatorial</w:t>
      </w:r>
      <w:r>
        <w:t xml:space="preserve"> </w:t>
      </w:r>
      <w:r>
        <w:t xml:space="preserve">search, and so stands apart from the other five. Shaik</w:t>
      </w:r>
      <w:r>
        <w:t xml:space="preserve"> </w:t>
      </w:r>
      <w:r>
        <w:rPr>
          <w:iCs/>
          <w:i/>
        </w:rPr>
        <w:t xml:space="preserve">et al.</w:t>
      </w:r>
      <w:r>
        <w:t xml:space="preserve"> </w:t>
      </w:r>
      <w:r>
        <w:t xml:space="preserve">(2016) review</w:t>
      </w:r>
      <w:r>
        <w:t xml:space="preserve"> </w:t>
      </w:r>
      <w:r>
        <w:t xml:space="preserve">oriented external fields as a catalytic strategy, including the selection between</w:t>
      </w:r>
      <w:r>
        <w:t xml:space="preserve"> </w:t>
      </w:r>
      <w:r>
        <w:t xml:space="preserve">competing product channels by field orientation relative to the reaction axis.</w:t>
      </w:r>
    </w:p>
    <w:p>
      <w:pPr>
        <w:pStyle w:val="BodyText"/>
      </w:pPr>
      <w:r>
        <w:t xml:space="preserve">A seventh option, a charge of finite width represented by a Gaussian rather than</w:t>
      </w:r>
      <w:r>
        <w:t xml:space="preserve"> </w:t>
      </w:r>
      <w:r>
        <w:t xml:space="preserve">a point, is not available for external charges in ORCA 6.0.1. The program applies</w:t>
      </w:r>
      <w:r>
        <w:t xml:space="preserve"> </w:t>
      </w:r>
      <w:r>
        <w:t xml:space="preserve">Gaussian charges to the apparent surface charges of the continuum solvation model</w:t>
      </w:r>
      <w:r>
        <w:t xml:space="preserve"> </w:t>
      </w:r>
      <w:r>
        <w:t xml:space="preserve">(García-Ratés and Neese, 2020), but the mechanism is specific to the cavity</w:t>
      </w:r>
      <w:r>
        <w:t xml:space="preserve"> </w:t>
      </w:r>
      <w:r>
        <w:t xml:space="preserve">surface and is not exposed for arbitrary external charges.</w:t>
      </w:r>
    </w:p>
    <w:bookmarkEnd w:id="23"/>
    <w:bookmarkStart w:id="24" w:name="X5636cc6750890c4f3a54f195002d6d1ba3c0d8a"/>
    <w:p>
      <w:pPr>
        <w:pStyle w:val="Heading2"/>
      </w:pPr>
      <w:r>
        <w:t xml:space="preserve">X.2.5 Representations selected for testing</w:t>
      </w:r>
    </w:p>
    <w:p>
      <w:pPr>
        <w:pStyle w:val="FirstParagraph"/>
      </w:pPr>
      <w:r>
        <w:t xml:space="preserve">I assessed the six representations against four requirements: that the entity</w:t>
      </w:r>
      <w:r>
        <w:t xml:space="preserve"> </w:t>
      </w:r>
      <w:r>
        <w:t xml:space="preserve">exclude the substrate density, so that any observed polarisation is physical</w:t>
      </w:r>
      <w:r>
        <w:t xml:space="preserve"> </w:t>
      </w:r>
      <w:r>
        <w:t xml:space="preserve">rather than an artefact of the representation (X.2.3); that its field be</w:t>
      </w:r>
      <w:r>
        <w:t xml:space="preserve"> </w:t>
      </w:r>
      <w:r>
        <w:t xml:space="preserve">describable by a monopole, so that the screening objective of X.4 is exact for</w:t>
      </w:r>
      <w:r>
        <w:t xml:space="preserve"> </w:t>
      </w:r>
      <w:r>
        <w:t xml:space="preserve">it; that its placement be tractable over a candidate grid; and that it correspond</w:t>
      </w:r>
      <w:r>
        <w:t xml:space="preserve"> </w:t>
      </w:r>
      <w:r>
        <w:t xml:space="preserve">to an entity that could plausibly exist in a designed host.</w:t>
      </w:r>
    </w:p>
    <w:p>
      <w:pPr>
        <w:pStyle w:val="BodyText"/>
      </w:pPr>
      <w:r>
        <w:t xml:space="preserve">No single representation satisfies all four (Table X.2.2). I therefore selected</w:t>
      </w:r>
      <w:r>
        <w:t xml:space="preserve"> </w:t>
      </w:r>
      <w:r>
        <w:t xml:space="preserve">four for testing, three as candidate design representations and one as a</w:t>
      </w:r>
      <w:r>
        <w:t xml:space="preserve"> </w:t>
      </w:r>
      <w:r>
        <w:t xml:space="preserve">comparator.</w:t>
      </w:r>
    </w:p>
    <w:p>
      <w:pPr>
        <w:pStyle w:val="BodyText"/>
      </w:pPr>
      <w:r>
        <w:rPr>
          <w:bCs/>
          <w:b/>
        </w:rPr>
        <w:t xml:space="preserve">Table X.2.2</w:t>
      </w:r>
      <w:r>
        <w:t xml:space="preserve"> </w:t>
      </w:r>
      <w:r>
        <w:t xml:space="preserve">Assessment of the six representations against the four</w:t>
      </w:r>
      <w:r>
        <w:t xml:space="preserve"> </w:t>
      </w:r>
      <w:r>
        <w:t xml:space="preserve">requirements.</w:t>
      </w:r>
      <w:r>
        <w:t xml:space="preserve"> </w:t>
      </w:r>
      <w:r>
        <w:rPr>
          <w:iCs/>
          <w:i/>
        </w:rPr>
        <w:t xml:space="preserve">Excludes density</w:t>
      </w:r>
      <w:r>
        <w:t xml:space="preserve">: the entity prevents the substrate electron</w:t>
      </w:r>
      <w:r>
        <w:t xml:space="preserve"> </w:t>
      </w:r>
      <w:r>
        <w:t xml:space="preserve">density from occupying the region of the charge, so that observed polarisation is</w:t>
      </w:r>
      <w:r>
        <w:t xml:space="preserve"> </w:t>
      </w:r>
      <w:r>
        <w:t xml:space="preserve">not attributable to spill-out (X.2.3).</w:t>
      </w:r>
      <w:r>
        <w:t xml:space="preserve"> </w:t>
      </w:r>
      <w:r>
        <w:rPr>
          <w:iCs/>
          <w:i/>
        </w:rPr>
        <w:t xml:space="preserve">Monopole exact</w:t>
      </w:r>
      <w:r>
        <w:t xml:space="preserve">: the field is that of a</w:t>
      </w:r>
      <w:r>
        <w:t xml:space="preserve"> </w:t>
      </w:r>
      <w:r>
        <w:t xml:space="preserve">point charge of the same net magnitude, so the objective of X.4 is exact for the</w:t>
      </w:r>
      <w:r>
        <w:t xml:space="preserve"> </w:t>
      </w:r>
      <w:r>
        <w:t xml:space="preserve">entity.</w:t>
      </w:r>
      <w:r>
        <w:t xml:space="preserve"> </w:t>
      </w:r>
      <w:r>
        <w:rPr>
          <w:iCs/>
          <w:i/>
        </w:rPr>
        <w:t xml:space="preserve">Tractable</w:t>
      </w:r>
      <w:r>
        <w:t xml:space="preserve">: placement over a candidate grid adds no orientational</w:t>
      </w:r>
      <w:r>
        <w:t xml:space="preserve"> </w:t>
      </w:r>
      <w:r>
        <w:t xml:space="preserve">degrees of freedom and no cost that scales with the number of entities placed.</w:t>
      </w:r>
      <w:r>
        <w:t xml:space="preserve"> </w:t>
      </w:r>
      <w:r>
        <w:rPr>
          <w:iCs/>
          <w:i/>
        </w:rPr>
        <w:t xml:space="preserve">Plausible entity</w:t>
      </w:r>
      <w:r>
        <w:t xml:space="preserve">: the representation corresponds to something that could exist</w:t>
      </w:r>
      <w:r>
        <w:t xml:space="preserve"> </w:t>
      </w:r>
      <w:r>
        <w:t xml:space="preserve">in a designed host.</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w:t>
            </w:r>
          </w:p>
        </w:tc>
        <w:tc>
          <w:tcPr/>
          <w:p>
            <w:pPr>
              <w:pStyle w:val="Compact"/>
              <w:jc w:val="left"/>
            </w:pPr>
            <w:r>
              <w:t xml:space="preserve">Representation</w:t>
            </w:r>
          </w:p>
        </w:tc>
        <w:tc>
          <w:tcPr/>
          <w:p>
            <w:pPr>
              <w:pStyle w:val="Compact"/>
              <w:jc w:val="left"/>
            </w:pPr>
            <w:r>
              <w:t xml:space="preserve">Excludes density</w:t>
            </w:r>
          </w:p>
        </w:tc>
        <w:tc>
          <w:tcPr/>
          <w:p>
            <w:pPr>
              <w:pStyle w:val="Compact"/>
              <w:jc w:val="left"/>
            </w:pPr>
            <w:r>
              <w:t xml:space="preserve">Monopole exact</w:t>
            </w:r>
          </w:p>
        </w:tc>
        <w:tc>
          <w:tcPr/>
          <w:p>
            <w:pPr>
              <w:pStyle w:val="Compact"/>
              <w:jc w:val="left"/>
            </w:pPr>
            <w:r>
              <w:t xml:space="preserve">Tractable</w:t>
            </w:r>
          </w:p>
        </w:tc>
        <w:tc>
          <w:tcPr/>
          <w:p>
            <w:pPr>
              <w:pStyle w:val="Compact"/>
              <w:jc w:val="left"/>
            </w:pPr>
            <w:r>
              <w:t xml:space="preserve">Plausible entity</w:t>
            </w:r>
          </w:p>
        </w:tc>
        <w:tc>
          <w:tcPr/>
          <w:p>
            <w:pPr>
              <w:pStyle w:val="Compact"/>
              <w:jc w:val="left"/>
            </w:pPr>
            <w:r>
              <w:t xml:space="preserve">Selected</w:t>
            </w:r>
          </w:p>
        </w:tc>
      </w:tr>
      <w:tr>
        <w:tc>
          <w:tcPr/>
          <w:p>
            <w:pPr>
              <w:pStyle w:val="Compact"/>
              <w:jc w:val="left"/>
            </w:pPr>
            <w:r>
              <w:t xml:space="preserve">1</w:t>
            </w:r>
          </w:p>
        </w:tc>
        <w:tc>
          <w:tcPr/>
          <w:p>
            <w:pPr>
              <w:pStyle w:val="Compact"/>
              <w:jc w:val="left"/>
            </w:pPr>
            <w:r>
              <w:t xml:space="preserve">Point charge</w:t>
            </w:r>
          </w:p>
        </w:tc>
        <w:tc>
          <w:tcPr/>
          <w:p>
            <w:pPr>
              <w:pStyle w:val="Compact"/>
              <w:jc w:val="left"/>
            </w:pPr>
            <w:r>
              <w:t xml:space="preserve">no</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w:t>
            </w:r>
          </w:p>
        </w:tc>
        <w:tc>
          <w:tcPr/>
          <w:p>
            <w:pPr>
              <w:pStyle w:val="Compact"/>
              <w:jc w:val="left"/>
            </w:pPr>
            <w:r>
              <w:t xml:space="preserve">yes, as reference and spill-out diagnostic</w:t>
            </w:r>
          </w:p>
        </w:tc>
      </w:tr>
      <w:tr>
        <w:tc>
          <w:tcPr/>
          <w:p>
            <w:pPr>
              <w:pStyle w:val="Compact"/>
              <w:jc w:val="left"/>
            </w:pPr>
            <w:r>
              <w:t xml:space="preserve">2</w:t>
            </w:r>
          </w:p>
        </w:tc>
        <w:tc>
          <w:tcPr/>
          <w:p>
            <w:pPr>
              <w:pStyle w:val="Compact"/>
              <w:jc w:val="left"/>
            </w:pPr>
            <w:r>
              <w:t xml:space="preserve">Point-charge shell</w:t>
            </w:r>
          </w:p>
        </w:tc>
        <w:tc>
          <w:tcPr/>
          <w:p>
            <w:pPr>
              <w:pStyle w:val="Compact"/>
              <w:jc w:val="left"/>
            </w:pPr>
            <w:r>
              <w:t xml:space="preserve">no</w:t>
            </w:r>
          </w:p>
        </w:tc>
        <w:tc>
          <w:tcPr/>
          <w:p>
            <w:pPr>
              <w:pStyle w:val="Compact"/>
              <w:jc w:val="left"/>
            </w:pPr>
            <w:r>
              <w:t xml:space="preserve">yes, outside the shell</w:t>
            </w:r>
          </w:p>
        </w:tc>
        <w:tc>
          <w:tcPr/>
          <w:p>
            <w:pPr>
              <w:pStyle w:val="Compact"/>
              <w:jc w:val="left"/>
            </w:pPr>
            <w:r>
              <w:t xml:space="preserve">yes</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3</w:t>
            </w:r>
          </w:p>
        </w:tc>
        <w:tc>
          <w:tcPr/>
          <w:p>
            <w:pPr>
              <w:pStyle w:val="Compact"/>
              <w:jc w:val="left"/>
            </w:pPr>
            <w:r>
              <w:t xml:space="preserve">Charged sphere</w:t>
            </w:r>
          </w:p>
        </w:tc>
        <w:tc>
          <w:tcPr/>
          <w:p>
            <w:pPr>
              <w:pStyle w:val="Compact"/>
              <w:jc w:val="left"/>
            </w:pPr>
            <w:r>
              <w:t xml:space="preserve">yes, beyond σ</w:t>
            </w:r>
          </w:p>
        </w:tc>
        <w:tc>
          <w:tcPr/>
          <w:p>
            <w:pPr>
              <w:pStyle w:val="Compact"/>
              <w:jc w:val="left"/>
            </w:pPr>
            <w:r>
              <w:t xml:space="preserve">yes, outside σ</w:t>
            </w:r>
          </w:p>
        </w:tc>
        <w:tc>
          <w:tcPr/>
          <w:p>
            <w:pPr>
              <w:pStyle w:val="Compact"/>
              <w:jc w:val="left"/>
            </w:pPr>
            <w:r>
              <w:t xml:space="preserve">yes</w:t>
            </w:r>
          </w:p>
        </w:tc>
        <w:tc>
          <w:tcPr/>
          <w:p>
            <w:pPr>
              <w:pStyle w:val="Compact"/>
              <w:jc w:val="left"/>
            </w:pPr>
            <w:r>
              <w:t xml:space="preserve">at integer charge only</w:t>
            </w:r>
          </w:p>
        </w:tc>
        <w:tc>
          <w:tcPr/>
          <w:p>
            <w:pPr>
              <w:pStyle w:val="Compact"/>
              <w:jc w:val="left"/>
            </w:pPr>
            <w:r>
              <w:t xml:space="preserve">yes, primary</w:t>
            </w:r>
          </w:p>
        </w:tc>
      </w:tr>
      <w:tr>
        <w:tc>
          <w:tcPr/>
          <w:p>
            <w:pPr>
              <w:pStyle w:val="Compact"/>
              <w:jc w:val="left"/>
            </w:pPr>
            <w:r>
              <w:t xml:space="preserve">4</w:t>
            </w:r>
          </w:p>
        </w:tc>
        <w:tc>
          <w:tcPr/>
          <w:p>
            <w:pPr>
              <w:pStyle w:val="Compact"/>
              <w:jc w:val="left"/>
            </w:pPr>
            <w:r>
              <w:t xml:space="preserve">Molecular surrogate</w:t>
            </w:r>
          </w:p>
        </w:tc>
        <w:tc>
          <w:tcPr/>
          <w:p>
            <w:pPr>
              <w:pStyle w:val="Compact"/>
              <w:jc w:val="left"/>
            </w:pPr>
            <w:r>
              <w:t xml:space="preserve">yes</w:t>
            </w:r>
          </w:p>
        </w:tc>
        <w:tc>
          <w:tcPr/>
          <w:p>
            <w:pPr>
              <w:pStyle w:val="Compact"/>
              <w:jc w:val="left"/>
            </w:pPr>
            <w:r>
              <w:t xml:space="preserve">no</w:t>
            </w:r>
          </w:p>
        </w:tc>
        <w:tc>
          <w:tcPr/>
          <w:p>
            <w:pPr>
              <w:pStyle w:val="Compact"/>
              <w:jc w:val="left"/>
            </w:pPr>
            <w:r>
              <w:t xml:space="preserve">no, 6 degrees of freedom</w:t>
            </w:r>
          </w:p>
        </w:tc>
        <w:tc>
          <w:tcPr/>
          <w:p>
            <w:pPr>
              <w:pStyle w:val="Compact"/>
              <w:jc w:val="left"/>
            </w:pPr>
            <w:r>
              <w:t xml:space="preserve">yes</w:t>
            </w:r>
          </w:p>
        </w:tc>
        <w:tc>
          <w:tcPr/>
          <w:p>
            <w:pPr>
              <w:pStyle w:val="Compact"/>
              <w:jc w:val="left"/>
            </w:pPr>
            <w:r>
              <w:t xml:space="preserve">yes, validation</w:t>
            </w:r>
          </w:p>
        </w:tc>
      </w:tr>
      <w:tr>
        <w:tc>
          <w:tcPr/>
          <w:p>
            <w:pPr>
              <w:pStyle w:val="Compact"/>
              <w:jc w:val="left"/>
            </w:pPr>
            <w:r>
              <w:t xml:space="preserve">5</w:t>
            </w:r>
          </w:p>
        </w:tc>
        <w:tc>
          <w:tcPr/>
          <w:p>
            <w:pPr>
              <w:pStyle w:val="Compact"/>
              <w:jc w:val="left"/>
            </w:pPr>
            <w:r>
              <w:t xml:space="preserve">Quantum-region entity</w:t>
            </w:r>
          </w:p>
        </w:tc>
        <w:tc>
          <w:tcPr/>
          <w:p>
            <w:pPr>
              <w:pStyle w:val="Compact"/>
              <w:jc w:val="left"/>
            </w:pPr>
            <w:r>
              <w:t xml:space="preserve">yes</w:t>
            </w:r>
          </w:p>
        </w:tc>
        <w:tc>
          <w:tcPr/>
          <w:p>
            <w:pPr>
              <w:pStyle w:val="Compact"/>
              <w:jc w:val="left"/>
            </w:pPr>
            <w:r>
              <w:t xml:space="preserve">no</w:t>
            </w:r>
          </w:p>
        </w:tc>
        <w:tc>
          <w:tcPr/>
          <w:p>
            <w:pPr>
              <w:pStyle w:val="Compact"/>
              <w:jc w:val="left"/>
            </w:pPr>
            <w:r>
              <w:t xml:space="preserve">no, cost scales with count</w:t>
            </w:r>
          </w:p>
        </w:tc>
        <w:tc>
          <w:tcPr/>
          <w:p>
            <w:pPr>
              <w:pStyle w:val="Compact"/>
              <w:jc w:val="left"/>
            </w:pPr>
            <w:r>
              <w:t xml:space="preserve">yes</w:t>
            </w:r>
          </w:p>
        </w:tc>
        <w:tc>
          <w:tcPr/>
          <w:p>
            <w:pPr>
              <w:pStyle w:val="Compact"/>
              <w:jc w:val="left"/>
            </w:pPr>
            <w:r>
              <w:t xml:space="preserve">no, single-entity reference flagged</w:t>
            </w:r>
          </w:p>
        </w:tc>
      </w:tr>
      <w:tr>
        <w:tc>
          <w:tcPr/>
          <w:p>
            <w:pPr>
              <w:pStyle w:val="Compact"/>
              <w:jc w:val="left"/>
            </w:pPr>
            <w:r>
              <w:t xml:space="preserve">6</w:t>
            </w:r>
          </w:p>
        </w:tc>
        <w:tc>
          <w:tcPr/>
          <w:p>
            <w:pPr>
              <w:pStyle w:val="Compact"/>
              <w:jc w:val="left"/>
            </w:pPr>
            <w:r>
              <w:t xml:space="preserve">Uniform field</w:t>
            </w:r>
          </w:p>
        </w:tc>
        <w:tc>
          <w:tcPr/>
          <w:p>
            <w:pPr>
              <w:pStyle w:val="Compact"/>
              <w:jc w:val="left"/>
            </w:pPr>
            <w:r>
              <w:t xml:space="preserve">not applicable</w:t>
            </w:r>
          </w:p>
        </w:tc>
        <w:tc>
          <w:tcPr/>
          <w:p>
            <w:pPr>
              <w:pStyle w:val="Compact"/>
              <w:jc w:val="left"/>
            </w:pPr>
            <w:r>
              <w:t xml:space="preserve">not applicable</w:t>
            </w:r>
          </w:p>
        </w:tc>
        <w:tc>
          <w:tcPr/>
          <w:p>
            <w:pPr>
              <w:pStyle w:val="Compact"/>
              <w:jc w:val="left"/>
            </w:pPr>
            <w:r>
              <w:t xml:space="preserve">not applicable, no placement</w:t>
            </w:r>
          </w:p>
        </w:tc>
        <w:tc>
          <w:tcPr/>
          <w:p>
            <w:pPr>
              <w:pStyle w:val="Compact"/>
              <w:jc w:val="left"/>
            </w:pPr>
            <w:r>
              <w:t xml:space="preserve">yes, as an applied field</w:t>
            </w:r>
          </w:p>
        </w:tc>
        <w:tc>
          <w:tcPr/>
          <w:p>
            <w:pPr>
              <w:pStyle w:val="Compact"/>
              <w:jc w:val="left"/>
            </w:pPr>
            <w:r>
              <w:t xml:space="preserve">yes, comparator</w:t>
            </w:r>
          </w:p>
        </w:tc>
      </w:tr>
    </w:tbl>
    <w:p>
      <w:pPr>
        <w:pStyle w:val="BodyText"/>
      </w:pPr>
      <w:r>
        <w:t xml:space="preserve">Three entries in Table X.2.2 carry qualifications that determine the selection</w:t>
      </w:r>
      <w:r>
        <w:t xml:space="preserve"> </w:t>
      </w:r>
      <w:r>
        <w:t xml:space="preserve">and are stated with the representations below: the charged sphere satisfies the</w:t>
      </w:r>
      <w:r>
        <w:t xml:space="preserve"> </w:t>
      </w:r>
      <w:r>
        <w:t xml:space="preserve">plausibility requirement only for integer charge values; the quantum-region</w:t>
      </w:r>
      <w:r>
        <w:t xml:space="preserve"> </w:t>
      </w:r>
      <w:r>
        <w:t xml:space="preserve">entity fails tractability only as the number of placed entities rises; and the</w:t>
      </w:r>
      <w:r>
        <w:t xml:space="preserve"> </w:t>
      </w:r>
      <w:r>
        <w:t xml:space="preserve">uniform field is assessed against none of the first three requirements, since it</w:t>
      </w:r>
      <w:r>
        <w:t xml:space="preserve"> </w:t>
      </w:r>
      <w:r>
        <w:t xml:space="preserve">occupies no position.</w:t>
      </w:r>
    </w:p>
    <w:p>
      <w:pPr>
        <w:pStyle w:val="BodyText"/>
      </w:pPr>
      <w:r>
        <w:rPr>
          <w:bCs/>
          <w:b/>
        </w:rPr>
        <w:t xml:space="preserve">Charged sphere.</w:t>
      </w:r>
      <w:r>
        <w:t xml:space="preserve"> </w:t>
      </w:r>
      <w:r>
        <w:t xml:space="preserve">A single QM/MM particle carrying charge</w:t>
      </w:r>
      <w:r>
        <w:t xml:space="preserve"> </w:t>
      </w:r>
      <w:r>
        <w:rPr>
          <w:iCs/>
          <w:i/>
        </w:rPr>
        <w:t xml:space="preserve">q</w:t>
      </w:r>
      <w:r>
        <w:t xml:space="preserve"> </w:t>
      </w:r>
      <w:r>
        <w:t xml:space="preserve">with</w:t>
      </w:r>
      <w:r>
        <w:t xml:space="preserve"> </w:t>
      </w:r>
      <w:r>
        <w:t xml:space="preserve">Lennard-Jones parameters σ and ε satisfies density exclusion, monopole</w:t>
      </w:r>
      <w:r>
        <w:t xml:space="preserve"> </w:t>
      </w:r>
      <w:r>
        <w:t xml:space="preserve">description outside σ, and tractability at three degrees of freedom per entity.</w:t>
      </w:r>
      <w:r>
        <w:t xml:space="preserve"> </w:t>
      </w:r>
      <w:r>
        <w:t xml:space="preserve">It is the only representation satisfying the first three requirements together,</w:t>
      </w:r>
      <w:r>
        <w:t xml:space="preserve"> </w:t>
      </w:r>
      <w:r>
        <w:t xml:space="preserve">and I selected it as the primary candidate for design screening.</w:t>
      </w:r>
    </w:p>
    <w:p>
      <w:pPr>
        <w:pStyle w:val="BodyText"/>
      </w:pPr>
      <w:r>
        <w:t xml:space="preserve">Two qualifications apply. Outside σ the field of the particle is that of a point</w:t>
      </w:r>
      <w:r>
        <w:t xml:space="preserve"> </w:t>
      </w:r>
      <w:r>
        <w:t xml:space="preserve">charge of magnitude</w:t>
      </w:r>
      <w:r>
        <w:t xml:space="preserve"> </w:t>
      </w:r>
      <w:r>
        <w:rPr>
          <w:iCs/>
          <w:i/>
        </w:rPr>
        <w:t xml:space="preserve">q</w:t>
      </w:r>
      <w:r>
        <w:t xml:space="preserve"> </w:t>
      </w:r>
      <w:r>
        <w:t xml:space="preserve">at its centre, so treating it as a monopole is exact</w:t>
      </w:r>
      <w:r>
        <w:t xml:space="preserve"> </w:t>
      </w:r>
      <w:r>
        <w:t xml:space="preserve">there; at the standoff distances used in this work the substrate density extends</w:t>
      </w:r>
      <w:r>
        <w:t xml:space="preserve"> </w:t>
      </w:r>
      <w:r>
        <w:t xml:space="preserve">into the region the particle occupies, so the equivalence is close rather than</w:t>
      </w:r>
      <w:r>
        <w:t xml:space="preserve"> </w:t>
      </w:r>
      <w:r>
        <w:t xml:space="preserve">exact, and the residual is quantified in X.4. Separately, a single particle</w:t>
      </w:r>
      <w:r>
        <w:t xml:space="preserve"> </w:t>
      </w:r>
      <w:r>
        <w:t xml:space="preserve">carrying an integer charge corresponds to a monatomic ion and is physically</w:t>
      </w:r>
      <w:r>
        <w:t xml:space="preserve"> </w:t>
      </w:r>
      <w:r>
        <w:t xml:space="preserve">plausible on that basis, whereas the same particle carrying a fractional charge</w:t>
      </w:r>
      <w:r>
        <w:t xml:space="preserve"> </w:t>
      </w:r>
      <w:r>
        <w:t xml:space="preserve">does not correspond to any chemical entity, so the plausibility of this</w:t>
      </w:r>
      <w:r>
        <w:t xml:space="preserve"> </w:t>
      </w:r>
      <w:r>
        <w:t xml:space="preserve">representation depends on the charge values the optimisation returns.</w:t>
      </w:r>
    </w:p>
    <w:p>
      <w:pPr>
        <w:pStyle w:val="BodyText"/>
      </w:pPr>
      <w:r>
        <w:rPr>
          <w:rStyle w:val="VerbatimChar"/>
        </w:rPr>
        <w:t xml:space="preserve">[DECISION REQUIRED — the Lennard-Jones radius σ for the charged sphere. Options: (a) adopt the σ of a monatomic ion of comparable charge from the force field in use; (b) adopt the σ of the carbon centre of the guanidinium surrogate, so that sphere and surrogate present the same closest approach; (c) treat σ as a scanned parameter. The choice sets the innermost usable standoff and therefore constrains the shell range in X.3.]</w:t>
      </w:r>
    </w:p>
    <w:p>
      <w:pPr>
        <w:pStyle w:val="BodyText"/>
      </w:pPr>
      <w:r>
        <w:rPr>
          <w:bCs/>
          <w:b/>
        </w:rPr>
        <w:t xml:space="preserve">Molecular surrogate.</w:t>
      </w:r>
      <w:r>
        <w:t xml:space="preserve"> </w:t>
      </w:r>
      <w:r>
        <w:t xml:space="preserve">A guanidinium or carboxylate group represented as</w:t>
      </w:r>
      <w:r>
        <w:t xml:space="preserve"> </w:t>
      </w:r>
      <w:r>
        <w:t xml:space="preserve">several QM/MM sites satisfies density exclusion and plausibility, and is the only</w:t>
      </w:r>
      <w:r>
        <w:t xml:space="preserve"> </w:t>
      </w:r>
      <w:r>
        <w:t xml:space="preserve">selected representation corresponding to a group that could exist in a designed</w:t>
      </w:r>
      <w:r>
        <w:t xml:space="preserve"> </w:t>
      </w:r>
      <w:r>
        <w:t xml:space="preserve">host. It does not satisfy the monopole requirement: it carries a dipole and</w:t>
      </w:r>
      <w:r>
        <w:t xml:space="preserve"> </w:t>
      </w:r>
      <w:r>
        <w:t xml:space="preserve">higher moments, and its orientation adds three degrees of freedom to each</w:t>
      </w:r>
      <w:r>
        <w:t xml:space="preserve"> </w:t>
      </w:r>
      <w:r>
        <w:t xml:space="preserve">placement. Beker and Sokalski (2016) found that the deviation between</w:t>
      </w:r>
      <w:r>
        <w:t xml:space="preserve"> </w:t>
      </w:r>
      <w:r>
        <w:t xml:space="preserve">point-charge and multipole descriptions</w:t>
      </w:r>
      <w:r>
        <w:t xml:space="preserve"> </w:t>
      </w:r>
      <w:r>
        <w:t xml:space="preserve">“</w:t>
      </w:r>
      <w:r>
        <w:t xml:space="preserve">is not systematic, and there is thus no</w:t>
      </w:r>
      <w:r>
        <w:t xml:space="preserve"> </w:t>
      </w:r>
      <w:r>
        <w:t xml:space="preserve">simple correction term that can be applied to the point-charge calculation</w:t>
      </w:r>
      <w:r>
        <w:t xml:space="preserve">”</w:t>
      </w:r>
      <w:r>
        <w:t xml:space="preserve">, so</w:t>
      </w:r>
      <w:r>
        <w:t xml:space="preserve"> </w:t>
      </w:r>
      <w:r>
        <w:t xml:space="preserve">the error this representation introduces into a monopole-based ranking is</w:t>
      </w:r>
      <w:r>
        <w:t xml:space="preserve"> </w:t>
      </w:r>
      <w:r>
        <w:t xml:space="preserve">recovered by explicit verification of top-ranked candidates rather than by</w:t>
      </w:r>
      <w:r>
        <w:t xml:space="preserve"> </w:t>
      </w:r>
      <w:r>
        <w:t xml:space="preserve">adjusting the score. I selected it as the validation representation.</w:t>
      </w:r>
    </w:p>
    <w:p>
      <w:pPr>
        <w:pStyle w:val="BodyText"/>
      </w:pPr>
      <w:r>
        <w:rPr>
          <w:bCs/>
          <w:b/>
        </w:rPr>
        <w:t xml:space="preserve">Point charge.</w:t>
      </w:r>
      <w:r>
        <w:t xml:space="preserve"> </w:t>
      </w:r>
      <w:r>
        <w:t xml:space="preserve">A charge declared through</w:t>
      </w:r>
      <w:r>
        <w:t xml:space="preserve"> </w:t>
      </w:r>
      <w:r>
        <w:rPr>
          <w:rStyle w:val="VerbatimChar"/>
        </w:rPr>
        <w:t xml:space="preserve">%pointcharges</w:t>
      </w:r>
      <w:r>
        <w:t xml:space="preserve"> </w:t>
      </w:r>
      <w:r>
        <w:t xml:space="preserve">or as a</w:t>
      </w:r>
      <w:r>
        <w:t xml:space="preserve"> </w:t>
      </w:r>
      <w:r>
        <w:rPr>
          <w:rStyle w:val="VerbatimChar"/>
        </w:rPr>
        <w:t xml:space="preserve">Q</w:t>
      </w:r>
      <w:r>
        <w:t xml:space="preserve"> </w:t>
      </w:r>
      <w:r>
        <w:t xml:space="preserve">pseudo-atom satisfies the monopole and tractability requirements and fails</w:t>
      </w:r>
      <w:r>
        <w:t xml:space="preserve"> </w:t>
      </w:r>
      <w:r>
        <w:t xml:space="preserve">density exclusion. I selected it for testing on two grounds. First, it is the</w:t>
      </w:r>
      <w:r>
        <w:t xml:space="preserve"> </w:t>
      </w:r>
      <w:r>
        <w:t xml:space="preserve">representation for which the objective of X.4 is exactly the first-order</w:t>
      </w:r>
      <w:r>
        <w:t xml:space="preserve"> </w:t>
      </w:r>
      <w:r>
        <w:t xml:space="preserve">interaction energy, so it establishes what that objective predicts in the absence</w:t>
      </w:r>
      <w:r>
        <w:t xml:space="preserve"> </w:t>
      </w:r>
      <w:r>
        <w:t xml:space="preserve">of any repulsive term. Second, the designs reported in Chapter Z were constructed</w:t>
      </w:r>
      <w:r>
        <w:t xml:space="preserve"> </w:t>
      </w:r>
      <w:r>
        <w:t xml:space="preserve">with it:</w:t>
      </w:r>
      <w:r>
        <w:t xml:space="preserve"> </w:t>
      </w:r>
      <w:r>
        <w:rPr>
          <w:rStyle w:val="VerbatimChar"/>
        </w:rPr>
        <w:t xml:space="preserve">route_b/ROUTE_B_GEOMETRY_CHARGE_RESULT.md</w:t>
      </w:r>
      <w:r>
        <w:t xml:space="preserve"> </w:t>
      </w:r>
      <w:r>
        <w:t xml:space="preserve">specifies the cradleArg90</w:t>
      </w:r>
      <w:r>
        <w:t xml:space="preserve"> </w:t>
      </w:r>
      <w:r>
        <w:t xml:space="preserve">design as</w:t>
      </w:r>
      <w:r>
        <w:t xml:space="preserve"> </w:t>
      </w:r>
      <w:r>
        <w:t xml:space="preserve">“</w:t>
      </w:r>
      <w:r>
        <w:t xml:space="preserve">24-atom chorismate dianion (-2) + 3 external +1 point charges</w:t>
      </w:r>
      <w:r>
        <w:t xml:space="preserve">”</w:t>
      </w:r>
      <w:r>
        <w:t xml:space="preserve">, and</w:t>
      </w:r>
      <w:r>
        <w:t xml:space="preserve"> </w:t>
      </w:r>
      <w:r>
        <w:t xml:space="preserve">the three charge sites in</w:t>
      </w:r>
      <w:r>
        <w:t xml:space="preserve"> </w:t>
      </w:r>
      <w:r>
        <w:rPr>
          <w:rStyle w:val="VerbatimChar"/>
        </w:rPr>
        <w:t xml:space="preserve">route_b/cradleArg90_coords.xyz</w:t>
      </w:r>
      <w:r>
        <w:t xml:space="preserve"> </w:t>
      </w:r>
      <w:r>
        <w:t xml:space="preserve">stand 2.058, 2.054 and</w:t>
      </w:r>
      <w:r>
        <w:t xml:space="preserve"> </w:t>
      </w:r>
      <w:r>
        <w:t xml:space="preserve">2.062 Å from the substrate van der Waals surface. Comparing a point charge</w:t>
      </w:r>
      <w:r>
        <w:t xml:space="preserve"> </w:t>
      </w:r>
      <w:r>
        <w:t xml:space="preserve">against a charged sphere at the same site measures the spill-out contribution to</w:t>
      </w:r>
      <w:r>
        <w:t xml:space="preserve"> </w:t>
      </w:r>
      <w:r>
        <w:t xml:space="preserve">those results directly.</w:t>
      </w:r>
    </w:p>
    <w:p>
      <w:pPr>
        <w:pStyle w:val="BodyText"/>
      </w:pPr>
      <w:r>
        <w:rPr>
          <w:rStyle w:val="VerbatimChar"/>
        </w:rPr>
        <w:t xml:space="preserve">[DECISION REQUIRED — whether to recompute the cradleArg90 barrier with the three charges represented as charged spheres. The committed design uses bare point charges at approximately 2.06 Å standoff, which is within the range in which Laio et al. (2002) report electron spill-out for classical charges without Pauli repulsion. The flat-bottom restraints used in that design act on nuclear positions and do not exclude electron density from the charge sites. The recomputation would establish whether the reported barriers of 6.40 and 7.23 kcal/mol are affected by the representation. Cost is one CI-NEB per design.]</w:t>
      </w:r>
    </w:p>
    <w:p>
      <w:pPr>
        <w:pStyle w:val="BodyText"/>
      </w:pPr>
      <w:r>
        <w:rPr>
          <w:bCs/>
          <w:b/>
        </w:rPr>
        <w:t xml:space="preserve">Uniform external field, as comparator.</w:t>
      </w:r>
      <w:r>
        <w:t xml:space="preserve"> </w:t>
      </w:r>
      <w:r>
        <w:t xml:space="preserve">A uniform field imposes a direction</w:t>
      </w:r>
      <w:r>
        <w:t xml:space="preserve"> </w:t>
      </w:r>
      <w:r>
        <w:t xml:space="preserve">and magnitude without occupying a position, and therefore tests what a field</w:t>
      </w:r>
      <w:r>
        <w:t xml:space="preserve"> </w:t>
      </w:r>
      <w:r>
        <w:t xml:space="preserve">without spatial structure achieves for this reaction. Two approximately uniform</w:t>
      </w:r>
      <w:r>
        <w:t xml:space="preserve"> </w:t>
      </w:r>
      <w:r>
        <w:t xml:space="preserve">arrangements are already committed.</w:t>
      </w:r>
      <w:r>
        <w:t xml:space="preserve"> </w:t>
      </w:r>
      <w:r>
        <w:rPr>
          <w:rStyle w:val="VerbatimChar"/>
        </w:rPr>
        <w:t xml:space="preserve">route_b/ROUTE_B_GEOMETRY_CHARGE_RESULT.md</w:t>
      </w:r>
      <w:r>
        <w:t xml:space="preserve"> </w:t>
      </w:r>
      <w:r>
        <w:t xml:space="preserve">reports a barrier of 29.77 kcal/mol</w:t>
      </w:r>
      <w:r>
        <w:t xml:space="preserve"> </w:t>
      </w:r>
      <w:r>
        <w:t xml:space="preserve">for a capacitor arrangement of 50 charges described as uniform to within 4 %, and</w:t>
      </w:r>
      <w:r>
        <w:t xml:space="preserve"> </w:t>
      </w:r>
      <w:r>
        <w:t xml:space="preserve">46.37 kcal/mol for a six-charge oriented-field arrangement, against a</w:t>
      </w:r>
      <w:r>
        <w:t xml:space="preserve"> </w:t>
      </w:r>
      <w:r>
        <w:t xml:space="preserve">bare-substrate barrier of 17.47 kcal/mol. Both raise the barrier. I retained the</w:t>
      </w:r>
      <w:r>
        <w:t xml:space="preserve"> </w:t>
      </w:r>
      <w:r>
        <w:t xml:space="preserve">uniform field as a comparator on this basis rather than as a design</w:t>
      </w:r>
      <w:r>
        <w:t xml:space="preserve"> </w:t>
      </w:r>
      <w:r>
        <w:t xml:space="preserve">representation. Both committed arrangements were built from point charges, so a</w:t>
      </w:r>
      <w:r>
        <w:t xml:space="preserve"> </w:t>
      </w:r>
      <w:r>
        <w:t xml:space="preserve">comparator computed with the native uniform-field implementation of ORCA 6.0.1</w:t>
      </w:r>
      <w:r>
        <w:t xml:space="preserve"> </w:t>
      </w:r>
      <w:r>
        <w:t xml:space="preserve">(Neese, 2025) would separate the effect of field uniformity from the effect of</w:t>
      </w:r>
      <w:r>
        <w:t xml:space="preserve"> </w:t>
      </w:r>
      <w:r>
        <w:t xml:space="preserve">the representation.</w:t>
      </w:r>
    </w:p>
    <w:p>
      <w:pPr>
        <w:pStyle w:val="BodyText"/>
      </w:pPr>
      <w:r>
        <w:t xml:space="preserve">I did not select the point-charge shell, on the grounds that each point in the</w:t>
      </w:r>
      <w:r>
        <w:t xml:space="preserve"> </w:t>
      </w:r>
      <w:r>
        <w:t xml:space="preserve">shell reproduces the spill-out behaviour of a single point charge while the</w:t>
      </w:r>
      <w:r>
        <w:t xml:space="preserve"> </w:t>
      </w:r>
      <w:r>
        <w:t xml:space="preserve">assembly offers no advantage over a charged sphere of the same net charge.</w:t>
      </w:r>
    </w:p>
    <w:p>
      <w:pPr>
        <w:pStyle w:val="BodyText"/>
      </w:pPr>
      <w:r>
        <w:t xml:space="preserve">I did not select the quantum-region entity as a design representation, because</w:t>
      </w:r>
      <w:r>
        <w:t xml:space="preserve"> </w:t>
      </w:r>
      <w:r>
        <w:t xml:space="preserve">placing an entity inside the QM region changes the electron count and total</w:t>
      </w:r>
      <w:r>
        <w:t xml:space="preserve"> </w:t>
      </w:r>
      <w:r>
        <w:t xml:space="preserve">charge of the quantum system and raises the cost with the number of entities</w:t>
      </w:r>
      <w:r>
        <w:t xml:space="preserve"> </w:t>
      </w:r>
      <w:r>
        <w:t xml:space="preserve">placed. For a single entity the cost is modest: one guanidinium added to the</w:t>
      </w:r>
      <w:r>
        <w:t xml:space="preserve"> </w:t>
      </w:r>
      <w:r>
        <w:t xml:space="preserve">24-atom substrate gives a quantum region of approximately 34 atoms.</w:t>
      </w:r>
    </w:p>
    <w:p>
      <w:pPr>
        <w:pStyle w:val="BodyText"/>
      </w:pPr>
      <w:r>
        <w:rPr>
          <w:rStyle w:val="VerbatimChar"/>
        </w:rPr>
        <w:t xml:space="preserve">[DECISION REQUIRED — whether to compute a single-entity quantum-region reference. Placing one guanidinium inside the QM region at a designed site, and comparing the resulting barrier change against the same entity represented as a charged sphere and as a molecular surrogate, would bound the embedding error by calculation rather than by argument. This is the only route to a quantitative statement about the cost of the embedding approximation. Not required for the screen.]</w:t>
      </w:r>
    </w:p>
    <w:bookmarkEnd w:id="24"/>
    <w:bookmarkStart w:id="25" w:name="X4095a8908a3f41e9da1b29f3d8fff1567538732"/>
    <w:p>
      <w:pPr>
        <w:pStyle w:val="Heading2"/>
      </w:pPr>
      <w:r>
        <w:t xml:space="preserve">X.2.6 Constraints imposed by a dianionic substrate</w:t>
      </w:r>
    </w:p>
    <w:p>
      <w:pPr>
        <w:pStyle w:val="FirstParagraph"/>
      </w:pPr>
      <w:r>
        <w:t xml:space="preserve">The substrate carries a net charge of −2 (X.1), which constrains the design in</w:t>
      </w:r>
      <w:r>
        <w:t xml:space="preserve"> </w:t>
      </w:r>
      <w:r>
        <w:t xml:space="preserve">ways a neutral substrate would not.</w:t>
      </w:r>
    </w:p>
    <w:p>
      <w:pPr>
        <w:pStyle w:val="BodyText"/>
      </w:pPr>
      <w:r>
        <w:t xml:space="preserve">Dreuw and Cederbaum (2002) identify two decay channels available to a multiply</w:t>
      </w:r>
      <w:r>
        <w:t xml:space="preserve"> </w:t>
      </w:r>
      <w:r>
        <w:t xml:space="preserve">charged anion, both driven by mutual repulsion of the excess charges. The first</w:t>
      </w:r>
      <w:r>
        <w:t xml:space="preserve"> </w:t>
      </w:r>
      <w:r>
        <w:t xml:space="preserve">is electron loss:</w:t>
      </w:r>
      <w:r>
        <w:t xml:space="preserve"> </w:t>
      </w:r>
      <w:r>
        <w:t xml:space="preserve">“</w:t>
      </w:r>
      <w:r>
        <w:t xml:space="preserve">most of the small di- and trianions known from condensed</w:t>
      </w:r>
      <w:r>
        <w:t xml:space="preserve"> </w:t>
      </w:r>
      <w:r>
        <w:t xml:space="preserve">phases are unstable with respect to electron emission and thus emit</w:t>
      </w:r>
      <w:r>
        <w:t xml:space="preserve"> </w:t>
      </w:r>
      <w:r>
        <w:t xml:space="preserve">spontaneously one electron, when they are brought into the gas phase.</w:t>
      </w:r>
      <w:r>
        <w:t xml:space="preserve">”</w:t>
      </w:r>
      <w:r>
        <w:t xml:space="preserve"> </w:t>
      </w:r>
      <w:r>
        <w:t xml:space="preserve">The</w:t>
      </w:r>
      <w:r>
        <w:t xml:space="preserve"> </w:t>
      </w:r>
      <w:r>
        <w:t xml:space="preserve">second is nuclear: the same repulsion</w:t>
      </w:r>
      <w:r>
        <w:t xml:space="preserve"> </w:t>
      </w:r>
      <w:r>
        <w:t xml:space="preserve">“</w:t>
      </w:r>
      <w:r>
        <w:t xml:space="preserve">supports the dissociation of the molecular</w:t>
      </w:r>
      <w:r>
        <w:t xml:space="preserve"> </w:t>
      </w:r>
      <w:r>
        <w:t xml:space="preserve">framework into two monoanionic fragments.</w:t>
      </w:r>
      <w:r>
        <w:t xml:space="preserve">”</w:t>
      </w:r>
    </w:p>
    <w:p>
      <w:pPr>
        <w:pStyle w:val="BodyText"/>
      </w:pPr>
      <w:r>
        <w:t xml:space="preserve">Both channels are suppressed by the environment. Reviewing calculations of</w:t>
      </w:r>
      <w:r>
        <w:t xml:space="preserve"> </w:t>
      </w:r>
      <w:r>
        <w:t xml:space="preserve">multiply charged anions in solution, Dreuw and Cederbaum (2002) report that</w:t>
      </w:r>
      <w:r>
        <w:t xml:space="preserve"> </w:t>
      </w:r>
      <w:r>
        <w:t xml:space="preserve">“</w:t>
      </w:r>
      <w:r>
        <w:t xml:space="preserve">electronically unstable MCAs are tremendously stabilized by the solvent, and</w:t>
      </w:r>
      <w:r>
        <w:t xml:space="preserve"> </w:t>
      </w:r>
      <w:r>
        <w:t xml:space="preserve">also fragmentation channels are clearly supressed</w:t>
      </w:r>
      <w:r>
        <w:t xml:space="preserve">”</w:t>
      </w:r>
      <w:r>
        <w:t xml:space="preserve">, giving as an example a rise</w:t>
      </w:r>
      <w:r>
        <w:t xml:space="preserve"> </w:t>
      </w:r>
      <w:r>
        <w:t xml:space="preserve">in the vertical electron detachment energy of sulfate of about 11.2 eV on moving</w:t>
      </w:r>
      <w:r>
        <w:t xml:space="preserve"> </w:t>
      </w:r>
      <w:r>
        <w:t xml:space="preserve">from the gas phase to water. Counterions act similarly: summarising</w:t>
      </w:r>
      <w:r>
        <w:t xml:space="preserve"> </w:t>
      </w:r>
      <w:r>
        <w:t xml:space="preserve">photoelectron measurements on alkali metal sulfate ion pairs, they conclude that</w:t>
      </w:r>
      <w:r>
        <w:t xml:space="preserve"> </w:t>
      </w:r>
      <w:r>
        <w:t xml:space="preserve">such complexes</w:t>
      </w:r>
      <w:r>
        <w:t xml:space="preserve"> </w:t>
      </w:r>
      <w:r>
        <w:t xml:space="preserve">“</w:t>
      </w:r>
      <w:r>
        <w:t xml:space="preserve">can be considered as a distorted sulfate that interacts</w:t>
      </w:r>
      <w:r>
        <w:t xml:space="preserve"> </w:t>
      </w:r>
      <w:r>
        <w:t xml:space="preserve">electrostatically with the alkali metal cations as it is found in bulk sulfate</w:t>
      </w:r>
      <w:r>
        <w:t xml:space="preserve"> </w:t>
      </w:r>
      <w:r>
        <w:t xml:space="preserve">solids</w:t>
      </w:r>
      <w:r>
        <w:t xml:space="preserve">”</w:t>
      </w:r>
      <w:r>
        <w:t xml:space="preserve">, and that</w:t>
      </w:r>
      <w:r>
        <w:t xml:space="preserve"> </w:t>
      </w:r>
      <w:r>
        <w:t xml:space="preserve">“</w:t>
      </w:r>
      <w:r>
        <w:t xml:space="preserve">the effect of the counterions on sulfate is very similar to</w:t>
      </w:r>
      <w:r>
        <w:t xml:space="preserve"> </w:t>
      </w:r>
      <w:r>
        <w:t xml:space="preserve">the effect of water.</w:t>
      </w:r>
      <w:r>
        <w:t xml:space="preserve">”</w:t>
      </w:r>
    </w:p>
    <w:p>
      <w:pPr>
        <w:pStyle w:val="BodyText"/>
      </w:pPr>
      <w:r>
        <w:t xml:space="preserve">Two consequences follow for a designed charge environment.</w:t>
      </w:r>
    </w:p>
    <w:p>
      <w:pPr>
        <w:pStyle w:val="BodyText"/>
      </w:pPr>
      <w:r>
        <w:t xml:space="preserve">First, the designed charges are themselves part of the environment that governs</w:t>
      </w:r>
      <w:r>
        <w:t xml:space="preserve"> </w:t>
      </w:r>
      <w:r>
        <w:t xml:space="preserve">these channels, so they can act to suppress or to promote them. A cation placed</w:t>
      </w:r>
      <w:r>
        <w:t xml:space="preserve"> </w:t>
      </w:r>
      <w:r>
        <w:t xml:space="preserve">near the substrate is the case Dreuw and Cederbaum evidence directly: their</w:t>
      </w:r>
      <w:r>
        <w:t xml:space="preserve"> </w:t>
      </w:r>
      <w:r>
        <w:t xml:space="preserve">counterion result establishes that cations stabilise a multiply charged anion.</w:t>
      </w:r>
      <w:r>
        <w:t xml:space="preserve"> </w:t>
      </w:r>
      <w:r>
        <w:t xml:space="preserve">The converse case, in which an anion placed near the substrate destabilises it,</w:t>
      </w:r>
      <w:r>
        <w:t xml:space="preserve"> </w:t>
      </w:r>
      <w:r>
        <w:t xml:space="preserve">follows from the same electrostatics but is not separately evidenced in that</w:t>
      </w:r>
      <w:r>
        <w:t xml:space="preserve"> </w:t>
      </w:r>
      <w:r>
        <w:t xml:space="preserve">review. The asymmetry matters because it is invisible to an objective built on</w:t>
      </w:r>
      <w:r>
        <w:t xml:space="preserve"> </w:t>
      </w:r>
      <w:r>
        <w:t xml:space="preserve">the difference between two states of the substrate, which measures how a charge</w:t>
      </w:r>
      <w:r>
        <w:t xml:space="preserve"> </w:t>
      </w:r>
      <w:r>
        <w:t xml:space="preserve">discriminates between reactant and transition state and not whether the</w:t>
      </w:r>
      <w:r>
        <w:t xml:space="preserve"> </w:t>
      </w:r>
      <w:r>
        <w:t xml:space="preserve">substrate is retained.</w:t>
      </w:r>
    </w:p>
    <w:p>
      <w:pPr>
        <w:pStyle w:val="BodyText"/>
      </w:pPr>
      <w:r>
        <w:t xml:space="preserve">Second, external fields are known to alter bond strengths at magnitudes</w:t>
      </w:r>
      <w:r>
        <w:t xml:space="preserve"> </w:t>
      </w:r>
      <w:r>
        <w:t xml:space="preserve">comparable to reaction barriers. Shaik</w:t>
      </w:r>
      <w:r>
        <w:t xml:space="preserve"> </w:t>
      </w:r>
      <w:r>
        <w:rPr>
          <w:iCs/>
          <w:i/>
        </w:rPr>
        <w:t xml:space="preserve">et al.</w:t>
      </w:r>
      <w:r>
        <w:t xml:space="preserve"> </w:t>
      </w:r>
      <w:r>
        <w:t xml:space="preserve">(2016) report that</w:t>
      </w:r>
      <w:r>
        <w:t xml:space="preserve"> </w:t>
      </w:r>
      <w:r>
        <w:t xml:space="preserve">“</w:t>
      </w:r>
      <w:r>
        <w:t xml:space="preserve">built-in</w:t>
      </w:r>
      <w:r>
        <w:t xml:space="preserve"> </w:t>
      </w:r>
      <w:r>
        <w:t xml:space="preserve">molecular EFs generated by charged substituents were recently found to change</w:t>
      </w:r>
      <w:r>
        <w:t xml:space="preserve"> </w:t>
      </w:r>
      <w:r>
        <w:t xml:space="preserve">bond dissociation energies of remote bonds by tens of kilojoules</w:t>
      </w:r>
      <w:r>
        <w:t xml:space="preserve">”</w:t>
      </w:r>
      <w:r>
        <w:t xml:space="preserve">. A designed</w:t>
      </w:r>
      <w:r>
        <w:t xml:space="preserve"> </w:t>
      </w:r>
      <w:r>
        <w:t xml:space="preserve">arrangement is therefore capable of acting on the dissociation channel described</w:t>
      </w:r>
      <w:r>
        <w:t xml:space="preserve"> </w:t>
      </w:r>
      <w:r>
        <w:t xml:space="preserve">above, in either direction.</w:t>
      </w:r>
    </w:p>
    <w:p>
      <w:pPr>
        <w:pStyle w:val="BodyText"/>
      </w:pPr>
      <w:r>
        <w:rPr>
          <w:rStyle w:val="VerbatimChar"/>
        </w:rPr>
        <w:t xml:space="preserve">[PLACEHOLDER — needs sourcing: no source consulted predicts which bond of a dianion breaks under an external field, and Dreuw and Cederbaum (2002) address only intrinsic dissociation, not field-induced dissociation. The expectation that a designed field would open the substrate along the framework separating its two carboxylate groups is an inference from their charge-separation argument and is not supported by any source read. It should be replaced by an observation: the committed geometries from the discrete point-charge designs should be examined for whether the fragments carry one carboxylate each, which would establish the channel by measurement rather than by prediction. Candidate files: the relaxed structures under</w:t>
      </w:r>
      <w:r>
        <w:t xml:space="preserve">phase2b_charge_design/relaxation_attempts/</w:t>
      </w:r>
      <w:r>
        <w:rPr>
          <w:rStyle w:val="VerbatimChar"/>
        </w:rPr>
        <w:t xml:space="preserve">.]</w:t>
      </w:r>
    </w:p>
    <w:p>
      <w:pPr>
        <w:pStyle w:val="BodyText"/>
      </w:pPr>
      <w:r>
        <w:t xml:space="preserve">The consequences of both points for the designs tested are reported in Chapter Z.</w:t>
      </w:r>
    </w:p>
    <w:bookmarkEnd w:id="25"/>
    <w:bookmarkStart w:id="26" w:name="x.2.7-pipeline-of-operations"/>
    <w:p>
      <w:pPr>
        <w:pStyle w:val="Heading2"/>
      </w:pPr>
      <w:r>
        <w:t xml:space="preserve">X.2.7 Pipeline of Operations</w:t>
      </w:r>
    </w:p>
    <w:p>
      <w:pPr>
        <w:pStyle w:val="FirstParagraph"/>
      </w:pPr>
      <w:r>
        <w:rPr>
          <w:rStyle w:val="VerbatimChar"/>
        </w:rPr>
        <w:t xml:space="preserve">[FIGURE X.2.1 — flowchart of the representation decision. Three parallel branches from "designed charge entity": point charge → ORCA</w:t>
      </w:r>
      <w:r>
        <w:t xml:space="preserve">.pc</w:t>
      </w:r>
      <w:r>
        <w:rPr>
          <w:rStyle w:val="VerbatimChar"/>
        </w:rPr>
        <w:t xml:space="preserve">file → no Pauli wall; charged sphere → QM/MM particle (q, σ, ε) → wall at σ; molecular surrogate → multi-site QM/MM group → wall plus orientation. A fourth, separate branch for the uniform field bypassing placement entirely. Annotate each branch with whether the monopole objective of X.4 is exact for it. No data file required; this is a schematic.]</w:t>
      </w:r>
    </w:p>
    <w:p>
      <w:pPr>
        <w:numPr>
          <w:ilvl w:val="0"/>
          <w:numId w:val="1001"/>
        </w:numPr>
        <w:pStyle w:val="Compact"/>
      </w:pPr>
      <w:r>
        <w:rPr>
          <w:rStyle w:val="VerbatimChar"/>
        </w:rPr>
        <w:t xml:space="preserve">design_maxlower_K1.pc</w:t>
      </w:r>
      <w:r>
        <w:t xml:space="preserve"> </w:t>
      </w:r>
      <w:r>
        <w:t xml:space="preserve">…</w:t>
      </w:r>
      <w:r>
        <w:t xml:space="preserve"> </w:t>
      </w:r>
      <w:r>
        <w:rPr>
          <w:rStyle w:val="VerbatimChar"/>
        </w:rPr>
        <w:t xml:space="preserve">design_maxlower_K4.pc</w:t>
      </w:r>
      <w:r>
        <w:t xml:space="preserve"> </w:t>
      </w:r>
      <w:r>
        <w:t xml:space="preserve">— ORCA point-charge files, one</w:t>
      </w:r>
      <w:r>
        <w:t xml:space="preserve"> </w:t>
      </w:r>
      <w:r>
        <w:t xml:space="preserve">line per charge giving magnitude in atomic units and position in Ångström.</w:t>
      </w:r>
      <w:r>
        <w:t xml:space="preserve"> </w:t>
      </w:r>
      <w:r>
        <w:t xml:space="preserve">Consumed by</w:t>
      </w:r>
      <w:r>
        <w:t xml:space="preserve"> </w:t>
      </w:r>
      <w:r>
        <w:rPr>
          <w:rStyle w:val="VerbatimChar"/>
        </w:rPr>
        <w:t xml:space="preserve">%pointcharges</w:t>
      </w:r>
      <w:r>
        <w:t xml:space="preserve">. These implement the point-charge representation</w:t>
      </w:r>
      <w:r>
        <w:t xml:space="preserve"> </w:t>
      </w:r>
      <w:r>
        <w:t xml:space="preserve">and carry no Lennard-Jones term.</w:t>
      </w:r>
    </w:p>
    <w:p>
      <w:pPr>
        <w:numPr>
          <w:ilvl w:val="0"/>
          <w:numId w:val="1001"/>
        </w:numPr>
        <w:pStyle w:val="Compact"/>
      </w:pPr>
      <w:r>
        <w:rPr>
          <w:rStyle w:val="VerbatimChar"/>
        </w:rPr>
        <w:t xml:space="preserve">complex_solvated.ORCAFF.prms</w:t>
      </w:r>
      <w:r>
        <w:t xml:space="preserve"> </w:t>
      </w:r>
      <w:r>
        <w:t xml:space="preserve">— ORCA force-field parameter file holding the</w:t>
      </w:r>
      <w:r>
        <w:t xml:space="preserve"> </w:t>
      </w:r>
      <w:r>
        <w:t xml:space="preserve">charges and Lennard-Jones parameters for all molecular-mechanical sites.</w:t>
      </w:r>
      <w:r>
        <w:t xml:space="preserve"> </w:t>
      </w:r>
      <w:r>
        <w:t xml:space="preserve">Supplies the σ and ε that realise a charged sphere or a molecular surrogate.</w:t>
      </w:r>
    </w:p>
    <w:p>
      <w:pPr>
        <w:numPr>
          <w:ilvl w:val="0"/>
          <w:numId w:val="1001"/>
        </w:numPr>
        <w:pStyle w:val="Compact"/>
      </w:pPr>
      <w:r>
        <w:rPr>
          <w:rStyle w:val="VerbatimChar"/>
        </w:rPr>
        <w:t xml:space="preserve">place_surrogates.py</w:t>
      </w:r>
      <w:r>
        <w:t xml:space="preserve"> </w:t>
      </w:r>
      <w:r>
        <w:t xml:space="preserve">— places a molecular surrogate at a designed grid point</w:t>
      </w:r>
      <w:r>
        <w:t xml:space="preserve"> </w:t>
      </w:r>
      <w:r>
        <w:t xml:space="preserve">with its charged terminus oriented toward the substrate centroid. Outputs the</w:t>
      </w:r>
      <w:r>
        <w:t xml:space="preserve"> </w:t>
      </w:r>
      <w:r>
        <w:t xml:space="preserve">surrogate coordinates and the corresponding force-field assignment.</w:t>
      </w:r>
    </w:p>
    <w:p>
      <w:pPr>
        <w:numPr>
          <w:ilvl w:val="0"/>
          <w:numId w:val="1001"/>
        </w:numPr>
        <w:pStyle w:val="Compact"/>
      </w:pPr>
      <w:r>
        <w:rPr>
          <w:rStyle w:val="VerbatimChar"/>
        </w:rPr>
        <w:t xml:space="preserve">sp_reactant.inp</w:t>
      </w:r>
      <w:r>
        <w:t xml:space="preserve">,</w:t>
      </w:r>
      <w:r>
        <w:t xml:space="preserve"> </w:t>
      </w:r>
      <w:r>
        <w:rPr>
          <w:rStyle w:val="VerbatimChar"/>
        </w:rPr>
        <w:t xml:space="preserve">sp_ts.inp</w:t>
      </w:r>
      <w:r>
        <w:t xml:space="preserve"> </w:t>
      </w:r>
      <w:r>
        <w:t xml:space="preserve">— ORCA single-point inputs for the unperturbed</w:t>
      </w:r>
      <w:r>
        <w:t xml:space="preserve"> </w:t>
      </w:r>
      <w:r>
        <w:t xml:space="preserve">substrate at the reactant and transition-state geometries. Output</w:t>
      </w:r>
      <w:r>
        <w:t xml:space="preserve"> </w:t>
      </w:r>
      <w:r>
        <w:rPr>
          <w:rStyle w:val="VerbatimChar"/>
        </w:rPr>
        <w:t xml:space="preserve">.gbw</w:t>
      </w:r>
      <w:r>
        <w:t xml:space="preserve"> </w:t>
      </w:r>
      <w:r>
        <w:t xml:space="preserve">and</w:t>
      </w:r>
      <w:r>
        <w:t xml:space="preserve"> </w:t>
      </w:r>
      <w:r>
        <w:rPr>
          <w:rStyle w:val="VerbatimChar"/>
        </w:rPr>
        <w:t xml:space="preserve">.densities</w:t>
      </w:r>
      <w:r>
        <w:t xml:space="preserve"> </w:t>
      </w:r>
      <w:r>
        <w:t xml:space="preserve">files supply the wavefunctions from which the difference potential</w:t>
      </w:r>
      <w:r>
        <w:t xml:space="preserve"> </w:t>
      </w:r>
      <w:r>
        <w:t xml:space="preserve">is evaluated in X.4.</w:t>
      </w:r>
    </w:p>
    <w:p>
      <w:pPr>
        <w:pStyle w:val="FirstParagraph"/>
      </w:pPr>
      <w:r>
        <w:rPr>
          <w:rStyle w:val="VerbatimChar"/>
        </w:rPr>
        <w:t xml:space="preserve">[PLACEHOLDER — needs sourcing: no committed input file yet implements the charged-sphere representation. The point-charge and molecular-surrogate routes are both realised in committed files, but a single QM/MM particle carrying charge and Lennard-Jones parameters has not been constructed. This should exist before X.2.5 describes it as the working representation.]</w:t>
      </w:r>
    </w:p>
    <w:p>
      <w:r>
        <w:pict>
          <v:rect style="width:0;height:1.5pt" o:hralign="center" o:hrstd="t" o:hr="t"/>
        </w:pict>
      </w:r>
    </w:p>
    <w:bookmarkEnd w:id="26"/>
    <w:bookmarkStart w:id="27" w:name="references"/>
    <w:p>
      <w:pPr>
        <w:pStyle w:val="Heading2"/>
      </w:pPr>
      <w:r>
        <w:t xml:space="preserve">References</w:t>
      </w:r>
    </w:p>
    <w:p>
      <w:pPr>
        <w:pStyle w:val="FirstParagraph"/>
      </w:pPr>
      <w:r>
        <w:t xml:space="preserve">Beker, W. and Sokalski, W.A. (2016)</w:t>
      </w:r>
      <w:r>
        <w:t xml:space="preserve"> </w:t>
      </w:r>
      <w:r>
        <w:t xml:space="preserve">‘</w:t>
      </w:r>
      <w:r>
        <w:t xml:space="preserve">Rapid estimation of catalytic efficiency by</w:t>
      </w:r>
      <w:r>
        <w:t xml:space="preserve"> </w:t>
      </w:r>
      <w:r>
        <w:t xml:space="preserve">cumulative atomic multipole moments: application to ketosteroid isomerase</w:t>
      </w:r>
      <w:r>
        <w:t xml:space="preserve"> </w:t>
      </w:r>
      <w:r>
        <w:t xml:space="preserve">mutants</w:t>
      </w:r>
      <w:r>
        <w:t xml:space="preserve">’</w:t>
      </w:r>
      <w:r>
        <w:t xml:space="preserve">,</w:t>
      </w:r>
      <w:r>
        <w:t xml:space="preserve"> </w:t>
      </w:r>
      <w:r>
        <w:rPr>
          <w:iCs/>
          <w:i/>
        </w:rPr>
        <w:t xml:space="preserve">Journal of Chemical Theory and Computation</w:t>
      </w:r>
      <w:r>
        <w:t xml:space="preserve">.</w:t>
      </w:r>
      <w:r>
        <w:t xml:space="preserve"> </w:t>
      </w:r>
      <w:r>
        <w:t xml:space="preserve">doi:10.1021/acs.jctc.6b01131.</w:t>
      </w:r>
    </w:p>
    <w:p>
      <w:pPr>
        <w:pStyle w:val="BodyText"/>
      </w:pPr>
      <w:r>
        <w:t xml:space="preserve">Burschowsky, D., van Eerde, A., Ökvist, M., Kienhöfer, A., Kast, P., Hilvert, D.</w:t>
      </w:r>
      <w:r>
        <w:t xml:space="preserve"> </w:t>
      </w:r>
      <w:r>
        <w:t xml:space="preserve">and Krengel, U. (2014)</w:t>
      </w:r>
      <w:r>
        <w:t xml:space="preserve"> </w:t>
      </w:r>
      <w:r>
        <w:t xml:space="preserve">‘</w:t>
      </w:r>
      <w:r>
        <w:t xml:space="preserve">Electrostatic transition state stabilization rather than</w:t>
      </w:r>
      <w:r>
        <w:t xml:space="preserve"> </w:t>
      </w:r>
      <w:r>
        <w:t xml:space="preserve">reactant destabilization provides the chemical basis for efficient chorismate</w:t>
      </w:r>
      <w:r>
        <w:t xml:space="preserve"> </w:t>
      </w:r>
      <w:r>
        <w:t xml:space="preserve">mutase catalysis</w:t>
      </w:r>
      <w:r>
        <w:t xml:space="preserve">’</w:t>
      </w:r>
      <w:r>
        <w:t xml:space="preserve">,</w:t>
      </w:r>
      <w:r>
        <w:t xml:space="preserve"> </w:t>
      </w:r>
      <w:r>
        <w:rPr>
          <w:iCs/>
          <w:i/>
        </w:rPr>
        <w:t xml:space="preserve">Proceedings of the National Academy of Sciences</w:t>
      </w:r>
      <w:r>
        <w:t xml:space="preserve">, 111(49),</w:t>
      </w:r>
      <w:r>
        <w:t xml:space="preserve"> </w:t>
      </w:r>
      <w:r>
        <w:t xml:space="preserve">pp. 17516–17521. doi:10.1073/pnas.1408512111.</w:t>
      </w:r>
    </w:p>
    <w:p>
      <w:pPr>
        <w:pStyle w:val="BodyText"/>
      </w:pPr>
      <w:r>
        <w:t xml:space="preserve">Dreuw, A. and Cederbaum, L.S. (2002)</w:t>
      </w:r>
      <w:r>
        <w:t xml:space="preserve"> </w:t>
      </w:r>
      <w:r>
        <w:t xml:space="preserve">‘</w:t>
      </w:r>
      <w:r>
        <w:t xml:space="preserve">Multiply charged anions in the gas phase</w:t>
      </w:r>
      <w:r>
        <w:t xml:space="preserve">’</w:t>
      </w:r>
      <w:r>
        <w:t xml:space="preserve">,</w:t>
      </w:r>
      <w:r>
        <w:t xml:space="preserve"> </w:t>
      </w:r>
      <w:r>
        <w:rPr>
          <w:iCs/>
          <w:i/>
        </w:rPr>
        <w:t xml:space="preserve">Chemical Reviews</w:t>
      </w:r>
      <w:r>
        <w:t xml:space="preserve">, 102(1), pp. 181–200. doi:10.1021/cr0104227.</w:t>
      </w:r>
    </w:p>
    <w:p>
      <w:pPr>
        <w:pStyle w:val="BodyText"/>
      </w:pPr>
      <w:r>
        <w:t xml:space="preserve">García-Ratés, M. and Neese, F. (2020)</w:t>
      </w:r>
      <w:r>
        <w:t xml:space="preserve"> </w:t>
      </w:r>
      <w:r>
        <w:t xml:space="preserve">‘</w:t>
      </w:r>
      <w:r>
        <w:t xml:space="preserve">Effect of the solute cavity on the</w:t>
      </w:r>
      <w:r>
        <w:t xml:space="preserve"> </w:t>
      </w:r>
      <w:r>
        <w:t xml:space="preserve">solvation energy and its derivatives within the framework of the Gaussian charge</w:t>
      </w:r>
      <w:r>
        <w:t xml:space="preserve"> </w:t>
      </w:r>
      <w:r>
        <w:t xml:space="preserve">scheme</w:t>
      </w:r>
      <w:r>
        <w:t xml:space="preserve">’</w:t>
      </w:r>
      <w:r>
        <w:t xml:space="preserve">,</w:t>
      </w:r>
      <w:r>
        <w:t xml:space="preserve"> </w:t>
      </w:r>
      <w:r>
        <w:rPr>
          <w:iCs/>
          <w:i/>
        </w:rPr>
        <w:t xml:space="preserve">Journal of Computational Chemistry</w:t>
      </w:r>
      <w:r>
        <w:t xml:space="preserve">, 41(9), pp. 922–939.</w:t>
      </w:r>
      <w:r>
        <w:t xml:space="preserve"> </w:t>
      </w:r>
      <w:r>
        <w:t xml:space="preserve">doi:10.1002/jcc.26139.</w:t>
      </w:r>
    </w:p>
    <w:p>
      <w:pPr>
        <w:pStyle w:val="BodyText"/>
      </w:pPr>
      <w:r>
        <w:t xml:space="preserve">Laio, A., VandeVondele, J. and Rothlisberger, U. (2002)</w:t>
      </w:r>
      <w:r>
        <w:t xml:space="preserve"> </w:t>
      </w:r>
      <w:r>
        <w:t xml:space="preserve">‘</w:t>
      </w:r>
      <w:r>
        <w:t xml:space="preserve">A Hamiltonian</w:t>
      </w:r>
      <w:r>
        <w:t xml:space="preserve"> </w:t>
      </w:r>
      <w:r>
        <w:t xml:space="preserve">electrostatic coupling scheme for hybrid Car–Parrinello molecular dynamics</w:t>
      </w:r>
      <w:r>
        <w:t xml:space="preserve"> </w:t>
      </w:r>
      <w:r>
        <w:t xml:space="preserve">simulations</w:t>
      </w:r>
      <w:r>
        <w:t xml:space="preserve">’</w:t>
      </w:r>
      <w:r>
        <w:t xml:space="preserve">,</w:t>
      </w:r>
      <w:r>
        <w:t xml:space="preserve"> </w:t>
      </w:r>
      <w:r>
        <w:rPr>
          <w:iCs/>
          <w:i/>
        </w:rPr>
        <w:t xml:space="preserve">Journal of Chemical Physics</w:t>
      </w:r>
      <w:r>
        <w:t xml:space="preserve">, 116(16), pp. 6941–6947.</w:t>
      </w:r>
      <w:r>
        <w:t xml:space="preserve"> </w:t>
      </w:r>
      <w:r>
        <w:t xml:space="preserve">doi:10.1063/1.1462041.</w:t>
      </w:r>
    </w:p>
    <w:p>
      <w:pPr>
        <w:pStyle w:val="BodyText"/>
      </w:pPr>
      <w:r>
        <w:t xml:space="preserve">Neese, F. (2025)</w:t>
      </w:r>
      <w:r>
        <w:t xml:space="preserve"> </w:t>
      </w:r>
      <w:r>
        <w:t xml:space="preserve">‘</w:t>
      </w:r>
      <w:r>
        <w:t xml:space="preserve">Software update: the ORCA program system—version 6.0</w:t>
      </w:r>
      <w:r>
        <w:t xml:space="preserve">’</w:t>
      </w:r>
      <w:r>
        <w:t xml:space="preserve">,</w:t>
      </w:r>
      <w:r>
        <w:t xml:space="preserve"> </w:t>
      </w:r>
      <w:r>
        <w:rPr>
          <w:iCs/>
          <w:i/>
        </w:rPr>
        <w:t xml:space="preserve">WIREs</w:t>
      </w:r>
      <w:r>
        <w:rPr>
          <w:iCs/>
          <w:i/>
        </w:rPr>
        <w:t xml:space="preserve"> </w:t>
      </w:r>
      <w:r>
        <w:rPr>
          <w:iCs/>
          <w:i/>
        </w:rPr>
        <w:t xml:space="preserve">Computational Molecular Science</w:t>
      </w:r>
      <w:r>
        <w:t xml:space="preserve">, 15(2), e70019. doi:10.1002/wcms.70019.</w:t>
      </w:r>
    </w:p>
    <w:p>
      <w:pPr>
        <w:pStyle w:val="BodyText"/>
      </w:pPr>
      <w:r>
        <w:t xml:space="preserve">Senn, H.M. and Thiel, W. (2009)</w:t>
      </w:r>
      <w:r>
        <w:t xml:space="preserve"> </w:t>
      </w:r>
      <w:r>
        <w:t xml:space="preserve">‘</w:t>
      </w:r>
      <w:r>
        <w:t xml:space="preserve">QM/MM methods for biomolecular systems</w:t>
      </w:r>
      <w:r>
        <w:t xml:space="preserve">’</w:t>
      </w:r>
      <w:r>
        <w:t xml:space="preserve">,</w:t>
      </w:r>
      <w:r>
        <w:t xml:space="preserve"> </w:t>
      </w:r>
      <w:r>
        <w:rPr>
          <w:iCs/>
          <w:i/>
        </w:rPr>
        <w:t xml:space="preserve">Angewandte Chemie International Edition</w:t>
      </w:r>
      <w:r>
        <w:t xml:space="preserve">, 48(7), pp. 1198–1229.</w:t>
      </w:r>
      <w:r>
        <w:t xml:space="preserve"> </w:t>
      </w:r>
      <w:r>
        <w:t xml:space="preserve">doi:10.1002/anie.200802019.</w:t>
      </w:r>
    </w:p>
    <w:p>
      <w:pPr>
        <w:pStyle w:val="BodyText"/>
      </w:pPr>
      <w:r>
        <w:t xml:space="preserve">Shaik, S., Mandal, D. and Ramanan, R. (2016)</w:t>
      </w:r>
      <w:r>
        <w:t xml:space="preserve"> </w:t>
      </w:r>
      <w:r>
        <w:t xml:space="preserve">‘</w:t>
      </w:r>
      <w:r>
        <w:t xml:space="preserve">Oriented electric fields as future</w:t>
      </w:r>
      <w:r>
        <w:t xml:space="preserve"> </w:t>
      </w:r>
      <w:r>
        <w:t xml:space="preserve">smart reagents in chemistry</w:t>
      </w:r>
      <w:r>
        <w:t xml:space="preserve">’</w:t>
      </w:r>
      <w:r>
        <w:t xml:space="preserve">,</w:t>
      </w:r>
      <w:r>
        <w:t xml:space="preserve"> </w:t>
      </w:r>
      <w:r>
        <w:rPr>
          <w:iCs/>
          <w:i/>
        </w:rPr>
        <w:t xml:space="preserve">Nature Chemistry</w:t>
      </w:r>
      <w:r>
        <w:t xml:space="preserve">, 8(11), pp. 1091–1098.</w:t>
      </w:r>
      <w:r>
        <w:t xml:space="preserve"> </w:t>
      </w:r>
      <w:r>
        <w:t xml:space="preserve">doi:10.1038/nchem.2651.</w:t>
      </w:r>
    </w:p>
    <w:p>
      <w:pPr>
        <w:pStyle w:val="BodyText"/>
      </w:pPr>
      <w:r>
        <w:t xml:space="preserve">Warshel, A., Sharma, P.K., Kato, M., Xiang, Y., Liu, H. and Olsson, M.H.M.</w:t>
      </w:r>
      <w:r>
        <w:t xml:space="preserve"> </w:t>
      </w:r>
      <w:r>
        <w:t xml:space="preserve">(2006)</w:t>
      </w:r>
      <w:r>
        <w:t xml:space="preserve"> </w:t>
      </w:r>
      <w:r>
        <w:t xml:space="preserve">‘</w:t>
      </w:r>
      <w:r>
        <w:t xml:space="preserve">Electrostatic basis for enzyme catalysis</w:t>
      </w:r>
      <w:r>
        <w:t xml:space="preserve">’</w:t>
      </w:r>
      <w:r>
        <w:t xml:space="preserve">,</w:t>
      </w:r>
      <w:r>
        <w:t xml:space="preserve"> </w:t>
      </w:r>
      <w:r>
        <w:rPr>
          <w:iCs/>
          <w:i/>
        </w:rPr>
        <w:t xml:space="preserve">Chemical Reviews</w:t>
      </w:r>
      <w:r>
        <w:t xml:space="preserve">, 106(8),</w:t>
      </w:r>
      <w:r>
        <w:t xml:space="preserve"> </w:t>
      </w:r>
      <w:r>
        <w:t xml:space="preserve">pp. 3210–3235. doi:10.1021/cr0503106.</w:t>
      </w:r>
    </w:p>
    <w:p>
      <w:r>
        <w:pict>
          <v:rect style="width:0;height:1.5pt" o:hralign="center" o:hrstd="t" o:hr="t"/>
        </w:pict>
      </w:r>
    </w:p>
    <w:bookmarkEnd w:id="27"/>
    <w:bookmarkStart w:id="28" w:name="sourcing-gaps"/>
    <w:p>
      <w:pPr>
        <w:pStyle w:val="Heading2"/>
      </w:pPr>
      <w:r>
        <w:t xml:space="preserve">Sourcing gaps</w:t>
      </w:r>
    </w:p>
    <w:p>
      <w:pPr>
        <w:numPr>
          <w:ilvl w:val="0"/>
          <w:numId w:val="1002"/>
        </w:numPr>
      </w:pPr>
      <w:r>
        <w:rPr>
          <w:bCs/>
          <w:b/>
        </w:rPr>
        <w:t xml:space="preserve">Charged-sphere implementation.</w:t>
      </w:r>
      <w:r>
        <w:t xml:space="preserve"> </w:t>
      </w:r>
      <w:r>
        <w:t xml:space="preserve">No committed file constructs a single QM/MM</w:t>
      </w:r>
      <w:r>
        <w:t xml:space="preserve"> </w:t>
      </w:r>
      <w:r>
        <w:t xml:space="preserve">particle carrying charge and Lennard-Jones parameters. X.2.5 describes this as</w:t>
      </w:r>
      <w:r>
        <w:t xml:space="preserve"> </w:t>
      </w:r>
      <w:r>
        <w:t xml:space="preserve">the working representation on the strength of an argument, not a calculation.</w:t>
      </w:r>
    </w:p>
    <w:p>
      <w:pPr>
        <w:numPr>
          <w:ilvl w:val="0"/>
          <w:numId w:val="1002"/>
        </w:numPr>
      </w:pPr>
      <w:r>
        <w:rPr>
          <w:bCs/>
          <w:b/>
        </w:rPr>
        <w:t xml:space="preserve">The Lennard-Jones radius σ.</w:t>
      </w:r>
      <w:r>
        <w:t xml:space="preserve"> </w:t>
      </w:r>
      <w:r>
        <w:t xml:space="preserve">Undetermined; flagged as</w:t>
      </w:r>
      <w:r>
        <w:t xml:space="preserve"> </w:t>
      </w:r>
      <w:r>
        <w:rPr>
          <w:rStyle w:val="VerbatimChar"/>
        </w:rPr>
        <w:t xml:space="preserve">[DECISION REQUIRED]</w:t>
      </w:r>
      <w:r>
        <w:t xml:space="preserve"> </w:t>
      </w:r>
      <w:r>
        <w:t xml:space="preserve">in X.2.5. It sets the innermost usable standoff and</w:t>
      </w:r>
      <w:r>
        <w:t xml:space="preserve"> </w:t>
      </w:r>
      <w:r>
        <w:t xml:space="preserve">therefore constrains the shell range chosen in X.3.</w:t>
      </w:r>
    </w:p>
    <w:p>
      <w:pPr>
        <w:numPr>
          <w:ilvl w:val="0"/>
          <w:numId w:val="1002"/>
        </w:numPr>
      </w:pPr>
      <w:r>
        <w:rPr>
          <w:bCs/>
          <w:b/>
        </w:rPr>
        <w:t xml:space="preserve">Sphere-to-point equivalence residual.</w:t>
      </w:r>
      <w:r>
        <w:t xml:space="preserve"> </w:t>
      </w:r>
      <w:r>
        <w:t xml:space="preserve">X.2.5 states the equivalence is</w:t>
      </w:r>
      <w:r>
        <w:t xml:space="preserve"> </w:t>
      </w:r>
      <w:r>
        <w:t xml:space="preserve">approximate at the standoff distances used but does not quantify the residual.</w:t>
      </w:r>
      <w:r>
        <w:t xml:space="preserve"> </w:t>
      </w:r>
      <w:r>
        <w:t xml:space="preserve">Deferred to X.4.</w:t>
      </w:r>
    </w:p>
    <w:p>
      <w:pPr>
        <w:numPr>
          <w:ilvl w:val="0"/>
          <w:numId w:val="1002"/>
        </w:numPr>
      </w:pPr>
      <w:r>
        <w:rPr>
          <w:bCs/>
          <w:b/>
        </w:rPr>
        <w:t xml:space="preserve">Field-induced dissociation channel.</w:t>
      </w:r>
      <w:r>
        <w:t xml:space="preserve"> </w:t>
      </w:r>
      <w:r>
        <w:t xml:space="preserve">X.2.6 records that no source consulted</w:t>
      </w:r>
      <w:r>
        <w:t xml:space="preserve"> </w:t>
      </w:r>
      <w:r>
        <w:t xml:space="preserve">predicts which bond of a dianion breaks under an external field. Dreuw and</w:t>
      </w:r>
      <w:r>
        <w:t xml:space="preserve"> </w:t>
      </w:r>
      <w:r>
        <w:t xml:space="preserve">Cederbaum (2002) establish the channel exists intrinsically and that the</w:t>
      </w:r>
      <w:r>
        <w:t xml:space="preserve"> </w:t>
      </w:r>
      <w:r>
        <w:t xml:space="preserve">environment governs it; Shaik</w:t>
      </w:r>
      <w:r>
        <w:t xml:space="preserve"> </w:t>
      </w:r>
      <w:r>
        <w:rPr>
          <w:iCs/>
          <w:i/>
        </w:rPr>
        <w:t xml:space="preserve">et al.</w:t>
      </w:r>
      <w:r>
        <w:t xml:space="preserve"> </w:t>
      </w:r>
      <w:r>
        <w:t xml:space="preserve">(2016) establish that fields alter bond</w:t>
      </w:r>
      <w:r>
        <w:t xml:space="preserve"> </w:t>
      </w:r>
      <w:r>
        <w:t xml:space="preserve">dissociation energies by tens of kilojoules. Neither combines the two. The gap</w:t>
      </w:r>
      <w:r>
        <w:t xml:space="preserve"> </w:t>
      </w:r>
      <w:r>
        <w:t xml:space="preserve">should be closed by examining the committed fragmented geometries rather than</w:t>
      </w:r>
      <w:r>
        <w:t xml:space="preserve"> </w:t>
      </w:r>
      <w:r>
        <w:t xml:space="preserve">by a further literature search.</w:t>
      </w:r>
    </w:p>
    <w:p>
      <w:pPr>
        <w:numPr>
          <w:ilvl w:val="0"/>
          <w:numId w:val="1002"/>
        </w:numPr>
      </w:pPr>
      <w:r>
        <w:rPr>
          <w:bCs/>
          <w:b/>
        </w:rPr>
        <w:t xml:space="preserve">The anion case of the charge asymmetry.</w:t>
      </w:r>
      <w:r>
        <w:t xml:space="preserve"> </w:t>
      </w:r>
      <w:r>
        <w:t xml:space="preserve">Dreuw and Cederbaum (2002)</w:t>
      </w:r>
      <w:r>
        <w:t xml:space="preserve"> </w:t>
      </w:r>
      <w:r>
        <w:t xml:space="preserve">evidence cation stabilisation of multiply charged anions directly. The</w:t>
      </w:r>
      <w:r>
        <w:t xml:space="preserve"> </w:t>
      </w:r>
      <w:r>
        <w:t xml:space="preserve">converse, that a nearby anion destabilises, is stated in X.2.6 as following</w:t>
      </w:r>
      <w:r>
        <w:t xml:space="preserve"> </w:t>
      </w:r>
      <w:r>
        <w:t xml:space="preserve">from the same electrostatics and is not separately evidenced.</w:t>
      </w:r>
    </w:p>
    <w:p>
      <w:pPr>
        <w:numPr>
          <w:ilvl w:val="0"/>
          <w:numId w:val="1002"/>
        </w:numPr>
      </w:pPr>
      <w:r>
        <w:rPr>
          <w:bCs/>
          <w:b/>
        </w:rPr>
        <w:t xml:space="preserve">ORCA manual as a citation.</w:t>
      </w:r>
      <w:r>
        <w:t xml:space="preserve"> </w:t>
      </w:r>
      <w:r>
        <w:t xml:space="preserve">§7.2.4 is the authoritative statement of the</w:t>
      </w:r>
      <w:r>
        <w:t xml:space="preserve"> </w:t>
      </w:r>
      <w:r>
        <w:t xml:space="preserve">point-charge file format, but a software manual is a weak reference. If a</w:t>
      </w:r>
      <w:r>
        <w:t xml:space="preserve"> </w:t>
      </w:r>
      <w:r>
        <w:t xml:space="preserve">published description of ORCA’s point-charge handling exists it should replace</w:t>
      </w:r>
      <w:r>
        <w:t xml:space="preserve"> </w:t>
      </w:r>
      <w:r>
        <w:t xml:space="preserve">this.</w:t>
      </w:r>
    </w:p>
    <w:bookmarkEnd w:id="28"/>
    <w:bookmarkStart w:id="29" w:name="inconsistencies-found"/>
    <w:p>
      <w:pPr>
        <w:pStyle w:val="Heading2"/>
      </w:pPr>
      <w:r>
        <w:t xml:space="preserve">Inconsistencies found</w:t>
      </w:r>
    </w:p>
    <w:p>
      <w:pPr>
        <w:numPr>
          <w:ilvl w:val="0"/>
          <w:numId w:val="1003"/>
        </w:numPr>
        <w:pStyle w:val="Compact"/>
      </w:pPr>
      <w:r>
        <w:rPr>
          <w:bCs/>
          <w:b/>
        </w:rPr>
        <w:t xml:space="preserve">Imaginary-mode count.</w:t>
      </w:r>
      <w:r>
        <w:t xml:space="preserve"> </w:t>
      </w:r>
      <w:r>
        <w:rPr>
          <w:rStyle w:val="VerbatimChar"/>
        </w:rPr>
        <w:t xml:space="preserve">05_qmmm/18c_reduced_region/ts_frequencies_summary.txt</w:t>
      </w:r>
      <w:r>
        <w:t xml:space="preserve"> </w:t>
      </w:r>
      <w:r>
        <w:t xml:space="preserve">tabulates two imaginary modes, −313.30 and −18.65 cm⁻¹, while the header of</w:t>
      </w:r>
      <w:r>
        <w:t xml:space="preserve"> </w:t>
      </w:r>
      <w:r>
        <w:t xml:space="preserve">that same file and</w:t>
      </w:r>
      <w:r>
        <w:t xml:space="preserve"> </w:t>
      </w:r>
      <w:r>
        <w:rPr>
          <w:rStyle w:val="VerbatimChar"/>
        </w:rPr>
        <w:t xml:space="preserve">phase1_system_dev/BARRIER_FINAL.md</w:t>
      </w:r>
      <w:r>
        <w:t xml:space="preserve"> </w:t>
      </w:r>
      <w:r>
        <w:t xml:space="preserve">both state</w:t>
      </w:r>
      <w:r>
        <w:t xml:space="preserve"> </w:t>
      </w:r>
      <w:r>
        <w:t xml:space="preserve">“</w:t>
      </w:r>
      <w:r>
        <w:t xml:space="preserve">one</w:t>
      </w:r>
      <w:r>
        <w:t xml:space="preserve"> </w:t>
      </w:r>
      <w:r>
        <w:t xml:space="preserve">imaginary mode</w:t>
      </w:r>
      <w:r>
        <w:t xml:space="preserve">”</w:t>
      </w:r>
      <w:r>
        <w:t xml:space="preserve">.</w:t>
      </w:r>
      <w:r>
        <w:t xml:space="preserve"> </w:t>
      </w:r>
      <w:r>
        <w:rPr>
          <w:rStyle w:val="VerbatimChar"/>
        </w:rPr>
        <w:t xml:space="preserve">WRITEUP_INDEX.md</w:t>
      </w:r>
      <w:r>
        <w:t xml:space="preserve"> </w:t>
      </w:r>
      <w:r>
        <w:t xml:space="preserve">records the discrepancy as unreconciled.</w:t>
      </w:r>
      <w:r>
        <w:t xml:space="preserve"> </w:t>
      </w:r>
      <w:r>
        <w:t xml:space="preserve">Not cited in X.2, but it bears on the transition-state characterisation</w:t>
      </w:r>
      <w:r>
        <w:t xml:space="preserve"> </w:t>
      </w:r>
      <w:r>
        <w:t xml:space="preserve">referenced from X.1.</w:t>
      </w:r>
    </w:p>
    <w:p>
      <w:pPr>
        <w:numPr>
          <w:ilvl w:val="0"/>
          <w:numId w:val="1003"/>
        </w:numPr>
        <w:pStyle w:val="Compact"/>
      </w:pPr>
      <w:r>
        <w:rPr>
          <w:bCs/>
          <w:b/>
        </w:rPr>
        <w:t xml:space="preserve">Surrogate correlation r = −0.839.</w:t>
      </w:r>
      <w:r>
        <w:t xml:space="preserve"> </w:t>
      </w:r>
      <w:r>
        <w:t xml:space="preserve">Asserted in</w:t>
      </w:r>
      <w:r>
        <w:t xml:space="preserve"> </w:t>
      </w:r>
      <w:r>
        <w:rPr>
          <w:rStyle w:val="VerbatimChar"/>
        </w:rPr>
        <w:t xml:space="preserve">phase2_charge_design/REACTANT_CONFORMER_DECISION.md</w:t>
      </w:r>
      <w:r>
        <w:t xml:space="preserve">, a prose note in the</w:t>
      </w:r>
      <w:r>
        <w:t xml:space="preserve"> </w:t>
      </w:r>
      <w:r>
        <w:t xml:space="preserve">superseded development tree, with no committed dataset behind it.</w:t>
      </w:r>
      <w:r>
        <w:t xml:space="preserve"> </w:t>
      </w:r>
      <w:r>
        <w:rPr>
          <w:rStyle w:val="VerbatimChar"/>
        </w:rPr>
        <w:t xml:space="preserve">WRITEUP_INDEX.md</w:t>
      </w:r>
      <w:r>
        <w:t xml:space="preserve"> </w:t>
      </w:r>
      <w:r>
        <w:t xml:space="preserve">lists the constrained-geometry re-test as outstanding. I</w:t>
      </w:r>
      <w:r>
        <w:t xml:space="preserve"> </w:t>
      </w:r>
      <w:r>
        <w:t xml:space="preserve">have not cited the value in X.2, and the argument for screening at fixed</w:t>
      </w:r>
      <w:r>
        <w:t xml:space="preserve"> </w:t>
      </w:r>
      <w:r>
        <w:t xml:space="preserve">geometry is stated in X.4 on other grounds.</w:t>
      </w:r>
    </w:p>
    <w:bookmarkEnd w:id="29"/>
    <w:bookmarkStart w:id="30" w:name="verification-log"/>
    <w:p>
      <w:pPr>
        <w:pStyle w:val="Heading2"/>
      </w:pPr>
      <w:r>
        <w:t xml:space="preserve">Verification log</w:t>
      </w:r>
    </w:p>
    <w:p>
      <w:pPr>
        <w:pStyle w:val="FirstParagraph"/>
      </w:pPr>
      <w:r>
        <w:t xml:space="preserve">No barrier is quoted in X.2. The only numerical claims are the Lennard-Jones</w:t>
      </w:r>
      <w:r>
        <w:t xml:space="preserve"> </w:t>
      </w:r>
      <w:r>
        <w:t xml:space="preserve">radius increase of</w:t>
      </w:r>
      <w:r>
        <w:t xml:space="preserve"> </w:t>
      </w:r>
      <w:r>
        <w:t xml:space="preserve">“</w:t>
      </w:r>
      <w:r>
        <w:t xml:space="preserve">5–10 %</w:t>
      </w:r>
      <w:r>
        <w:t xml:space="preserve">”</w:t>
      </w:r>
      <w:r>
        <w:t xml:space="preserve"> </w:t>
      </w:r>
      <w:r>
        <w:t xml:space="preserve">and the charge of −2, both quoted directly from Senn</w:t>
      </w:r>
      <w:r>
        <w:t xml:space="preserve"> </w:t>
      </w:r>
      <w:r>
        <w:t xml:space="preserve">and Thiel (2009) and from X.1 respectively.</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2026-09-08T15:13:42Z</dcterms:created>
  <dcterms:modified xsi:type="dcterms:W3CDTF">2026-09-08T15:13:42Z</dcterms:modified>
</cp:coreProperties>
</file>

<file path=docProps/custom.xml><?xml version="1.0" encoding="utf-8"?>
<Properties xmlns="http://schemas.openxmlformats.org/officeDocument/2006/custom-properties" xmlns:vt="http://schemas.openxmlformats.org/officeDocument/2006/docPropsVTypes"/>
</file>