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f1589f7a5bcf681cc4b5b6188302c249991d52"/>
    <w:p>
      <w:pPr>
        <w:pStyle w:val="Heading1"/>
      </w:pPr>
      <w:r>
        <w:t xml:space="preserve">X.1.1 Acquisition and provenance locking of raw inputs</w:t>
      </w:r>
    </w:p>
    <w:p>
      <w:pPr>
        <w:pStyle w:val="BlockText"/>
      </w:pPr>
      <w:r>
        <w:rPr>
          <w:bCs/>
          <w:b/>
        </w:rPr>
        <w:t xml:space="preserve">Drafting note (not part of the thesis text).</w:t>
      </w:r>
      <w:r>
        <w:t xml:space="preserve"> </w:t>
      </w:r>
      <w:r>
        <w:t xml:space="preserve">The house-style exemplar</w:t>
      </w:r>
      <w:r>
        <w:t xml:space="preserve"> </w:t>
      </w:r>
      <w:r>
        <w:rPr>
          <w:rStyle w:val="VerbatimChar"/>
        </w:rPr>
        <w:t xml:space="preserve">lategan_computational_2025.pdf</w:t>
      </w:r>
      <w:r>
        <w:t xml:space="preserve"> </w:t>
      </w:r>
      <w:r>
        <w:t xml:space="preserve">is not held. This subsection follows the written</w:t>
      </w:r>
      <w:r>
        <w:t xml:space="preserve"> </w:t>
      </w:r>
      <w:r>
        <w:t xml:space="preserve">specification in</w:t>
      </w:r>
      <w:r>
        <w:t xml:space="preserve"> </w:t>
      </w:r>
      <w:r>
        <w:rPr>
          <w:rStyle w:val="VerbatimChar"/>
        </w:rPr>
        <w:t xml:space="preserve">WRITEUP_PROMPT.md</w:t>
      </w:r>
      <w:r>
        <w:t xml:space="preserve"> </w:t>
      </w:r>
      <w:r>
        <w:t xml:space="preserve">§2–§3: prose first, then a Pipeline of Operations</w:t>
      </w:r>
      <w:r>
        <w:t xml:space="preserve"> </w:t>
      </w:r>
      <w:r>
        <w:t xml:space="preserve">glossary, a flowchart figure, Harvard citations, first person singular, methods in past</w:t>
      </w:r>
      <w:r>
        <w:t xml:space="preserve"> </w:t>
      </w:r>
      <w:r>
        <w:t xml:space="preserve">tense, and audit numbers reported as construction validation rather than as findings.</w:t>
      </w:r>
      <w:r>
        <w:t xml:space="preserve"> </w:t>
      </w:r>
      <w:r>
        <w:t xml:space="preserve">Source files for every statement below are in</w:t>
      </w:r>
      <w:r>
        <w:t xml:space="preserve"> </w:t>
      </w:r>
      <w:r>
        <w:rPr>
          <w:rStyle w:val="VerbatimChar"/>
        </w:rPr>
        <w:t xml:space="preserve">consolidated_works/01_inputs_acquisition/</w:t>
      </w:r>
      <w:r>
        <w:t xml:space="preserve">.</w:t>
      </w:r>
    </w:p>
    <w:p>
      <w:r>
        <w:pict>
          <v:rect style="width:0;height:1.5pt" o:hralign="center" o:hrstd="t" o:hr="t"/>
        </w:pict>
      </w:r>
    </w:p>
    <w:p>
      <w:pPr>
        <w:pStyle w:val="FirstParagraph"/>
      </w:pPr>
      <w:r>
        <w:t xml:space="preserve">I built the enzyme system on the crystallographic trimer of</w:t>
      </w:r>
      <w:r>
        <w:t xml:space="preserve"> </w:t>
      </w:r>
      <w:r>
        <w:rPr>
          <w:iCs/>
          <w:i/>
        </w:rPr>
        <w:t xml:space="preserve">Bacillus subtilis</w:t>
      </w:r>
      <w:r>
        <w:t xml:space="preserve"> </w:t>
      </w:r>
      <w:r>
        <w:t xml:space="preserve">chorismate</w:t>
      </w:r>
      <w:r>
        <w:t xml:space="preserve"> </w:t>
      </w:r>
      <w:r>
        <w:t xml:space="preserve">mutase, and this subsection records the acquisition of the three raw inputs from which</w:t>
      </w:r>
      <w:r>
        <w:t xml:space="preserve"> </w:t>
      </w:r>
      <w:r>
        <w:t xml:space="preserve">every later structure derives: the protein scaffold, the terminal-repair donor, and the</w:t>
      </w:r>
      <w:r>
        <w:t xml:space="preserve"> </w:t>
      </w:r>
      <w:r>
        <w:t xml:space="preserve">chorismate substrate geometry. No structural modification is performed at this stage. The</w:t>
      </w:r>
      <w:r>
        <w:t xml:space="preserve"> </w:t>
      </w:r>
      <w:r>
        <w:t xml:space="preserve">product of the stage is a set of identified files and a provenance record sufficient to</w:t>
      </w:r>
      <w:r>
        <w:t xml:space="preserve"> </w:t>
      </w:r>
      <w:r>
        <w:t xml:space="preserve">reproduce them.</w:t>
      </w:r>
    </w:p>
    <w:p>
      <w:pPr>
        <w:pStyle w:val="BodyText"/>
      </w:pPr>
      <w:r>
        <w:t xml:space="preserve">I retrieved the protein scaffold as PDB entry 2CHT, the crystal structure of the</w:t>
      </w:r>
      <w:r>
        <w:t xml:space="preserve"> </w:t>
      </w:r>
      <w:r>
        <w:t xml:space="preserve">monofunctional chorismate mutase from</w:t>
      </w:r>
      <w:r>
        <w:t xml:space="preserve"> </w:t>
      </w:r>
      <w:r>
        <w:rPr>
          <w:iCs/>
          <w:i/>
        </w:rPr>
        <w:t xml:space="preserve">B. subtilis</w:t>
      </w:r>
      <w:r>
        <w:t xml:space="preserve"> </w:t>
      </w:r>
      <w:r>
        <w:t xml:space="preserve">in complex with a transition-state</w:t>
      </w:r>
      <w:r>
        <w:t xml:space="preserve"> </w:t>
      </w:r>
      <w:r>
        <w:t xml:space="preserve">analogue (Chook, Ke and Lipscomb, 1993). The deposition resolves twelve chains, A to L,</w:t>
      </w:r>
      <w:r>
        <w:t xml:space="preserve"> </w:t>
      </w:r>
      <w:r>
        <w:t xml:space="preserve">carrying 13529 protein atoms and 1815 heteroatoms. The only non-water heteroatom species</w:t>
      </w:r>
      <w:r>
        <w:t xml:space="preserve"> </w:t>
      </w:r>
      <w:r>
        <w:t xml:space="preserve">present is the analogue itself, 204 atoms distributed one copy per chain across twelve</w:t>
      </w:r>
      <w:r>
        <w:t xml:space="preserve"> </w:t>
      </w:r>
      <w:r>
        <w:t xml:space="preserve">sites. I retrieved PDB entry 1DBF, the 1.30 Å structure of the same catalytic homotrimer,</w:t>
      </w:r>
      <w:r>
        <w:t xml:space="preserve"> </w:t>
      </w:r>
      <w:r>
        <w:t xml:space="preserve">as the donor for the terminal repair described in X.1.2 (Ladner</w:t>
      </w:r>
      <w:r>
        <w:t xml:space="preserve"> </w:t>
      </w:r>
      <w:r>
        <w:rPr>
          <w:iCs/>
          <w:i/>
        </w:rPr>
        <w:t xml:space="preserve">et al.</w:t>
      </w:r>
      <w:r>
        <w:t xml:space="preserve">, 2000); it</w:t>
      </w:r>
      <w:r>
        <w:t xml:space="preserve"> </w:t>
      </w:r>
      <w:r>
        <w:t xml:space="preserve">resolves three chains, A to C, with 3156 protein atoms. Both files were downloaded from</w:t>
      </w:r>
      <w:r>
        <w:t xml:space="preserve"> </w:t>
      </w:r>
      <w:r>
        <w:t xml:space="preserve">the RCSB on 2026-07-06.</w:t>
      </w:r>
    </w:p>
    <w:p>
      <w:pPr>
        <w:pStyle w:val="BodyText"/>
      </w:pPr>
      <w:r>
        <w:t xml:space="preserve">I took the chorismate substrate coordinates as three geometries pre-aligned to</w:t>
      </w:r>
      <w:r>
        <w:t xml:space="preserve"> </w:t>
      </w:r>
      <w:r>
        <w:t xml:space="preserve">crystallographic analogue sites, from the CP2K examples repository at commit</w:t>
      </w:r>
      <w:r>
        <w:t xml:space="preserve"> </w:t>
      </w:r>
      <w:r>
        <w:rPr>
          <w:rStyle w:val="VerbatimChar"/>
        </w:rPr>
        <w:t xml:space="preserve">d71583a411a0a7d8557e94a24b87a3ceb87ec34e</w:t>
      </w:r>
      <w:r>
        <w:t xml:space="preserve">. Each carries 24 atoms in 24 bonds, of</w:t>
      </w:r>
      <w:r>
        <w:t xml:space="preserve"> </w:t>
      </w:r>
      <w:r>
        <w:t xml:space="preserve">elemental composition C₁₀H₈O₆ and net formal charge −2, which is the value subsequently</w:t>
      </w:r>
      <w:r>
        <w:t xml:space="preserve"> </w:t>
      </w:r>
      <w:r>
        <w:t xml:space="preserve">assigned to the quantum region. I registered each geometry to the analogue site it had</w:t>
      </w:r>
      <w:r>
        <w:t xml:space="preserve"> </w:t>
      </w:r>
      <w:r>
        <w:t xml:space="preserve">been aligned against by matching molecular centres, giving</w:t>
      </w:r>
      <w:r>
        <w:t xml:space="preserve"> </w:t>
      </w:r>
      <w:r>
        <w:rPr>
          <w:rStyle w:val="VerbatimChar"/>
        </w:rPr>
        <w:t xml:space="preserve">liga.mol2</w:t>
      </w:r>
      <w:r>
        <w:t xml:space="preserve"> </w:t>
      </w:r>
      <w:r>
        <w:t xml:space="preserve">to site K210,</w:t>
      </w:r>
      <w:r>
        <w:t xml:space="preserve"> </w:t>
      </w:r>
      <w:r>
        <w:rPr>
          <w:rStyle w:val="VerbatimChar"/>
        </w:rPr>
        <w:t xml:space="preserve">ligb.mol2</w:t>
      </w:r>
      <w:r>
        <w:t xml:space="preserve"> </w:t>
      </w:r>
      <w:r>
        <w:t xml:space="preserve">to site J212 and</w:t>
      </w:r>
      <w:r>
        <w:t xml:space="preserve"> </w:t>
      </w:r>
      <w:r>
        <w:rPr>
          <w:rStyle w:val="VerbatimChar"/>
        </w:rPr>
        <w:t xml:space="preserve">ligc.mol2</w:t>
      </w:r>
      <w:r>
        <w:t xml:space="preserve"> </w:t>
      </w:r>
      <w:r>
        <w:t xml:space="preserve">to site L211, at centre offsets of 0.161, 0.160</w:t>
      </w:r>
      <w:r>
        <w:t xml:space="preserve"> </w:t>
      </w:r>
      <w:r>
        <w:t xml:space="preserve">and 0.203 Å. The assignment is unambiguous: the nearest alternative site in each case lies</w:t>
      </w:r>
      <w:r>
        <w:t xml:space="preserve"> </w:t>
      </w:r>
      <w:r>
        <w:t xml:space="preserve">at 22.18–22.27 Å, between 109 and 139 times the accepted distance.</w:t>
      </w:r>
    </w:p>
    <w:p>
      <w:pPr>
        <w:pStyle w:val="BodyText"/>
      </w:pPr>
      <w:r>
        <w:t xml:space="preserve">I locked the identity of all five raw inputs by SHA-256 checksum. The checksums are the</w:t>
      </w:r>
      <w:r>
        <w:t xml:space="preserve"> </w:t>
      </w:r>
      <w:r>
        <w:t xml:space="preserve">primary identity anchor for this work, since deposited structures may be re-versioned and</w:t>
      </w:r>
      <w:r>
        <w:t xml:space="preserve"> </w:t>
      </w:r>
      <w:r>
        <w:t xml:space="preserve">a repository commit may be rewritten, whereas a content hash cannot be.</w:t>
      </w:r>
    </w:p>
    <w:p>
      <w:pPr>
        <w:pStyle w:val="BodyText"/>
      </w:pPr>
      <w:r>
        <w:rPr>
          <w:bCs/>
          <w:b/>
        </w:rPr>
        <w:t xml:space="preserve">Table X.1.1a.</w:t>
      </w:r>
      <w:r>
        <w:t xml:space="preserve"> </w:t>
      </w:r>
      <w:r>
        <w:t xml:space="preserve">Raw inputs, their role, and their recorded SHA-256 (first sixteen</w:t>
      </w:r>
      <w:r>
        <w:t xml:space="preserve"> </w:t>
      </w:r>
      <w:r>
        <w:t xml:space="preserve">characters). Source:</w:t>
      </w:r>
      <w:r>
        <w:t xml:space="preserve"> </w:t>
      </w:r>
      <w:r>
        <w:rPr>
          <w:rStyle w:val="VerbatimChar"/>
        </w:rPr>
        <w:t xml:space="preserve">outputs/step01_download_manifest.tsv</w:t>
      </w:r>
      <w:r>
        <w:t xml:space="preserve">,</w:t>
      </w:r>
      <w:r>
        <w:t xml:space="preserve"> </w:t>
      </w:r>
      <w:r>
        <w:rPr>
          <w:rStyle w:val="VerbatimChar"/>
        </w:rPr>
        <w:t xml:space="preserve">outputs/sha256_step01_inputs.txt</w:t>
      </w:r>
      <w:r>
        <w:t xml:space="preserve">,</w:t>
      </w:r>
      <w:r>
        <w:t xml:space="preserve"> </w:t>
      </w:r>
      <w:r>
        <w:rPr>
          <w:rStyle w:val="VerbatimChar"/>
        </w:rPr>
        <w:t xml:space="preserve">outputs/step01_provenance.txt</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File</w:t>
            </w:r>
          </w:p>
        </w:tc>
        <w:tc>
          <w:tcPr/>
          <w:p>
            <w:pPr>
              <w:pStyle w:val="Compact"/>
              <w:jc w:val="left"/>
            </w:pPr>
            <w:r>
              <w:t xml:space="preserve">Role</w:t>
            </w:r>
          </w:p>
        </w:tc>
        <w:tc>
          <w:tcPr/>
          <w:p>
            <w:pPr>
              <w:pStyle w:val="Compact"/>
              <w:jc w:val="left"/>
            </w:pPr>
            <w:r>
              <w:t xml:space="preserve">Source</w:t>
            </w:r>
          </w:p>
        </w:tc>
        <w:tc>
          <w:tcPr/>
          <w:p>
            <w:pPr>
              <w:pStyle w:val="Compact"/>
              <w:jc w:val="left"/>
            </w:pPr>
            <w:r>
              <w:t xml:space="preserve">SHA-256 (truncated)</w:t>
            </w:r>
          </w:p>
        </w:tc>
      </w:tr>
      <w:tr>
        <w:tc>
          <w:tcPr/>
          <w:p>
            <w:pPr>
              <w:pStyle w:val="Compact"/>
              <w:jc w:val="left"/>
            </w:pPr>
            <w:r>
              <w:rPr>
                <w:rStyle w:val="VerbatimChar"/>
              </w:rPr>
              <w:t xml:space="preserve">2cht_raw.pdb</w:t>
            </w:r>
          </w:p>
        </w:tc>
        <w:tc>
          <w:tcPr/>
          <w:p>
            <w:pPr>
              <w:pStyle w:val="Compact"/>
              <w:jc w:val="left"/>
            </w:pPr>
            <w:r>
              <w:t xml:space="preserve">Protein scaffold</w:t>
            </w:r>
          </w:p>
        </w:tc>
        <w:tc>
          <w:tcPr/>
          <w:p>
            <w:pPr>
              <w:pStyle w:val="Compact"/>
              <w:jc w:val="left"/>
            </w:pPr>
            <w:r>
              <w:t xml:space="preserve">RCSB, PDB 2CHT</w:t>
            </w:r>
          </w:p>
        </w:tc>
        <w:tc>
          <w:tcPr/>
          <w:p>
            <w:pPr>
              <w:pStyle w:val="Compact"/>
              <w:jc w:val="left"/>
            </w:pPr>
            <w:r>
              <w:rPr>
                <w:rStyle w:val="VerbatimChar"/>
              </w:rPr>
              <w:t xml:space="preserve">b938020bbbcbe301</w:t>
            </w:r>
          </w:p>
        </w:tc>
      </w:tr>
      <w:tr>
        <w:tc>
          <w:tcPr/>
          <w:p>
            <w:pPr>
              <w:pStyle w:val="Compact"/>
              <w:jc w:val="left"/>
            </w:pPr>
            <w:r>
              <w:rPr>
                <w:rStyle w:val="VerbatimChar"/>
              </w:rPr>
              <w:t xml:space="preserve">1dbf_raw.pdb</w:t>
            </w:r>
          </w:p>
        </w:tc>
        <w:tc>
          <w:tcPr/>
          <w:p>
            <w:pPr>
              <w:pStyle w:val="Compact"/>
              <w:jc w:val="left"/>
            </w:pPr>
            <w:r>
              <w:t xml:space="preserve">Terminal-repair donor</w:t>
            </w:r>
          </w:p>
        </w:tc>
        <w:tc>
          <w:tcPr/>
          <w:p>
            <w:pPr>
              <w:pStyle w:val="Compact"/>
              <w:jc w:val="left"/>
            </w:pPr>
            <w:r>
              <w:t xml:space="preserve">RCSB, PDB 1DBF</w:t>
            </w:r>
          </w:p>
        </w:tc>
        <w:tc>
          <w:tcPr/>
          <w:p>
            <w:pPr>
              <w:pStyle w:val="Compact"/>
              <w:jc w:val="left"/>
            </w:pPr>
            <w:r>
              <w:rPr>
                <w:rStyle w:val="VerbatimChar"/>
              </w:rPr>
              <w:t xml:space="preserve">59183f711ea35c1b</w:t>
            </w:r>
          </w:p>
        </w:tc>
      </w:tr>
      <w:tr>
        <w:tc>
          <w:tcPr/>
          <w:p>
            <w:pPr>
              <w:pStyle w:val="Compact"/>
              <w:jc w:val="left"/>
            </w:pPr>
            <w:r>
              <w:rPr>
                <w:rStyle w:val="VerbatimChar"/>
              </w:rPr>
              <w:t xml:space="preserve">liga.mol2</w:t>
            </w:r>
          </w:p>
        </w:tc>
        <w:tc>
          <w:tcPr/>
          <w:p>
            <w:pPr>
              <w:pStyle w:val="Compact"/>
              <w:jc w:val="left"/>
            </w:pPr>
            <w:r>
              <w:t xml:space="preserve">Chorismate reference A</w:t>
            </w:r>
          </w:p>
        </w:tc>
        <w:tc>
          <w:tcPr/>
          <w:p>
            <w:pPr>
              <w:pStyle w:val="Compact"/>
              <w:jc w:val="left"/>
            </w:pPr>
            <w:r>
              <w:t xml:space="preserve">CP2K examples,</w:t>
            </w:r>
            <w:r>
              <w:t xml:space="preserve"> </w:t>
            </w:r>
            <w:r>
              <w:rPr>
                <w:rStyle w:val="VerbatimChar"/>
              </w:rPr>
              <w:t xml:space="preserve">d71583a4</w:t>
            </w:r>
          </w:p>
        </w:tc>
        <w:tc>
          <w:tcPr/>
          <w:p>
            <w:pPr>
              <w:pStyle w:val="Compact"/>
              <w:jc w:val="left"/>
            </w:pPr>
            <w:r>
              <w:rPr>
                <w:rStyle w:val="VerbatimChar"/>
              </w:rPr>
              <w:t xml:space="preserve">fd19c40914739e57</w:t>
            </w:r>
          </w:p>
        </w:tc>
      </w:tr>
      <w:tr>
        <w:tc>
          <w:tcPr/>
          <w:p>
            <w:pPr>
              <w:pStyle w:val="Compact"/>
              <w:jc w:val="left"/>
            </w:pPr>
            <w:r>
              <w:rPr>
                <w:rStyle w:val="VerbatimChar"/>
              </w:rPr>
              <w:t xml:space="preserve">ligb.mol2</w:t>
            </w:r>
          </w:p>
        </w:tc>
        <w:tc>
          <w:tcPr/>
          <w:p>
            <w:pPr>
              <w:pStyle w:val="Compact"/>
              <w:jc w:val="left"/>
            </w:pPr>
            <w:r>
              <w:t xml:space="preserve">Chorismate reference B</w:t>
            </w:r>
          </w:p>
        </w:tc>
        <w:tc>
          <w:tcPr/>
          <w:p>
            <w:pPr>
              <w:pStyle w:val="Compact"/>
              <w:jc w:val="left"/>
            </w:pPr>
            <w:r>
              <w:t xml:space="preserve">CP2K examples,</w:t>
            </w:r>
            <w:r>
              <w:t xml:space="preserve"> </w:t>
            </w:r>
            <w:r>
              <w:rPr>
                <w:rStyle w:val="VerbatimChar"/>
              </w:rPr>
              <w:t xml:space="preserve">d71583a4</w:t>
            </w:r>
          </w:p>
        </w:tc>
        <w:tc>
          <w:tcPr/>
          <w:p>
            <w:pPr>
              <w:pStyle w:val="Compact"/>
              <w:jc w:val="left"/>
            </w:pPr>
            <w:r>
              <w:rPr>
                <w:rStyle w:val="VerbatimChar"/>
              </w:rPr>
              <w:t xml:space="preserve">31800dab8780e66a</w:t>
            </w:r>
          </w:p>
        </w:tc>
      </w:tr>
      <w:tr>
        <w:tc>
          <w:tcPr/>
          <w:p>
            <w:pPr>
              <w:pStyle w:val="Compact"/>
              <w:jc w:val="left"/>
            </w:pPr>
            <w:r>
              <w:rPr>
                <w:rStyle w:val="VerbatimChar"/>
              </w:rPr>
              <w:t xml:space="preserve">ligc.mol2</w:t>
            </w:r>
          </w:p>
        </w:tc>
        <w:tc>
          <w:tcPr/>
          <w:p>
            <w:pPr>
              <w:pStyle w:val="Compact"/>
              <w:jc w:val="left"/>
            </w:pPr>
            <w:r>
              <w:t xml:space="preserve">Chorismate reference C</w:t>
            </w:r>
          </w:p>
        </w:tc>
        <w:tc>
          <w:tcPr/>
          <w:p>
            <w:pPr>
              <w:pStyle w:val="Compact"/>
              <w:jc w:val="left"/>
            </w:pPr>
            <w:r>
              <w:t xml:space="preserve">CP2K examples,</w:t>
            </w:r>
            <w:r>
              <w:t xml:space="preserve"> </w:t>
            </w:r>
            <w:r>
              <w:rPr>
                <w:rStyle w:val="VerbatimChar"/>
              </w:rPr>
              <w:t xml:space="preserve">d71583a4</w:t>
            </w:r>
          </w:p>
        </w:tc>
        <w:tc>
          <w:tcPr/>
          <w:p>
            <w:pPr>
              <w:pStyle w:val="Compact"/>
              <w:jc w:val="left"/>
            </w:pPr>
            <w:r>
              <w:rPr>
                <w:rStyle w:val="VerbatimChar"/>
              </w:rPr>
              <w:t xml:space="preserve">a4b8584c16f4237c</w:t>
            </w:r>
          </w:p>
        </w:tc>
      </w:tr>
    </w:tbl>
    <w:p>
      <w:pPr>
        <w:pStyle w:val="BodyText"/>
      </w:pPr>
      <w:r>
        <w:rPr>
          <w:bCs/>
          <w:b/>
        </w:rPr>
        <w:t xml:space="preserve">Table X.1.1b.</w:t>
      </w:r>
      <w:r>
        <w:t xml:space="preserve"> </w:t>
      </w:r>
      <w:r>
        <w:t xml:space="preserve">Registration of each chorismate reference geometry to its</w:t>
      </w:r>
      <w:r>
        <w:t xml:space="preserve"> </w:t>
      </w:r>
      <w:r>
        <w:t xml:space="preserve">crystallographic analogue site, with the distance to the nearest alternative site.</w:t>
      </w:r>
      <w:r>
        <w:t xml:space="preserve"> </w:t>
      </w:r>
      <w:r>
        <w:t xml:space="preserve">Source:</w:t>
      </w:r>
      <w:r>
        <w:t xml:space="preserve"> </w:t>
      </w:r>
      <w:r>
        <w:rPr>
          <w:rStyle w:val="VerbatimChar"/>
        </w:rPr>
        <w:t xml:space="preserve">outputs/ligand_tsa_registration.tsv</w:t>
      </w:r>
      <w:r>
        <w:t xml:space="preserve">,</w:t>
      </w:r>
      <w:r>
        <w:t xml:space="preserve"> </w:t>
      </w:r>
      <w:r>
        <w:rPr>
          <w:rStyle w:val="VerbatimChar"/>
        </w:rPr>
        <w:t xml:space="preserve">checks/step01_verify.out</w:t>
      </w:r>
      <w:r>
        <w:t xml:space="preser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Ligand</w:t>
            </w:r>
          </w:p>
        </w:tc>
        <w:tc>
          <w:tcPr/>
          <w:p>
            <w:pPr>
              <w:pStyle w:val="Compact"/>
              <w:jc w:val="left"/>
            </w:pPr>
            <w:r>
              <w:t xml:space="preserve">Registered site</w:t>
            </w:r>
          </w:p>
        </w:tc>
        <w:tc>
          <w:tcPr/>
          <w:p>
            <w:pPr>
              <w:pStyle w:val="Compact"/>
              <w:jc w:val="left"/>
            </w:pPr>
            <w:r>
              <w:t xml:space="preserve">Centre offset (Å)</w:t>
            </w:r>
          </w:p>
        </w:tc>
        <w:tc>
          <w:tcPr/>
          <w:p>
            <w:pPr>
              <w:pStyle w:val="Compact"/>
              <w:jc w:val="left"/>
            </w:pPr>
            <w:r>
              <w:t xml:space="preserve">Nearest alternative (Å)</w:t>
            </w:r>
          </w:p>
        </w:tc>
        <w:tc>
          <w:tcPr/>
          <w:p>
            <w:pPr>
              <w:pStyle w:val="Compact"/>
              <w:jc w:val="left"/>
            </w:pPr>
            <w:r>
              <w:t xml:space="preserve">Margin</w:t>
            </w:r>
          </w:p>
        </w:tc>
      </w:tr>
      <w:tr>
        <w:tc>
          <w:tcPr/>
          <w:p>
            <w:pPr>
              <w:pStyle w:val="Compact"/>
              <w:jc w:val="left"/>
            </w:pPr>
            <w:r>
              <w:rPr>
                <w:rStyle w:val="VerbatimChar"/>
              </w:rPr>
              <w:t xml:space="preserve">liga.mol2</w:t>
            </w:r>
          </w:p>
        </w:tc>
        <w:tc>
          <w:tcPr/>
          <w:p>
            <w:pPr>
              <w:pStyle w:val="Compact"/>
              <w:jc w:val="left"/>
            </w:pPr>
            <w:r>
              <w:t xml:space="preserve">K210</w:t>
            </w:r>
          </w:p>
        </w:tc>
        <w:tc>
          <w:tcPr/>
          <w:p>
            <w:pPr>
              <w:pStyle w:val="Compact"/>
              <w:jc w:val="left"/>
            </w:pPr>
            <w:r>
              <w:t xml:space="preserve">0.161</w:t>
            </w:r>
          </w:p>
        </w:tc>
        <w:tc>
          <w:tcPr/>
          <w:p>
            <w:pPr>
              <w:pStyle w:val="Compact"/>
              <w:jc w:val="left"/>
            </w:pPr>
            <w:r>
              <w:t xml:space="preserve">22.272</w:t>
            </w:r>
          </w:p>
        </w:tc>
        <w:tc>
          <w:tcPr/>
          <w:p>
            <w:pPr>
              <w:pStyle w:val="Compact"/>
              <w:jc w:val="left"/>
            </w:pPr>
            <w:r>
              <w:t xml:space="preserve">138×</w:t>
            </w:r>
          </w:p>
        </w:tc>
      </w:tr>
      <w:tr>
        <w:tc>
          <w:tcPr/>
          <w:p>
            <w:pPr>
              <w:pStyle w:val="Compact"/>
              <w:jc w:val="left"/>
            </w:pPr>
            <w:r>
              <w:rPr>
                <w:rStyle w:val="VerbatimChar"/>
              </w:rPr>
              <w:t xml:space="preserve">ligb.mol2</w:t>
            </w:r>
          </w:p>
        </w:tc>
        <w:tc>
          <w:tcPr/>
          <w:p>
            <w:pPr>
              <w:pStyle w:val="Compact"/>
              <w:jc w:val="left"/>
            </w:pPr>
            <w:r>
              <w:t xml:space="preserve">J212</w:t>
            </w:r>
          </w:p>
        </w:tc>
        <w:tc>
          <w:tcPr/>
          <w:p>
            <w:pPr>
              <w:pStyle w:val="Compact"/>
              <w:jc w:val="left"/>
            </w:pPr>
            <w:r>
              <w:t xml:space="preserve">0.160</w:t>
            </w:r>
          </w:p>
        </w:tc>
        <w:tc>
          <w:tcPr/>
          <w:p>
            <w:pPr>
              <w:pStyle w:val="Compact"/>
              <w:jc w:val="left"/>
            </w:pPr>
            <w:r>
              <w:t xml:space="preserve">22.207</w:t>
            </w:r>
          </w:p>
        </w:tc>
        <w:tc>
          <w:tcPr/>
          <w:p>
            <w:pPr>
              <w:pStyle w:val="Compact"/>
              <w:jc w:val="left"/>
            </w:pPr>
            <w:r>
              <w:t xml:space="preserve">139×</w:t>
            </w:r>
          </w:p>
        </w:tc>
      </w:tr>
      <w:tr>
        <w:tc>
          <w:tcPr/>
          <w:p>
            <w:pPr>
              <w:pStyle w:val="Compact"/>
              <w:jc w:val="left"/>
            </w:pPr>
            <w:r>
              <w:rPr>
                <w:rStyle w:val="VerbatimChar"/>
              </w:rPr>
              <w:t xml:space="preserve">ligc.mol2</w:t>
            </w:r>
          </w:p>
        </w:tc>
        <w:tc>
          <w:tcPr/>
          <w:p>
            <w:pPr>
              <w:pStyle w:val="Compact"/>
              <w:jc w:val="left"/>
            </w:pPr>
            <w:r>
              <w:t xml:space="preserve">L211</w:t>
            </w:r>
          </w:p>
        </w:tc>
        <w:tc>
          <w:tcPr/>
          <w:p>
            <w:pPr>
              <w:pStyle w:val="Compact"/>
              <w:jc w:val="left"/>
            </w:pPr>
            <w:r>
              <w:t xml:space="preserve">0.203</w:t>
            </w:r>
          </w:p>
        </w:tc>
        <w:tc>
          <w:tcPr/>
          <w:p>
            <w:pPr>
              <w:pStyle w:val="Compact"/>
              <w:jc w:val="left"/>
            </w:pPr>
            <w:r>
              <w:t xml:space="preserve">22.184</w:t>
            </w:r>
          </w:p>
        </w:tc>
        <w:tc>
          <w:tcPr/>
          <w:p>
            <w:pPr>
              <w:pStyle w:val="Compact"/>
              <w:jc w:val="left"/>
            </w:pPr>
            <w:r>
              <w:t xml:space="preserve">109×</w:t>
            </w:r>
          </w:p>
        </w:tc>
      </w:tr>
    </w:tbl>
    <w:p>
      <w:pPr>
        <w:pStyle w:val="BodyText"/>
      </w:pPr>
      <w:r>
        <w:t xml:space="preserve">The starting point adopted here matches that of the primary computational reference for</w:t>
      </w:r>
      <w:r>
        <w:t xml:space="preserve"> </w:t>
      </w:r>
      <w:r>
        <w:t xml:space="preserve">this system. Claeyssens</w:t>
      </w:r>
      <w:r>
        <w:t xml:space="preserve"> </w:t>
      </w:r>
      <w:r>
        <w:rPr>
          <w:iCs/>
          <w:i/>
        </w:rPr>
        <w:t xml:space="preserve">et al.</w:t>
      </w:r>
      <w:r>
        <w:t xml:space="preserve"> </w:t>
      </w:r>
      <w:r>
        <w:t xml:space="preserve">(2011) likewise model the enzyme-catalysed reaction from</w:t>
      </w:r>
      <w:r>
        <w:t xml:space="preserve"> </w:t>
      </w:r>
      <w:r>
        <w:t xml:space="preserve">PDB entry 2CHT with the transition-state analogue bound, substituting chorismate for the</w:t>
      </w:r>
      <w:r>
        <w:t xml:space="preserve"> </w:t>
      </w:r>
      <w:r>
        <w:t xml:space="preserve">analogue. Two aspects of the present acquisition depart from that work and are recorded</w:t>
      </w:r>
      <w:r>
        <w:t xml:space="preserve"> </w:t>
      </w:r>
      <w:r>
        <w:t xml:space="preserve">here rather than left implicit. First, the terminal repair described in X.1.2 has no</w:t>
      </w:r>
      <w:r>
        <w:t xml:space="preserve"> </w:t>
      </w:r>
      <w:r>
        <w:t xml:space="preserve">counterpart in their reported procedure, and follows instead the treatment of</w:t>
      </w:r>
      <w:r>
        <w:t xml:space="preserve"> </w:t>
      </w:r>
      <w:r>
        <w:t xml:space="preserve">Agbaglo</w:t>
      </w:r>
      <w:r>
        <w:t xml:space="preserve"> </w:t>
      </w:r>
      <w:r>
        <w:rPr>
          <w:iCs/>
          <w:i/>
        </w:rPr>
        <w:t xml:space="preserve">et al.</w:t>
      </w:r>
      <w:r>
        <w:t xml:space="preserve"> </w:t>
      </w:r>
      <w:r>
        <w:t xml:space="preserve">(2024), who repair the same deposition from the same donor structure.</w:t>
      </w:r>
      <w:r>
        <w:t xml:space="preserve"> </w:t>
      </w:r>
      <w:r>
        <w:t xml:space="preserve">Second, the substrate geometries used here are pre-aligned reference structures, whereas</w:t>
      </w:r>
      <w:r>
        <w:t xml:space="preserve"> </w:t>
      </w:r>
      <w:r>
        <w:t xml:space="preserve">Claeyssens</w:t>
      </w:r>
      <w:r>
        <w:t xml:space="preserve"> </w:t>
      </w:r>
      <w:r>
        <w:rPr>
          <w:iCs/>
          <w:i/>
        </w:rPr>
        <w:t xml:space="preserve">et al.</w:t>
      </w:r>
      <w:r>
        <w:t xml:space="preserve"> </w:t>
      </w:r>
      <w:r>
        <w:t xml:space="preserve">describe their substitution by reference to earlier work</w:t>
      </w:r>
      <w:r>
        <w:t xml:space="preserve"> </w:t>
      </w:r>
      <w:r>
        <w:rPr>
          <w:rStyle w:val="VerbatimChar"/>
        </w:rPr>
        <w:t xml:space="preserve">[PLACEHOLDER — needs sourcing: Claeyssens et al. (2011) cite their references 9 and 10 for the substitution procedure, being Ranaghan, Ridder, Szefczyk, Sokalski, Hermann and Mulholland, Mol. Phys. 2003, 101, 2695–2714 and Org. Biomol. Chem. 2004, 2, 968–980. Neither is held and no DOI is available for either, so the procedure departed from cannot presently be described. See Sourcing gaps.]</w:t>
      </w:r>
      <w:r>
        <w:t xml:space="preserve">. The analogue is not isosteric with the</w:t>
      </w:r>
      <w:r>
        <w:t xml:space="preserve"> </w:t>
      </w:r>
      <w:r>
        <w:t xml:space="preserve">substrate, carrying seventeen heavy atoms against sixteen in the chorismate dianion, so</w:t>
      </w:r>
      <w:r>
        <w:t xml:space="preserve"> </w:t>
      </w:r>
      <w:r>
        <w:t xml:space="preserve">the superposition performed in X.1.4 is not an atom-for-atom correspondence under either</w:t>
      </w:r>
      <w:r>
        <w:t xml:space="preserve"> </w:t>
      </w:r>
      <w:r>
        <w:t xml:space="preserve">procedure.</w:t>
      </w:r>
    </w:p>
    <w:bookmarkStart w:id="20" w:name="pipeline-of-operations"/>
    <w:p>
      <w:pPr>
        <w:pStyle w:val="Heading2"/>
      </w:pPr>
      <w:r>
        <w:t xml:space="preserve">Pipeline of Operations</w:t>
      </w:r>
    </w:p>
    <w:p>
      <w:pPr>
        <w:numPr>
          <w:ilvl w:val="0"/>
          <w:numId w:val="1001"/>
        </w:numPr>
        <w:pStyle w:val="Compact"/>
      </w:pPr>
      <w:r>
        <w:rPr>
          <w:rStyle w:val="VerbatimChar"/>
        </w:rPr>
        <w:t xml:space="preserve">step01_download_inputs.sh</w:t>
      </w:r>
      <w:r>
        <w:t xml:space="preserve"> </w:t>
      </w:r>
      <w:r>
        <w:t xml:space="preserve">— retrieves PDB entries 2CHT and 1DBF from the RCSB and the</w:t>
      </w:r>
      <w:r>
        <w:t xml:space="preserve"> </w:t>
      </w:r>
      <w:r>
        <w:t xml:space="preserve">three chorismate reference geometries from the CP2K examples repository at a pinned</w:t>
      </w:r>
      <w:r>
        <w:t xml:space="preserve"> </w:t>
      </w:r>
      <w:r>
        <w:t xml:space="preserve">commit, reports a structural inventory of both depositions, and writes the role manifest,</w:t>
      </w:r>
      <w:r>
        <w:t xml:space="preserve"> </w:t>
      </w:r>
      <w:r>
        <w:t xml:space="preserve">checksums and retrieval provenance. Outputs</w:t>
      </w:r>
      <w:r>
        <w:t xml:space="preserve"> </w:t>
      </w:r>
      <w:r>
        <w:rPr>
          <w:rStyle w:val="VerbatimChar"/>
        </w:rPr>
        <w:t xml:space="preserve">01_inputs/structures/2cht_raw.pdb</w:t>
      </w:r>
      <w:r>
        <w:t xml:space="preserve">,</w:t>
      </w:r>
      <w:r>
        <w:t xml:space="preserve"> </w:t>
      </w:r>
      <w:r>
        <w:rPr>
          <w:rStyle w:val="VerbatimChar"/>
        </w:rPr>
        <w:t xml:space="preserve">01_inputs/structures/1dbf_raw.pdb</w:t>
      </w:r>
      <w:r>
        <w:t xml:space="preserve">,</w:t>
      </w:r>
      <w:r>
        <w:t xml:space="preserve"> </w:t>
      </w:r>
      <w:r>
        <w:rPr>
          <w:rStyle w:val="VerbatimChar"/>
        </w:rPr>
        <w:t xml:space="preserve">01_inputs/ligands/liga.mol2</w:t>
      </w:r>
      <w:r>
        <w:t xml:space="preserve">,</w:t>
      </w:r>
      <w:r>
        <w:t xml:space="preserve"> </w:t>
      </w:r>
      <w:r>
        <w:rPr>
          <w:rStyle w:val="VerbatimChar"/>
        </w:rPr>
        <w:t xml:space="preserve">01_inputs/ligands/ligb.mol2</w:t>
      </w:r>
      <w:r>
        <w:t xml:space="preserve">,</w:t>
      </w:r>
      <w:r>
        <w:t xml:space="preserve"> </w:t>
      </w:r>
      <w:r>
        <w:rPr>
          <w:rStyle w:val="VerbatimChar"/>
        </w:rPr>
        <w:t xml:space="preserve">01_inputs/ligands/ligc.mol2</w:t>
      </w:r>
      <w:r>
        <w:t xml:space="preserve">,</w:t>
      </w:r>
      <w:r>
        <w:t xml:space="preserve"> </w:t>
      </w:r>
      <w:r>
        <w:rPr>
          <w:rStyle w:val="VerbatimChar"/>
        </w:rPr>
        <w:t xml:space="preserve">00_admin/step01_download_manifest.tsv</w:t>
      </w:r>
      <w:r>
        <w:t xml:space="preserve">,</w:t>
      </w:r>
      <w:r>
        <w:t xml:space="preserve"> </w:t>
      </w:r>
      <w:r>
        <w:rPr>
          <w:rStyle w:val="VerbatimChar"/>
        </w:rPr>
        <w:t xml:space="preserve">00_admin/sha256_step01_inputs.txt</w:t>
      </w:r>
      <w:r>
        <w:t xml:space="preserve">,</w:t>
      </w:r>
      <w:r>
        <w:t xml:space="preserve"> </w:t>
      </w:r>
      <w:r>
        <w:rPr>
          <w:rStyle w:val="VerbatimChar"/>
        </w:rPr>
        <w:t xml:space="preserve">00_admin/step01_provenance.txt</w:t>
      </w:r>
      <w:r>
        <w:t xml:space="preserve">.</w:t>
      </w:r>
    </w:p>
    <w:p>
      <w:pPr>
        <w:numPr>
          <w:ilvl w:val="0"/>
          <w:numId w:val="1001"/>
        </w:numPr>
        <w:pStyle w:val="Compact"/>
      </w:pPr>
      <w:r>
        <w:rPr>
          <w:rStyle w:val="VerbatimChar"/>
        </w:rPr>
        <w:t xml:space="preserve">step01b_ligand_tsa_registration.sh</w:t>
      </w:r>
      <w:r>
        <w:t xml:space="preserve"> </w:t>
      </w:r>
      <w:r>
        <w:t xml:space="preserve">— matches each chorismate reference geometry to the</w:t>
      </w:r>
      <w:r>
        <w:t xml:space="preserve"> </w:t>
      </w:r>
      <w:r>
        <w:t xml:space="preserve">crystallographic analogue site it was aligned against, by nearest molecular centre.</w:t>
      </w:r>
      <w:r>
        <w:t xml:space="preserve"> </w:t>
      </w:r>
      <w:r>
        <w:t xml:space="preserve">Outputs</w:t>
      </w:r>
      <w:r>
        <w:t xml:space="preserve"> </w:t>
      </w:r>
      <w:r>
        <w:rPr>
          <w:rStyle w:val="VerbatimChar"/>
        </w:rPr>
        <w:t xml:space="preserve">00_admin/ligand_tsa_registration.tsv</w:t>
      </w:r>
      <w:r>
        <w:t xml:space="preserve">.</w:t>
      </w:r>
    </w:p>
    <w:p>
      <w:pPr>
        <w:numPr>
          <w:ilvl w:val="0"/>
          <w:numId w:val="1001"/>
        </w:numPr>
        <w:pStyle w:val="Compact"/>
      </w:pPr>
      <w:r>
        <w:rPr>
          <w:rStyle w:val="VerbatimChar"/>
        </w:rPr>
        <w:t xml:space="preserve">step01_verify.py</w:t>
      </w:r>
      <w:r>
        <w:t xml:space="preserve"> </w:t>
      </w:r>
      <w:r>
        <w:t xml:space="preserve">— re-runnable audit of the above: recomputes all five checksums,</w:t>
      </w:r>
      <w:r>
        <w:t xml:space="preserve"> </w:t>
      </w:r>
      <w:r>
        <w:t xml:space="preserve">reproduces the structural inventory and the analogue site list, confirms the elemental</w:t>
      </w:r>
      <w:r>
        <w:t xml:space="preserve"> </w:t>
      </w:r>
      <w:r>
        <w:t xml:space="preserve">composition and net charge of each ligand, and reports the registration margin against</w:t>
      </w:r>
      <w:r>
        <w:t xml:space="preserve"> </w:t>
      </w:r>
      <w:r>
        <w:t xml:space="preserve">the nearest alternative site. Outputs</w:t>
      </w:r>
      <w:r>
        <w:t xml:space="preserve"> </w:t>
      </w:r>
      <w:r>
        <w:rPr>
          <w:rStyle w:val="VerbatimChar"/>
        </w:rPr>
        <w:t xml:space="preserve">checks/step01_verify.out</w:t>
      </w:r>
      <w:r>
        <w:t xml:space="preserve">.</w:t>
      </w:r>
    </w:p>
    <w:p>
      <w:pPr>
        <w:pStyle w:val="FirstParagraph"/>
      </w:pPr>
      <w:r>
        <w:rPr>
          <w:rStyle w:val="VerbatimChar"/>
        </w:rPr>
        <w:t xml:space="preserve">[FIGURE X.1.1 — schematic of input acquisition and provenance locking. Three source nodes (RCSB 2CHT, RCSB 1DBF, CP2K examples at commit d71583a4) feeding step01, with step01b as a downstream branch producing the site registration. Annotate each source with its role and truncated SHA-256 from Table X.1.1a, and the registration branch with the three centre offsets from Table X.1.1b. Render from the file list in the Pipeline of Operations; no data file required.]</w:t>
      </w:r>
    </w:p>
    <w:p>
      <w:r>
        <w:pict>
          <v:rect style="width:0;height:1.5pt" o:hralign="center" o:hrstd="t" o:hr="t"/>
        </w:pict>
      </w:r>
    </w:p>
    <w:bookmarkEnd w:id="20"/>
    <w:bookmarkEnd w:id="21"/>
    <w:bookmarkStart w:id="22" w:name="sourcing-gaps"/>
    <w:p>
      <w:pPr>
        <w:pStyle w:val="Heading1"/>
      </w:pPr>
      <w:r>
        <w:t xml:space="preserve">Sourcing gaps</w:t>
      </w:r>
    </w:p>
    <w:p>
      <w:pPr>
        <w:numPr>
          <w:ilvl w:val="0"/>
          <w:numId w:val="1002"/>
        </w:numPr>
        <w:pStyle w:val="Compact"/>
      </w:pPr>
      <w:r>
        <w:rPr>
          <w:bCs/>
          <w:b/>
        </w:rPr>
        <w:t xml:space="preserve">Ranaghan</w:t>
      </w:r>
      <w:r>
        <w:rPr>
          <w:bCs/>
          <w:b/>
        </w:rPr>
        <w:t xml:space="preserve"> </w:t>
      </w:r>
      <w:r>
        <w:rPr>
          <w:iCs/>
          <w:i/>
          <w:bCs/>
          <w:b/>
        </w:rPr>
        <w:t xml:space="preserve">et al.</w:t>
      </w:r>
      <w:r>
        <w:rPr>
          <w:bCs/>
          <w:b/>
        </w:rPr>
        <w:t xml:space="preserve"> </w:t>
      </w:r>
      <w:r>
        <w:rPr>
          <w:bCs/>
          <w:b/>
        </w:rPr>
        <w:t xml:space="preserve">(2003, 2004)</w:t>
      </w:r>
      <w:r>
        <w:t xml:space="preserve"> </w:t>
      </w:r>
      <w:r>
        <w:t xml:space="preserve">— the substitution procedure cited by</w:t>
      </w:r>
      <w:r>
        <w:t xml:space="preserve"> </w:t>
      </w:r>
      <w:r>
        <w:t xml:space="preserve">Claeyssens</w:t>
      </w:r>
      <w:r>
        <w:t xml:space="preserve"> </w:t>
      </w:r>
      <w:r>
        <w:rPr>
          <w:iCs/>
          <w:i/>
        </w:rPr>
        <w:t xml:space="preserve">et al.</w:t>
      </w:r>
      <w:r>
        <w:t xml:space="preserve"> </w:t>
      </w:r>
      <w:r>
        <w:t xml:space="preserve">(2011) as their references 9 and 10. Neither PDF is held and no DOI</w:t>
      </w:r>
      <w:r>
        <w:t xml:space="preserve"> </w:t>
      </w:r>
      <w:r>
        <w:t xml:space="preserve">is available for either. Until supplied, the departure described above cannot be</w:t>
      </w:r>
      <w:r>
        <w:t xml:space="preserve"> </w:t>
      </w:r>
      <w:r>
        <w:t xml:space="preserve">characterised.</w:t>
      </w:r>
      <w:r>
        <w:t xml:space="preserve"> </w:t>
      </w:r>
      <w:r>
        <w:rPr>
          <w:iCs/>
          <w:i/>
        </w:rPr>
        <w:t xml:space="preserve">Mol. Phys.</w:t>
      </w:r>
      <w:r>
        <w:t xml:space="preserve"> </w:t>
      </w:r>
      <w:r>
        <w:rPr>
          <w:bCs/>
          <w:b/>
        </w:rPr>
        <w:t xml:space="preserve">101</w:t>
      </w:r>
      <w:r>
        <w:t xml:space="preserve">, 2695–2714 and</w:t>
      </w:r>
      <w:r>
        <w:t xml:space="preserve"> </w:t>
      </w:r>
      <w:r>
        <w:rPr>
          <w:iCs/>
          <w:i/>
        </w:rPr>
        <w:t xml:space="preserve">Org. Biomol. Chem.</w:t>
      </w:r>
      <w:r>
        <w:t xml:space="preserve"> </w:t>
      </w:r>
      <w:r>
        <w:rPr>
          <w:bCs/>
          <w:b/>
        </w:rPr>
        <w:t xml:space="preserve">2</w:t>
      </w:r>
      <w:r>
        <w:t xml:space="preserve">, 968–980.</w:t>
      </w:r>
    </w:p>
    <w:p>
      <w:pPr>
        <w:numPr>
          <w:ilvl w:val="0"/>
          <w:numId w:val="1002"/>
        </w:numPr>
        <w:pStyle w:val="Compact"/>
      </w:pPr>
      <w:r>
        <w:rPr>
          <w:bCs/>
          <w:b/>
        </w:rPr>
        <w:t xml:space="preserve">Ladner</w:t>
      </w:r>
      <w:r>
        <w:rPr>
          <w:bCs/>
          <w:b/>
        </w:rPr>
        <w:t xml:space="preserve"> </w:t>
      </w:r>
      <w:r>
        <w:rPr>
          <w:iCs/>
          <w:i/>
          <w:bCs/>
          <w:b/>
        </w:rPr>
        <w:t xml:space="preserve">et al.</w:t>
      </w:r>
      <w:r>
        <w:rPr>
          <w:bCs/>
          <w:b/>
        </w:rPr>
        <w:t xml:space="preserve"> </w:t>
      </w:r>
      <w:r>
        <w:rPr>
          <w:bCs/>
          <w:b/>
        </w:rPr>
        <w:t xml:space="preserve">(2000)</w:t>
      </w:r>
      <w:r>
        <w:t xml:space="preserve"> </w:t>
      </w:r>
      <w:r>
        <w:t xml:space="preserve">— DOI</w:t>
      </w:r>
      <w:r>
        <w:t xml:space="preserve"> </w:t>
      </w:r>
      <w:r>
        <w:rPr>
          <w:rStyle w:val="VerbatimChar"/>
        </w:rPr>
        <w:t xml:space="preserve">10.1107/S0907444900004625</w:t>
      </w:r>
      <w:r>
        <w:t xml:space="preserve">, read from the</w:t>
      </w:r>
      <w:r>
        <w:t xml:space="preserve"> </w:t>
      </w:r>
      <w:r>
        <w:rPr>
          <w:rStyle w:val="VerbatimChar"/>
        </w:rPr>
        <w:t xml:space="preserve">JRNL DOI</w:t>
      </w:r>
      <w:r>
        <w:t xml:space="preserve"> </w:t>
      </w:r>
      <w:r>
        <w:t xml:space="preserve">record of the committed</w:t>
      </w:r>
      <w:r>
        <w:t xml:space="preserve"> </w:t>
      </w:r>
      <w:r>
        <w:rPr>
          <w:rStyle w:val="VerbatimChar"/>
        </w:rPr>
        <w:t xml:space="preserve">1dbf_raw.pdb</w:t>
      </w:r>
      <w:r>
        <w:t xml:space="preserve">. The DOI is held; the PDF is not.</w:t>
      </w:r>
    </w:p>
    <w:p>
      <w:pPr>
        <w:numPr>
          <w:ilvl w:val="0"/>
          <w:numId w:val="1002"/>
        </w:numPr>
        <w:pStyle w:val="Compact"/>
      </w:pPr>
      <w:r>
        <w:rPr>
          <w:bCs/>
          <w:b/>
        </w:rPr>
        <w:t xml:space="preserve">Bartlett and Johnson (1985)</w:t>
      </w:r>
      <w:r>
        <w:t xml:space="preserve"> </w:t>
      </w:r>
      <w:r>
        <w:t xml:space="preserve">— the transition-state analogue. Required only if the</w:t>
      </w:r>
      <w:r>
        <w:t xml:space="preserve"> </w:t>
      </w:r>
      <w:r>
        <w:t xml:space="preserve">analogue is cited by name. Given by Claeyssens</w:t>
      </w:r>
      <w:r>
        <w:t xml:space="preserve"> </w:t>
      </w:r>
      <w:r>
        <w:rPr>
          <w:iCs/>
          <w:i/>
        </w:rPr>
        <w:t xml:space="preserve">et al.</w:t>
      </w:r>
      <w:r>
        <w:t xml:space="preserve"> </w:t>
      </w:r>
      <w:r>
        <w:t xml:space="preserve">(2011) as</w:t>
      </w:r>
      <w:r>
        <w:t xml:space="preserve"> </w:t>
      </w:r>
      <w:r>
        <w:rPr>
          <w:iCs/>
          <w:i/>
        </w:rPr>
        <w:t xml:space="preserve">J. Am. Chem. Soc.</w:t>
      </w:r>
      <w:r>
        <w:t xml:space="preserve"> </w:t>
      </w:r>
      <w:r>
        <w:rPr>
          <w:bCs/>
          <w:b/>
        </w:rPr>
        <w:t xml:space="preserve">107</w:t>
      </w:r>
      <w:r>
        <w:t xml:space="preserve">, 7792–7793; no DOI held.</w:t>
      </w:r>
    </w:p>
    <w:p>
      <w:pPr>
        <w:numPr>
          <w:ilvl w:val="0"/>
          <w:numId w:val="1002"/>
        </w:numPr>
        <w:pStyle w:val="Compact"/>
      </w:pPr>
      <w:r>
        <w:rPr>
          <w:rStyle w:val="VerbatimChar"/>
          <w:bCs/>
          <w:b/>
        </w:rPr>
        <w:t xml:space="preserve">lategan_computational_2025.pdf</w:t>
      </w:r>
      <w:r>
        <w:t xml:space="preserve"> </w:t>
      </w:r>
      <w:r>
        <w:t xml:space="preserve">— house-style exemplar, not held.</w:t>
      </w:r>
    </w:p>
    <w:bookmarkEnd w:id="22"/>
    <w:bookmarkStart w:id="23" w:name="inconsistencies-found"/>
    <w:p>
      <w:pPr>
        <w:pStyle w:val="Heading1"/>
      </w:pPr>
      <w:r>
        <w:t xml:space="preserve">Inconsistencies found</w:t>
      </w:r>
    </w:p>
    <w:p>
      <w:pPr>
        <w:numPr>
          <w:ilvl w:val="0"/>
          <w:numId w:val="1003"/>
        </w:numPr>
        <w:pStyle w:val="Compact"/>
      </w:pPr>
      <w:r>
        <w:rPr>
          <w:bCs/>
          <w:b/>
        </w:rPr>
        <w:t xml:space="preserve">The acquisition script promises a check it does not perform.</w:t>
      </w:r>
      <w:r>
        <w:t xml:space="preserve"> </w:t>
      </w:r>
      <w:r>
        <w:t xml:space="preserve">The comment in</w:t>
      </w:r>
      <w:r>
        <w:t xml:space="preserve"> </w:t>
      </w:r>
      <w:r>
        <w:rPr>
          <w:rStyle w:val="VerbatimChar"/>
        </w:rPr>
        <w:t xml:space="preserve">step01_download_inputs.sh</w:t>
      </w:r>
      <w:r>
        <w:t xml:space="preserve"> </w:t>
      </w:r>
      <w:r>
        <w:t xml:space="preserve">states that 24 atoms is consistent with the chorismate</w:t>
      </w:r>
      <w:r>
        <w:t xml:space="preserve"> </w:t>
      </w:r>
      <w:r>
        <w:t xml:space="preserve">dianion and directs that elemental composition and net charge be confirmed from the</w:t>
      </w:r>
      <w:r>
        <w:t xml:space="preserve"> </w:t>
      </w:r>
      <w:r>
        <w:t xml:space="preserve">mol2 before that charge is used to set the quantum-region charge. The code reports only</w:t>
      </w:r>
      <w:r>
        <w:t xml:space="preserve"> </w:t>
      </w:r>
      <w:r>
        <w:t xml:space="preserve">the molecule name, atom count and bond count. No committed output contained the</w:t>
      </w:r>
      <w:r>
        <w:t xml:space="preserve"> </w:t>
      </w:r>
      <w:r>
        <w:t xml:space="preserve">elemental or charge confirmation, so the quantum-region charge of −2 rested on an</w:t>
      </w:r>
      <w:r>
        <w:t xml:space="preserve"> </w:t>
      </w:r>
      <w:r>
        <w:t xml:space="preserve">unperformed check. The confirmation is now implemented in</w:t>
      </w:r>
      <w:r>
        <w:t xml:space="preserve"> </w:t>
      </w:r>
      <w:r>
        <w:rPr>
          <w:rStyle w:val="VerbatimChar"/>
        </w:rPr>
        <w:t xml:space="preserve">checks/step01_verify.py</w:t>
      </w:r>
      <w:r>
        <w:t xml:space="preserve"> </w:t>
      </w:r>
      <w:r>
        <w:t xml:space="preserve">and</w:t>
      </w:r>
      <w:r>
        <w:t xml:space="preserve"> </w:t>
      </w:r>
      <w:r>
        <w:t xml:space="preserve">passes for all three geometries.</w:t>
      </w:r>
    </w:p>
    <w:p>
      <w:pPr>
        <w:numPr>
          <w:ilvl w:val="0"/>
          <w:numId w:val="1003"/>
        </w:numPr>
        <w:pStyle w:val="Compact"/>
      </w:pPr>
      <w:r>
        <w:rPr>
          <w:bCs/>
          <w:b/>
        </w:rPr>
        <w:t xml:space="preserve">The registration has no ambiguity guard.</w:t>
      </w:r>
      <w:r>
        <w:t xml:space="preserve"> </w:t>
      </w:r>
      <w:r>
        <w:rPr>
          <w:rStyle w:val="VerbatimChar"/>
        </w:rPr>
        <w:t xml:space="preserve">step01b_ligand_tsa_registration.sh</w:t>
      </w:r>
      <w:r>
        <w:t xml:space="preserve"> </w:t>
      </w:r>
      <w:r>
        <w:t xml:space="preserve">accepts the nearest analogue centre unconditionally, without testing the margin to the</w:t>
      </w:r>
      <w:r>
        <w:t xml:space="preserve"> </w:t>
      </w:r>
      <w:r>
        <w:t xml:space="preserve">next nearest. The assignment is in fact unambiguous by two orders of magnitude, but this</w:t>
      </w:r>
      <w:r>
        <w:t xml:space="preserve"> </w:t>
      </w:r>
      <w:r>
        <w:t xml:space="preserve">is established by the verification script rather than by the acquisition script.</w:t>
      </w:r>
    </w:p>
    <w:p>
      <w:pPr>
        <w:numPr>
          <w:ilvl w:val="0"/>
          <w:numId w:val="1003"/>
        </w:numPr>
        <w:pStyle w:val="Compact"/>
      </w:pPr>
      <w:r>
        <w:rPr>
          <w:bCs/>
          <w:b/>
        </w:rPr>
        <w:t xml:space="preserve">The archived and working copies of both scripts differ.</w:t>
      </w:r>
      <w:r>
        <w:t xml:space="preserve"> </w:t>
      </w:r>
      <w:r>
        <w:t xml:space="preserve">The copies held in</w:t>
      </w:r>
      <w:r>
        <w:t xml:space="preserve"> </w:t>
      </w:r>
      <w:r>
        <w:rPr>
          <w:rStyle w:val="VerbatimChar"/>
        </w:rPr>
        <w:t xml:space="preserve">00_admin/</w:t>
      </w:r>
      <w:r>
        <w:t xml:space="preserve"> </w:t>
      </w:r>
      <w:r>
        <w:t xml:space="preserve">differ from those in the code repository by a single added line setting</w:t>
      </w:r>
      <w:r>
        <w:t xml:space="preserve"> </w:t>
      </w:r>
      <w:r>
        <w:t xml:space="preserve">thread limits for OMP, OpenBLAS and MKL. The difference cannot affect any output, and is</w:t>
      </w:r>
      <w:r>
        <w:t xml:space="preserve"> </w:t>
      </w:r>
      <w:r>
        <w:t xml:space="preserve">recorded because the same archive has been found materially stale at a later step.</w:t>
      </w:r>
    </w:p>
    <w:p>
      <w:pPr>
        <w:numPr>
          <w:ilvl w:val="0"/>
          <w:numId w:val="1003"/>
        </w:numPr>
        <w:pStyle w:val="Compact"/>
      </w:pPr>
      <w:r>
        <w:rPr>
          <w:bCs/>
          <w:b/>
        </w:rPr>
        <w:t xml:space="preserve">Retrieval provenance does not record a deposition version.</w:t>
      </w:r>
      <w:r>
        <w:t xml:space="preserve"> </w:t>
      </w:r>
      <w:r>
        <w:rPr>
          <w:rStyle w:val="VerbatimChar"/>
        </w:rPr>
        <w:t xml:space="preserve">step01_provenance.txt</w:t>
      </w:r>
      <w:r>
        <w:t xml:space="preserve"> </w:t>
      </w:r>
      <w:r>
        <w:t xml:space="preserve">records a retrieval timestamp and the upstream repository commit, but no RCSB file</w:t>
      </w:r>
      <w:r>
        <w:t xml:space="preserve"> </w:t>
      </w:r>
      <w:r>
        <w:t xml:space="preserve">version. Identity is pinned by the recorded checksums rather than by the timestamp.</w:t>
      </w:r>
    </w:p>
    <w:bookmarkEnd w:id="23"/>
    <w:bookmarkStart w:id="24" w:name="verification-log"/>
    <w:p>
      <w:pPr>
        <w:pStyle w:val="Heading1"/>
      </w:pPr>
      <w:r>
        <w:t xml:space="preserve">Verification log</w:t>
      </w:r>
    </w:p>
    <w:p>
      <w:pPr>
        <w:pStyle w:val="FirstParagraph"/>
      </w:pPr>
      <w:r>
        <w:t xml:space="preserve">Performed by</w:t>
      </w:r>
      <w:r>
        <w:t xml:space="preserve"> </w:t>
      </w:r>
      <w:r>
        <w:rPr>
          <w:rStyle w:val="VerbatimChar"/>
        </w:rPr>
        <w:t xml:space="preserve">checks/step01_verify.py</w:t>
      </w:r>
      <w:r>
        <w:t xml:space="preserve"> </w:t>
      </w:r>
      <w:r>
        <w:t xml:space="preserve">against the committed copies in</w:t>
      </w:r>
      <w:r>
        <w:t xml:space="preserve"> </w:t>
      </w:r>
      <w:r>
        <w:rPr>
          <w:rStyle w:val="VerbatimChar"/>
        </w:rPr>
        <w:t xml:space="preserve">01_inputs_acquisition/outputs/</w:t>
      </w:r>
      <w:r>
        <w:t xml:space="preserve">. Twenty checks, twenty passed, none failed. Full output in</w:t>
      </w:r>
      <w:r>
        <w:t xml:space="preserve"> </w:t>
      </w:r>
      <w:r>
        <w:rPr>
          <w:rStyle w:val="VerbatimChar"/>
        </w:rPr>
        <w:t xml:space="preserve">checks/step01_verify.out</w:t>
      </w:r>
      <w:r>
        <w:t xml:space="preserve">; the execution environment is recorded in</w:t>
      </w:r>
      <w:r>
        <w:t xml:space="preserve"> </w:t>
      </w:r>
      <w:r>
        <w:rPr>
          <w:rStyle w:val="VerbatimChar"/>
        </w:rPr>
        <w:t xml:space="preserve">manifest.txt</w:t>
      </w:r>
      <w:r>
        <w:t xml:space="preserve">.</w:t>
      </w:r>
    </w:p>
    <w:p>
      <w:pPr>
        <w:numPr>
          <w:ilvl w:val="0"/>
          <w:numId w:val="1004"/>
        </w:numPr>
        <w:pStyle w:val="Compact"/>
      </w:pPr>
      <w:r>
        <w:t xml:space="preserve">SHA-256 recomputed for all five raw inputs and compared against</w:t>
      </w:r>
      <w:r>
        <w:t xml:space="preserve"> </w:t>
      </w:r>
      <w:r>
        <w:rPr>
          <w:rStyle w:val="VerbatimChar"/>
        </w:rPr>
        <w:t xml:space="preserve">sha256_step01_inputs.txt</w:t>
      </w:r>
      <w:r>
        <w:t xml:space="preserve">: five of five match.</w:t>
      </w:r>
    </w:p>
    <w:p>
      <w:pPr>
        <w:numPr>
          <w:ilvl w:val="0"/>
          <w:numId w:val="1004"/>
        </w:numPr>
        <w:pStyle w:val="Compact"/>
      </w:pPr>
      <w:r>
        <w:t xml:space="preserve">2CHT inventory reproduced: 13529 ATOM, 1815 HETATM, chains A–L, sole non-water</w:t>
      </w:r>
      <w:r>
        <w:t xml:space="preserve"> </w:t>
      </w:r>
      <w:r>
        <w:t xml:space="preserve">heteroatom species TSA at 204 atoms.</w:t>
      </w:r>
    </w:p>
    <w:p>
      <w:pPr>
        <w:numPr>
          <w:ilvl w:val="0"/>
          <w:numId w:val="1004"/>
        </w:numPr>
        <w:pStyle w:val="Compact"/>
      </w:pPr>
      <w:r>
        <w:t xml:space="preserve">Twelve analogue sites enumerated: A203, B201, C202, D206, E204, F205, G209, H207, I208,</w:t>
      </w:r>
      <w:r>
        <w:t xml:space="preserve"> </w:t>
      </w:r>
      <w:r>
        <w:t xml:space="preserve">J212, K210, L211.</w:t>
      </w:r>
    </w:p>
    <w:p>
      <w:pPr>
        <w:numPr>
          <w:ilvl w:val="0"/>
          <w:numId w:val="1004"/>
        </w:numPr>
        <w:pStyle w:val="Compact"/>
      </w:pPr>
      <w:r>
        <w:t xml:space="preserve">1DBF inventory reproduced: 3156 ATOM, 499 HETATM, chains A–C.</w:t>
      </w:r>
    </w:p>
    <w:p>
      <w:pPr>
        <w:numPr>
          <w:ilvl w:val="0"/>
          <w:numId w:val="1004"/>
        </w:numPr>
        <w:pStyle w:val="Compact"/>
      </w:pPr>
      <w:r>
        <w:t xml:space="preserve">Ligand composition confirmed for all three geometries: 24 atoms, 24 bonds, C₁₀H₈O₆, net</w:t>
      </w:r>
      <w:r>
        <w:t xml:space="preserve"> </w:t>
      </w:r>
      <w:r>
        <w:t xml:space="preserve">charge −2.0000.</w:t>
      </w:r>
    </w:p>
    <w:p>
      <w:pPr>
        <w:numPr>
          <w:ilvl w:val="0"/>
          <w:numId w:val="1004"/>
        </w:numPr>
        <w:pStyle w:val="Compact"/>
      </w:pPr>
      <w:r>
        <w:t xml:space="preserve">Registration margins measured: 22.11, 22.05 and 21.98 Å to the nearest alternative site,</w:t>
      </w:r>
      <w:r>
        <w:t xml:space="preserve"> </w:t>
      </w:r>
      <w:r>
        <w:t xml:space="preserve">corresponding to factors of 138, 139 and 109.</w:t>
      </w:r>
    </w:p>
    <w:p>
      <w:pPr>
        <w:numPr>
          <w:ilvl w:val="0"/>
          <w:numId w:val="1004"/>
        </w:numPr>
        <w:pStyle w:val="Compact"/>
      </w:pPr>
      <w:r>
        <w:t xml:space="preserve">No barrier is quoted in this subsection, so no barrier re-derivation applies.</w:t>
      </w:r>
    </w:p>
    <w:bookmarkEnd w:id="24"/>
    <w:bookmarkStart w:id="25" w:name="references"/>
    <w:p>
      <w:pPr>
        <w:pStyle w:val="Heading1"/>
      </w:pPr>
      <w:r>
        <w:t xml:space="preserve">References</w:t>
      </w:r>
    </w:p>
    <w:p>
      <w:pPr>
        <w:pStyle w:val="FirstParagraph"/>
      </w:pPr>
      <w:r>
        <w:t xml:space="preserve">Agbaglo, D.A., Summers, T.J., Cheng, Q. and DeYonker, N.J. (2024) 'The influence of model</w:t>
      </w:r>
      <w:r>
        <w:t xml:space="preserve"> </w:t>
      </w:r>
      <w:r>
        <w:t xml:space="preserve">building schemes and molecular dynamics sampling on QM-cluster models: the chorismate</w:t>
      </w:r>
      <w:r>
        <w:t xml:space="preserve"> </w:t>
      </w:r>
      <w:r>
        <w:t xml:space="preserve">mutase case study',</w:t>
      </w:r>
      <w:r>
        <w:t xml:space="preserve"> </w:t>
      </w:r>
      <w:r>
        <w:rPr>
          <w:iCs/>
          <w:i/>
        </w:rPr>
        <w:t xml:space="preserve">Physical Chemistry Chemical Physics</w:t>
      </w:r>
      <w:r>
        <w:t xml:space="preserve">, 26, pp. 12467–12482.</w:t>
      </w:r>
      <w:r>
        <w:t xml:space="preserve"> </w:t>
      </w:r>
      <w:r>
        <w:t xml:space="preserve">doi:10.1039/d3cp06100k.</w:t>
      </w:r>
    </w:p>
    <w:p>
      <w:pPr>
        <w:pStyle w:val="BodyText"/>
      </w:pPr>
      <w:r>
        <w:t xml:space="preserve">Chook, Y.M., Ke, H. and Lipscomb, W.N. (1993) 'Crystal structures of the monofunctional</w:t>
      </w:r>
      <w:r>
        <w:t xml:space="preserve"> </w:t>
      </w:r>
      <w:r>
        <w:t xml:space="preserve">chorismate mutase from</w:t>
      </w:r>
      <w:r>
        <w:t xml:space="preserve"> </w:t>
      </w:r>
      <w:r>
        <w:rPr>
          <w:iCs/>
          <w:i/>
        </w:rPr>
        <w:t xml:space="preserve">Bacillus subtilis</w:t>
      </w:r>
      <w:r>
        <w:t xml:space="preserve"> </w:t>
      </w:r>
      <w:r>
        <w:t xml:space="preserve">and its complex with a transition state analog',</w:t>
      </w:r>
      <w:r>
        <w:t xml:space="preserve"> </w:t>
      </w:r>
      <w:r>
        <w:rPr>
          <w:iCs/>
          <w:i/>
        </w:rPr>
        <w:t xml:space="preserve">Proceedings of the National Academy of Sciences USA</w:t>
      </w:r>
      <w:r>
        <w:t xml:space="preserve">, 90, pp. 8600–8603.</w:t>
      </w:r>
      <w:r>
        <w:t xml:space="preserve"> </w:t>
      </w:r>
      <w:r>
        <w:t xml:space="preserve">doi:10.1073/pnas.90.18.8600.</w:t>
      </w:r>
    </w:p>
    <w:p>
      <w:pPr>
        <w:pStyle w:val="BodyText"/>
      </w:pPr>
      <w:r>
        <w:t xml:space="preserve">Claeyssens, F., Ranaghan, K.E., Lawan, N., Macrae, S.J., Manby, F.R., Harvey, J.N. and</w:t>
      </w:r>
      <w:r>
        <w:t xml:space="preserve"> </w:t>
      </w:r>
      <w:r>
        <w:t xml:space="preserve">Mulholland, A.J. (2011) 'Analysis of chorismate mutase catalysis by QM/MM modelling of</w:t>
      </w:r>
      <w:r>
        <w:t xml:space="preserve"> </w:t>
      </w:r>
      <w:r>
        <w:t xml:space="preserve">enzyme-catalysed and uncatalysed reactions',</w:t>
      </w:r>
      <w:r>
        <w:t xml:space="preserve"> </w:t>
      </w:r>
      <w:r>
        <w:rPr>
          <w:iCs/>
          <w:i/>
        </w:rPr>
        <w:t xml:space="preserve">Organic &amp; Biomolecular Chemistry</w:t>
      </w:r>
      <w:r>
        <w:t xml:space="preserve">, 9,</w:t>
      </w:r>
      <w:r>
        <w:t xml:space="preserve"> </w:t>
      </w:r>
      <w:r>
        <w:t xml:space="preserve">pp. 1578–1590. doi:10.1039/c0ob00691b.</w:t>
      </w:r>
    </w:p>
    <w:p>
      <w:pPr>
        <w:pStyle w:val="BodyText"/>
      </w:pPr>
      <w:r>
        <w:t xml:space="preserve">Ladner, J.E., Reddy, P., Davis, A., Tordova, M., Howard, A.J. and Gilliland, G.L. (2000)</w:t>
      </w:r>
      <w:r>
        <w:t xml:space="preserve"> </w:t>
      </w:r>
      <w:r>
        <w:t xml:space="preserve">'The 1.30 Å resolution structure of the</w:t>
      </w:r>
      <w:r>
        <w:t xml:space="preserve"> </w:t>
      </w:r>
      <w:r>
        <w:rPr>
          <w:iCs/>
          <w:i/>
        </w:rPr>
        <w:t xml:space="preserve">Bacillus subtilis</w:t>
      </w:r>
      <w:r>
        <w:t xml:space="preserve"> </w:t>
      </w:r>
      <w:r>
        <w:t xml:space="preserve">chorismate mutase catalytic</w:t>
      </w:r>
      <w:r>
        <w:t xml:space="preserve"> </w:t>
      </w:r>
      <w:r>
        <w:t xml:space="preserve">homotrimer',</w:t>
      </w:r>
      <w:r>
        <w:t xml:space="preserve"> </w:t>
      </w:r>
      <w:r>
        <w:rPr>
          <w:iCs/>
          <w:i/>
        </w:rPr>
        <w:t xml:space="preserve">Acta Crystallographica Section D</w:t>
      </w:r>
      <w:r>
        <w:t xml:space="preserve">, 56, pp. 673–683.</w:t>
      </w:r>
      <w:r>
        <w:t xml:space="preserve"> </w:t>
      </w:r>
      <w:r>
        <w:t xml:space="preserve">doi:10.1107/S0907444900004625.</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2026-09-28T16:34:38Z</dcterms:created>
  <dcterms:modified xsi:type="dcterms:W3CDTF">2026-09-28T16:34:38Z</dcterms:modified>
</cp:coreProperties>
</file>

<file path=docProps/custom.xml><?xml version="1.0" encoding="utf-8"?>
<Properties xmlns="http://schemas.openxmlformats.org/officeDocument/2006/custom-properties" xmlns:vt="http://schemas.openxmlformats.org/officeDocument/2006/docPropsVTypes"/>
</file>