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6D96728">
      <w:pPr>
        <w:widowControl w:val="0"/>
        <w:numPr>
          <w:numId w:val="0"/>
        </w:numPr>
        <w:suppressAutoHyphens/>
        <w:autoSpaceDN w:val="0"/>
        <w:spacing w:line="240" w:lineRule="auto"/>
        <w:ind w:leftChars="-50"/>
        <w:jc w:val="both"/>
        <w:outlineLvl w:val="2"/>
        <w:rPr>
          <w:rFonts w:hint="default" w:eastAsia="宋体" w:cs="Arial" w:asciiTheme="minorAscii" w:hAnsiTheme="minorAscii"/>
          <w:b/>
          <w:bCs/>
          <w:kern w:val="3"/>
          <w:sz w:val="20"/>
          <w:szCs w:val="20"/>
          <w:lang w:val="en-US" w:eastAsia="zh-CN" w:bidi="ar-SA"/>
        </w:rPr>
      </w:pPr>
      <w:bookmarkStart w:id="0" w:name="_Toc435661219"/>
      <w:bookmarkStart w:id="1" w:name="_Toc492"/>
      <w:bookmarkStart w:id="2" w:name="_Toc596078364"/>
      <w:r>
        <w:rPr>
          <w:rFonts w:hint="default" w:eastAsia="宋体" w:cs="Arial" w:asciiTheme="minorAscii" w:hAnsiTheme="minorAscii"/>
          <w:b/>
          <w:bCs/>
          <w:kern w:val="3"/>
          <w:sz w:val="20"/>
          <w:szCs w:val="20"/>
          <w:lang w:val="en-US" w:eastAsia="zh-CN" w:bidi="ar-SA"/>
        </w:rPr>
        <w:t>A Case Study of the Neath River in Wales</w:t>
      </w:r>
      <w:bookmarkEnd w:id="0"/>
      <w:bookmarkEnd w:id="1"/>
      <w:bookmarkEnd w:id="2"/>
    </w:p>
    <w:p w14:paraId="132B44C4">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This section presents a comparative analysis of water quality parameter variations measured at upstream, midstream, and downstream stations along the Neath River in Wales from 2000 to 2023, as illustrated in Figure</w:t>
      </w:r>
      <w:r>
        <w:rPr>
          <w:rFonts w:hint="default" w:cs="Arial" w:asciiTheme="minorAscii" w:hAnsiTheme="minorAscii"/>
          <w:kern w:val="3"/>
          <w:sz w:val="20"/>
          <w:szCs w:val="20"/>
          <w:lang w:val="en-US" w:eastAsia="zh-CN" w:bidi="ar-SA"/>
        </w:rPr>
        <w:t xml:space="preserve"> 1</w:t>
      </w:r>
      <w:r>
        <w:rPr>
          <w:rFonts w:hint="default" w:eastAsia="宋体" w:cs="Arial" w:asciiTheme="minorAscii" w:hAnsiTheme="minorAscii"/>
          <w:kern w:val="3"/>
          <w:sz w:val="20"/>
          <w:szCs w:val="20"/>
          <w:lang w:val="en-US" w:eastAsia="zh-CN" w:bidi="ar-SA"/>
        </w:rPr>
        <w:t xml:space="preserve">. The selected stations for this analysis are (These stations are marked with red boxes in Figure </w:t>
      </w:r>
      <w:r>
        <w:rPr>
          <w:rFonts w:hint="default" w:cs="Arial" w:asciiTheme="minorAscii" w:hAnsiTheme="minorAscii"/>
          <w:kern w:val="3"/>
          <w:sz w:val="20"/>
          <w:szCs w:val="20"/>
          <w:lang w:val="en-US" w:eastAsia="zh-CN" w:bidi="ar-SA"/>
        </w:rPr>
        <w:t>1</w:t>
      </w:r>
      <w:r>
        <w:rPr>
          <w:rFonts w:hint="default" w:eastAsia="宋体" w:cs="Arial" w:asciiTheme="minorAscii" w:hAnsiTheme="minorAscii"/>
          <w:kern w:val="3"/>
          <w:sz w:val="20"/>
          <w:szCs w:val="20"/>
          <w:lang w:val="en-US" w:eastAsia="zh-CN" w:bidi="ar-SA"/>
        </w:rPr>
        <w:t>.):</w:t>
      </w:r>
    </w:p>
    <w:p w14:paraId="53B5DA1D">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Upstream Station (S10003): GWRELYCH ABV NEATH PONT WALBY (station_type: FRESHWATER - UNSPECIFIED)</w:t>
      </w:r>
    </w:p>
    <w:p w14:paraId="22AB9313">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Nearby MINEWATER Station (S78396): NEW ABERPERGWM COLLIERY SUR' WATER DIS (station_type: MINEWATER)</w:t>
      </w:r>
    </w:p>
    <w:p w14:paraId="2C8E069B">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Midstream Station (S10004): NEATH 500M BELOW ABERDULAIS GS (station_type: FRESHWATER - UNSPECIFIED)</w:t>
      </w:r>
    </w:p>
    <w:p w14:paraId="0371CE93">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Downstream Station (S78410): NEATH ESTUARY OPP JETTY (station_type: SALINE WATER - ESTUARINE SITES - NON BATHING/SHELLFISH)</w:t>
      </w:r>
    </w:p>
    <w:p w14:paraId="573EFB57">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p>
    <w:p w14:paraId="5E1A2E51">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p>
    <w:p w14:paraId="38646D91">
      <w:pPr>
        <w:widowControl w:val="0"/>
        <w:suppressAutoHyphens/>
        <w:autoSpaceDN w:val="0"/>
        <w:spacing w:line="240" w:lineRule="auto"/>
        <w:jc w:val="center"/>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drawing>
          <wp:inline distT="0" distB="0" distL="0" distR="0">
            <wp:extent cx="4132580" cy="2716530"/>
            <wp:effectExtent l="0" t="0" r="7620" b="1270"/>
            <wp:docPr id="1758241319" name="图片 1667649418"/>
            <wp:cNvGraphicFramePr/>
            <a:graphic xmlns:a="http://schemas.openxmlformats.org/drawingml/2006/main">
              <a:graphicData uri="http://schemas.openxmlformats.org/drawingml/2006/picture">
                <pic:pic xmlns:pic="http://schemas.openxmlformats.org/drawingml/2006/picture">
                  <pic:nvPicPr>
                    <pic:cNvPr id="1758241319" name="图片 1667649418"/>
                    <pic:cNvPicPr/>
                  </pic:nvPicPr>
                  <pic:blipFill>
                    <a:blip r:embed="rId6"/>
                    <a:stretch>
                      <a:fillRect/>
                    </a:stretch>
                  </pic:blipFill>
                  <pic:spPr>
                    <a:xfrm>
                      <a:off x="0" y="0"/>
                      <a:ext cx="4132580" cy="2716530"/>
                    </a:xfrm>
                    <a:prstGeom prst="rect">
                      <a:avLst/>
                    </a:prstGeom>
                    <a:noFill/>
                    <a:ln>
                      <a:noFill/>
                      <a:prstDash val="solid"/>
                    </a:ln>
                  </pic:spPr>
                </pic:pic>
              </a:graphicData>
            </a:graphic>
          </wp:inline>
        </w:drawing>
      </w:r>
    </w:p>
    <w:p w14:paraId="0BAB170B">
      <w:pPr>
        <w:widowControl w:val="0"/>
        <w:suppressAutoHyphens/>
        <w:autoSpaceDN w:val="0"/>
        <w:spacing w:line="240" w:lineRule="auto"/>
        <w:jc w:val="center"/>
        <w:rPr>
          <w:rFonts w:hint="default" w:eastAsia="黑体" w:cs="Arial" w:asciiTheme="minorAscii" w:hAnsiTheme="minorAscii"/>
          <w:kern w:val="3"/>
          <w:sz w:val="20"/>
          <w:szCs w:val="20"/>
          <w:lang w:val="en-US" w:eastAsia="zh-CN" w:bidi="ar-SA"/>
        </w:rPr>
      </w:pPr>
      <w:r>
        <w:rPr>
          <w:rFonts w:hint="default" w:eastAsia="黑体" w:cs="Arial" w:asciiTheme="minorAscii" w:hAnsiTheme="minorAscii"/>
          <w:kern w:val="3"/>
          <w:sz w:val="20"/>
          <w:szCs w:val="20"/>
          <w:lang w:val="en-US" w:eastAsia="zh-CN" w:bidi="ar-SA"/>
        </w:rPr>
        <w:t>Figure 1</w:t>
      </w:r>
      <w:r>
        <w:rPr>
          <w:rFonts w:hint="eastAsia" w:eastAsia="黑体" w:cs="Arial" w:asciiTheme="minorAscii" w:hAnsiTheme="minorAscii"/>
          <w:kern w:val="3"/>
          <w:sz w:val="20"/>
          <w:szCs w:val="20"/>
          <w:lang w:val="en-US" w:eastAsia="zh-CN" w:bidi="ar-SA"/>
        </w:rPr>
        <w:t>: Neath River in Wales</w:t>
      </w:r>
    </w:p>
    <w:p w14:paraId="1DC2797E">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p>
    <w:p w14:paraId="71F8944E">
      <w:pPr>
        <w:widowControl w:val="0"/>
        <w:suppressAutoHyphens/>
        <w:autoSpaceDN w:val="0"/>
        <w:spacing w:line="240" w:lineRule="auto"/>
        <w:jc w:val="left"/>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Seventeen parameters were selected for analysis along the Neath River, focusing on comparing upstream, midstream, downstream, and a MINEWATER station. Among these parameters, dissolved oxygen saturation percentage (Oxygen, Dissolved, % Saturation) is highlighted due to its significance in assessing water quality.</w:t>
      </w:r>
    </w:p>
    <w:p w14:paraId="5F9FF29F">
      <w:pPr>
        <w:widowControl w:val="0"/>
        <w:suppressAutoHyphens/>
        <w:autoSpaceDN w:val="0"/>
        <w:spacing w:line="240" w:lineRule="auto"/>
        <w:jc w:val="left"/>
        <w:rPr>
          <w:rFonts w:hint="default" w:eastAsia="宋体" w:cs="Arial" w:asciiTheme="minorAscii" w:hAnsiTheme="minorAscii"/>
          <w:kern w:val="3"/>
          <w:sz w:val="20"/>
          <w:szCs w:val="20"/>
          <w:lang w:val="en-US" w:eastAsia="zh-CN" w:bidi="ar-SA"/>
        </w:rPr>
      </w:pPr>
    </w:p>
    <w:p w14:paraId="6A97C7A3">
      <w:pPr>
        <w:widowControl w:val="0"/>
        <w:suppressAutoHyphens/>
        <w:autoSpaceDN w:val="0"/>
        <w:spacing w:line="240" w:lineRule="auto"/>
        <w:jc w:val="left"/>
        <w:rPr>
          <w:rFonts w:hint="default" w:eastAsia="宋体" w:cs="Arial" w:asciiTheme="minorAscii" w:hAnsiTheme="minorAscii"/>
          <w:kern w:val="3"/>
          <w:sz w:val="20"/>
          <w:szCs w:val="20"/>
          <w:lang w:val="en-US" w:eastAsia="zh-CN" w:bidi="ar-SA"/>
        </w:rPr>
      </w:pPr>
      <w:r>
        <w:rPr>
          <w:rStyle w:val="6"/>
          <w:rFonts w:hint="default" w:eastAsia="宋体" w:cs="Arial" w:asciiTheme="minorAscii" w:hAnsiTheme="minorAscii"/>
          <w:b/>
          <w:bCs/>
          <w:kern w:val="3"/>
          <w:sz w:val="20"/>
          <w:szCs w:val="20"/>
          <w:lang w:val="en-US" w:eastAsia="zh-CN" w:bidi="ar-SA"/>
        </w:rPr>
        <w:t>Dissolved Oxygen Saturation Percentage (Oxygen, Dissolved, % Saturation):</w:t>
      </w:r>
    </w:p>
    <w:p w14:paraId="3FD635F5">
      <w:pPr>
        <w:widowControl w:val="0"/>
        <w:suppressAutoHyphens/>
        <w:autoSpaceDN w:val="0"/>
        <w:spacing w:line="240" w:lineRule="auto"/>
        <w:jc w:val="left"/>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Standard for Healthy Freshwater: For healthy freshwater lakes and rivers, dissolved oxygen saturation is generally expected to remain at least between 60% and 80% according to the U.S. Environmental Protection Agency (EPA, 1986) and the World Health Organization (WHO, 2003).</w:t>
      </w:r>
    </w:p>
    <w:p w14:paraId="1F1C1FFA">
      <w:pPr>
        <w:widowControl w:val="0"/>
        <w:suppressAutoHyphens/>
        <w:autoSpaceDN w:val="0"/>
        <w:spacing w:line="240" w:lineRule="auto"/>
        <w:jc w:val="left"/>
        <w:rPr>
          <w:rFonts w:hint="default" w:eastAsia="宋体" w:cs="Arial" w:asciiTheme="minorAscii" w:hAnsiTheme="minorAscii"/>
          <w:kern w:val="3"/>
          <w:sz w:val="20"/>
          <w:szCs w:val="20"/>
          <w:lang w:val="en-US" w:eastAsia="zh-CN" w:bidi="ar-SA"/>
        </w:rPr>
      </w:pPr>
    </w:p>
    <w:p w14:paraId="54297A14">
      <w:pPr>
        <w:widowControl w:val="0"/>
        <w:suppressAutoHyphens/>
        <w:autoSpaceDN w:val="0"/>
        <w:spacing w:line="240" w:lineRule="auto"/>
        <w:jc w:val="left"/>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Observations Across Stations: Except for the MINEWATER station, all other stations consistently recorded dissolved oxygen saturation levels above 80%, indicating healthy aquatic conditions. In contrast, the MINEWATER station exhibited comparatively lower saturation levels.</w:t>
      </w:r>
    </w:p>
    <w:p w14:paraId="470B6638">
      <w:pPr>
        <w:widowControl w:val="0"/>
        <w:suppressAutoHyphens/>
        <w:autoSpaceDN w:val="0"/>
        <w:spacing w:line="240" w:lineRule="auto"/>
        <w:jc w:val="left"/>
        <w:rPr>
          <w:rFonts w:hint="default" w:eastAsia="宋体" w:cs="Arial" w:asciiTheme="minorAscii" w:hAnsiTheme="minorAscii"/>
          <w:kern w:val="3"/>
          <w:sz w:val="20"/>
          <w:szCs w:val="20"/>
          <w:lang w:val="en-US" w:eastAsia="zh-CN" w:bidi="ar-SA"/>
        </w:rPr>
      </w:pPr>
    </w:p>
    <w:p w14:paraId="787C317E">
      <w:pPr>
        <w:widowControl w:val="0"/>
        <w:suppressAutoHyphens/>
        <w:autoSpaceDN w:val="0"/>
        <w:spacing w:line="240" w:lineRule="auto"/>
        <w:jc w:val="left"/>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 xml:space="preserve">Trends Across Stations: The trend of dissolved oxygen saturation at the MINEWATER station significantly overlaps with other stations, suggesting similar ecological influences despite its lower values (see Figure </w:t>
      </w:r>
      <w:r>
        <w:rPr>
          <w:rFonts w:hint="default" w:cs="Arial" w:asciiTheme="minorAscii" w:hAnsiTheme="minorAscii"/>
          <w:kern w:val="3"/>
          <w:sz w:val="20"/>
          <w:szCs w:val="20"/>
          <w:lang w:val="en-US" w:eastAsia="zh-CN" w:bidi="ar-SA"/>
        </w:rPr>
        <w:t>2</w:t>
      </w:r>
      <w:r>
        <w:rPr>
          <w:rFonts w:hint="default" w:eastAsia="宋体" w:cs="Arial" w:asciiTheme="minorAscii" w:hAnsiTheme="minorAscii"/>
          <w:kern w:val="3"/>
          <w:sz w:val="20"/>
          <w:szCs w:val="20"/>
          <w:lang w:val="en-US" w:eastAsia="zh-CN" w:bidi="ar-SA"/>
        </w:rPr>
        <w:t xml:space="preserve"> &amp; </w:t>
      </w:r>
      <w:r>
        <w:rPr>
          <w:rFonts w:hint="default" w:cs="Arial" w:asciiTheme="minorAscii" w:hAnsiTheme="minorAscii"/>
          <w:kern w:val="3"/>
          <w:sz w:val="20"/>
          <w:szCs w:val="20"/>
          <w:lang w:val="en-US" w:eastAsia="zh-CN" w:bidi="ar-SA"/>
        </w:rPr>
        <w:t>3</w:t>
      </w:r>
      <w:r>
        <w:rPr>
          <w:rFonts w:hint="default" w:eastAsia="宋体" w:cs="Arial" w:asciiTheme="minorAscii" w:hAnsiTheme="minorAscii"/>
          <w:kern w:val="3"/>
          <w:sz w:val="20"/>
          <w:szCs w:val="20"/>
          <w:lang w:val="en-US" w:eastAsia="zh-CN" w:bidi="ar-SA"/>
        </w:rPr>
        <w:t>).</w:t>
      </w:r>
    </w:p>
    <w:p w14:paraId="2E440EF5">
      <w:pPr>
        <w:widowControl w:val="0"/>
        <w:suppressAutoHyphens/>
        <w:autoSpaceDN w:val="0"/>
        <w:spacing w:line="240" w:lineRule="auto"/>
        <w:jc w:val="left"/>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drawing>
          <wp:inline distT="0" distB="0" distL="0" distR="0">
            <wp:extent cx="5203190" cy="3432810"/>
            <wp:effectExtent l="0" t="0" r="3810" b="8890"/>
            <wp:docPr id="1305364762" name="图片 23"/>
            <wp:cNvGraphicFramePr/>
            <a:graphic xmlns:a="http://schemas.openxmlformats.org/drawingml/2006/main">
              <a:graphicData uri="http://schemas.openxmlformats.org/drawingml/2006/picture">
                <pic:pic xmlns:pic="http://schemas.openxmlformats.org/drawingml/2006/picture">
                  <pic:nvPicPr>
                    <pic:cNvPr id="1305364762" name="图片 23"/>
                    <pic:cNvPicPr/>
                  </pic:nvPicPr>
                  <pic:blipFill>
                    <a:blip r:embed="rId7"/>
                    <a:stretch>
                      <a:fillRect/>
                    </a:stretch>
                  </pic:blipFill>
                  <pic:spPr>
                    <a:xfrm>
                      <a:off x="0" y="0"/>
                      <a:ext cx="5203822" cy="3433443"/>
                    </a:xfrm>
                    <a:prstGeom prst="rect">
                      <a:avLst/>
                    </a:prstGeom>
                    <a:noFill/>
                    <a:ln>
                      <a:noFill/>
                      <a:prstDash val="solid"/>
                    </a:ln>
                  </pic:spPr>
                </pic:pic>
              </a:graphicData>
            </a:graphic>
          </wp:inline>
        </w:drawing>
      </w:r>
    </w:p>
    <w:p w14:paraId="7BE05868">
      <w:pPr>
        <w:widowControl w:val="0"/>
        <w:suppressAutoHyphens/>
        <w:autoSpaceDN w:val="0"/>
        <w:spacing w:line="240" w:lineRule="auto"/>
        <w:jc w:val="center"/>
        <w:rPr>
          <w:rFonts w:hint="default" w:eastAsia="黑体" w:cs="Arial" w:asciiTheme="minorAscii" w:hAnsiTheme="minorAscii"/>
          <w:kern w:val="3"/>
          <w:sz w:val="20"/>
          <w:szCs w:val="20"/>
          <w:lang w:val="en-US" w:eastAsia="zh-CN" w:bidi="ar-SA"/>
        </w:rPr>
      </w:pPr>
      <w:r>
        <w:rPr>
          <w:rFonts w:hint="default" w:eastAsia="黑体" w:cs="Arial" w:asciiTheme="minorAscii" w:hAnsiTheme="minorAscii"/>
          <w:kern w:val="3"/>
          <w:sz w:val="20"/>
          <w:szCs w:val="20"/>
          <w:lang w:val="en-US" w:eastAsia="zh-CN" w:bidi="ar-SA"/>
        </w:rPr>
        <w:t xml:space="preserve">Figure </w:t>
      </w:r>
      <w:r>
        <w:rPr>
          <w:rFonts w:hint="default" w:eastAsia="黑体" w:cs="Arial" w:asciiTheme="minorAscii" w:hAnsiTheme="minorAscii"/>
          <w:kern w:val="3"/>
          <w:sz w:val="20"/>
          <w:szCs w:val="20"/>
          <w:lang w:val="en-US" w:eastAsia="zh-CN" w:bidi="ar-SA"/>
        </w:rPr>
        <w:t>2</w:t>
      </w:r>
      <w:r>
        <w:rPr>
          <w:rFonts w:hint="default" w:eastAsia="黑体" w:cs="Arial" w:asciiTheme="minorAscii" w:hAnsiTheme="minorAscii"/>
          <w:kern w:val="3"/>
          <w:sz w:val="20"/>
          <w:szCs w:val="20"/>
          <w:lang w:val="en-US" w:eastAsia="zh-CN" w:bidi="ar-SA"/>
        </w:rPr>
        <w:t>: Monthly Average of Oxygen, Dissolved % Saturation from 2000 to 2023</w:t>
      </w:r>
    </w:p>
    <w:p w14:paraId="4A3E5E73">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p>
    <w:p w14:paraId="799F6F31">
      <w:pPr>
        <w:widowControl w:val="0"/>
        <w:suppressAutoHyphens/>
        <w:autoSpaceDN w:val="0"/>
        <w:spacing w:line="240" w:lineRule="auto"/>
        <w:jc w:val="left"/>
        <w:rPr>
          <w:rFonts w:hint="default" w:eastAsia="宋体" w:cs="Arial" w:asciiTheme="minorAscii" w:hAnsiTheme="minorAscii"/>
          <w:b/>
          <w:bCs/>
          <w:kern w:val="3"/>
          <w:sz w:val="20"/>
          <w:szCs w:val="20"/>
          <w:lang w:val="en-US" w:eastAsia="zh-CN" w:bidi="ar-SA"/>
        </w:rPr>
      </w:pPr>
      <w:r>
        <w:rPr>
          <w:rFonts w:hint="default" w:eastAsia="宋体" w:cs="Arial" w:asciiTheme="minorAscii" w:hAnsiTheme="minorAscii"/>
          <w:b/>
          <w:bCs/>
          <w:kern w:val="3"/>
          <w:sz w:val="20"/>
          <w:szCs w:val="20"/>
          <w:lang w:val="en-US" w:eastAsia="zh-CN" w:bidi="ar-SA"/>
        </w:rPr>
        <w:t>Temperature Trends:</w:t>
      </w:r>
    </w:p>
    <w:p w14:paraId="41C7AFFE">
      <w:pPr>
        <w:widowControl w:val="0"/>
        <w:suppressAutoHyphens/>
        <w:autoSpaceDN w:val="0"/>
        <w:spacing w:line="240" w:lineRule="auto"/>
        <w:jc w:val="left"/>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 xml:space="preserve">Temperature Variations: Similarly, the trend of water temperature changes also shows a high degree of overlap among all stations (see Figure </w:t>
      </w:r>
      <w:r>
        <w:rPr>
          <w:rFonts w:hint="default" w:cs="Arial" w:asciiTheme="minorAscii" w:hAnsiTheme="minorAscii"/>
          <w:kern w:val="3"/>
          <w:sz w:val="20"/>
          <w:szCs w:val="20"/>
          <w:lang w:val="en-US" w:eastAsia="zh-CN" w:bidi="ar-SA"/>
        </w:rPr>
        <w:t>4</w:t>
      </w:r>
      <w:r>
        <w:rPr>
          <w:rFonts w:hint="default" w:eastAsia="宋体" w:cs="Arial" w:asciiTheme="minorAscii" w:hAnsiTheme="minorAscii"/>
          <w:kern w:val="3"/>
          <w:sz w:val="20"/>
          <w:szCs w:val="20"/>
          <w:lang w:val="en-US" w:eastAsia="zh-CN" w:bidi="ar-SA"/>
        </w:rPr>
        <w:t>). According to the European Water Framework Directive (WFD, 2000), water temperature should not deviate significantly from natural conditions to avoid stress on ecosystems.</w:t>
      </w:r>
    </w:p>
    <w:p w14:paraId="6F9FBF56">
      <w:pPr>
        <w:widowControl w:val="0"/>
        <w:suppressAutoHyphens/>
        <w:autoSpaceDN w:val="0"/>
        <w:spacing w:line="240" w:lineRule="auto"/>
        <w:jc w:val="left"/>
        <w:rPr>
          <w:rFonts w:hint="default" w:eastAsia="宋体" w:cs="Arial" w:asciiTheme="minorAscii" w:hAnsiTheme="minorAscii"/>
          <w:kern w:val="3"/>
          <w:sz w:val="20"/>
          <w:szCs w:val="20"/>
          <w:lang w:val="en-US" w:eastAsia="zh-CN" w:bidi="ar-SA"/>
        </w:rPr>
      </w:pPr>
    </w:p>
    <w:p w14:paraId="5969D3F3">
      <w:pPr>
        <w:widowControl w:val="0"/>
        <w:suppressAutoHyphens/>
        <w:autoSpaceDN w:val="0"/>
        <w:spacing w:line="240" w:lineRule="auto"/>
        <w:jc w:val="left"/>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Implications: The analysis indicates that while general water quality parameters like temperature show uniform trends across the river, specific indicators such as dissolved oxygen saturation exhibit variations due to potential influences from MINEWATER discharges. These findings underscore the importance of monitoring industrial impacts on river ecosystems and maintaining critical ecological balances.</w:t>
      </w:r>
    </w:p>
    <w:p w14:paraId="545EDF3F">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p>
    <w:p w14:paraId="06B13CFC">
      <w:pPr>
        <w:widowControl w:val="0"/>
        <w:suppressAutoHyphens/>
        <w:autoSpaceDN w:val="0"/>
        <w:spacing w:line="240" w:lineRule="auto"/>
        <w:jc w:val="center"/>
        <w:rPr>
          <w:rFonts w:hint="default" w:eastAsia="黑体" w:cs="Arial" w:asciiTheme="minorAscii" w:hAnsiTheme="minorAscii"/>
          <w:kern w:val="3"/>
          <w:sz w:val="20"/>
          <w:szCs w:val="20"/>
          <w:lang w:val="en-US" w:eastAsia="zh-CN" w:bidi="ar-SA"/>
        </w:rPr>
      </w:pPr>
      <w:r>
        <w:rPr>
          <w:rFonts w:hint="default" w:eastAsia="黑体" w:cs="Arial" w:asciiTheme="minorAscii" w:hAnsiTheme="minorAscii"/>
          <w:kern w:val="3"/>
          <w:sz w:val="20"/>
          <w:szCs w:val="20"/>
          <w:lang w:val="en-US" w:eastAsia="zh-CN" w:bidi="ar-SA"/>
        </w:rPr>
        <w:drawing>
          <wp:inline distT="0" distB="0" distL="0" distR="0">
            <wp:extent cx="5190490" cy="3485515"/>
            <wp:effectExtent l="0" t="0" r="3810" b="6985"/>
            <wp:docPr id="1923521751" name="图片 24"/>
            <wp:cNvGraphicFramePr/>
            <a:graphic xmlns:a="http://schemas.openxmlformats.org/drawingml/2006/main">
              <a:graphicData uri="http://schemas.openxmlformats.org/drawingml/2006/picture">
                <pic:pic xmlns:pic="http://schemas.openxmlformats.org/drawingml/2006/picture">
                  <pic:nvPicPr>
                    <pic:cNvPr id="1923521751" name="图片 24"/>
                    <pic:cNvPicPr/>
                  </pic:nvPicPr>
                  <pic:blipFill>
                    <a:blip r:embed="rId8"/>
                    <a:stretch>
                      <a:fillRect/>
                    </a:stretch>
                  </pic:blipFill>
                  <pic:spPr>
                    <a:xfrm>
                      <a:off x="0" y="0"/>
                      <a:ext cx="5191121" cy="3485519"/>
                    </a:xfrm>
                    <a:prstGeom prst="rect">
                      <a:avLst/>
                    </a:prstGeom>
                    <a:noFill/>
                    <a:ln>
                      <a:noFill/>
                      <a:prstDash val="solid"/>
                    </a:ln>
                  </pic:spPr>
                </pic:pic>
              </a:graphicData>
            </a:graphic>
          </wp:inline>
        </w:drawing>
      </w:r>
    </w:p>
    <w:p w14:paraId="622DAA76">
      <w:pPr>
        <w:widowControl w:val="0"/>
        <w:suppressAutoHyphens/>
        <w:autoSpaceDN w:val="0"/>
        <w:spacing w:line="240" w:lineRule="auto"/>
        <w:jc w:val="center"/>
        <w:rPr>
          <w:rFonts w:hint="default" w:eastAsia="黑体" w:cs="Arial" w:asciiTheme="minorAscii" w:hAnsiTheme="minorAscii"/>
          <w:kern w:val="3"/>
          <w:sz w:val="20"/>
          <w:szCs w:val="20"/>
          <w:lang w:val="en-US" w:eastAsia="zh-CN" w:bidi="ar-SA"/>
        </w:rPr>
      </w:pPr>
      <w:r>
        <w:rPr>
          <w:rFonts w:hint="default" w:eastAsia="黑体" w:cs="Arial" w:asciiTheme="minorAscii" w:hAnsiTheme="minorAscii"/>
          <w:kern w:val="3"/>
          <w:sz w:val="20"/>
          <w:szCs w:val="20"/>
          <w:lang w:val="en-US" w:eastAsia="zh-CN" w:bidi="ar-SA"/>
        </w:rPr>
        <w:t xml:space="preserve">Figure </w:t>
      </w:r>
      <w:r>
        <w:rPr>
          <w:rFonts w:hint="default" w:eastAsia="黑体" w:cs="Arial" w:asciiTheme="minorAscii" w:hAnsiTheme="minorAscii"/>
          <w:kern w:val="3"/>
          <w:sz w:val="20"/>
          <w:szCs w:val="20"/>
          <w:lang w:val="en-US" w:eastAsia="zh-CN" w:bidi="ar-SA"/>
        </w:rPr>
        <w:t>3</w:t>
      </w:r>
      <w:r>
        <w:rPr>
          <w:rFonts w:hint="default" w:eastAsia="黑体" w:cs="Arial" w:asciiTheme="minorAscii" w:hAnsiTheme="minorAscii"/>
          <w:kern w:val="3"/>
          <w:sz w:val="20"/>
          <w:szCs w:val="20"/>
          <w:lang w:val="en-US" w:eastAsia="zh-CN" w:bidi="ar-SA"/>
        </w:rPr>
        <w:t>: Monthly Average of Oxygen, Dissolved, % Saturation from 2022 to 2023</w:t>
      </w:r>
    </w:p>
    <w:p w14:paraId="13D7CED0">
      <w:pPr>
        <w:widowControl w:val="0"/>
        <w:suppressAutoHyphens/>
        <w:autoSpaceDN w:val="0"/>
        <w:spacing w:line="240" w:lineRule="auto"/>
        <w:jc w:val="center"/>
        <w:rPr>
          <w:rFonts w:hint="default" w:eastAsia="宋体" w:cs="Arial" w:asciiTheme="minorAscii" w:hAnsiTheme="minorAscii"/>
          <w:kern w:val="3"/>
          <w:sz w:val="20"/>
          <w:szCs w:val="20"/>
          <w:lang w:val="en-US" w:eastAsia="zh-CN" w:bidi="ar-SA"/>
        </w:rPr>
      </w:pPr>
    </w:p>
    <w:p w14:paraId="04810257">
      <w:pPr>
        <w:widowControl w:val="0"/>
        <w:suppressAutoHyphens/>
        <w:autoSpaceDN w:val="0"/>
        <w:spacing w:line="240" w:lineRule="auto"/>
        <w:jc w:val="center"/>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drawing>
          <wp:inline distT="0" distB="0" distL="0" distR="0">
            <wp:extent cx="5135880" cy="3376930"/>
            <wp:effectExtent l="0" t="0" r="7620" b="1270"/>
            <wp:docPr id="107563602" name="图片 25"/>
            <wp:cNvGraphicFramePr/>
            <a:graphic xmlns:a="http://schemas.openxmlformats.org/drawingml/2006/main">
              <a:graphicData uri="http://schemas.openxmlformats.org/drawingml/2006/picture">
                <pic:pic xmlns:pic="http://schemas.openxmlformats.org/drawingml/2006/picture">
                  <pic:nvPicPr>
                    <pic:cNvPr id="107563602" name="图片 25"/>
                    <pic:cNvPicPr/>
                  </pic:nvPicPr>
                  <pic:blipFill>
                    <a:blip r:embed="rId9"/>
                    <a:stretch>
                      <a:fillRect/>
                    </a:stretch>
                  </pic:blipFill>
                  <pic:spPr>
                    <a:xfrm>
                      <a:off x="0" y="0"/>
                      <a:ext cx="5135883" cy="3376934"/>
                    </a:xfrm>
                    <a:prstGeom prst="rect">
                      <a:avLst/>
                    </a:prstGeom>
                    <a:noFill/>
                    <a:ln>
                      <a:noFill/>
                      <a:prstDash val="solid"/>
                    </a:ln>
                  </pic:spPr>
                </pic:pic>
              </a:graphicData>
            </a:graphic>
          </wp:inline>
        </w:drawing>
      </w:r>
    </w:p>
    <w:p w14:paraId="76BD4885">
      <w:pPr>
        <w:widowControl w:val="0"/>
        <w:suppressAutoHyphens/>
        <w:autoSpaceDN w:val="0"/>
        <w:spacing w:line="240" w:lineRule="auto"/>
        <w:jc w:val="center"/>
        <w:rPr>
          <w:rFonts w:hint="default" w:eastAsia="黑体" w:cs="Arial" w:asciiTheme="minorAscii" w:hAnsiTheme="minorAscii"/>
          <w:kern w:val="3"/>
          <w:sz w:val="20"/>
          <w:szCs w:val="20"/>
          <w:lang w:val="en-US" w:eastAsia="zh-CN" w:bidi="ar-SA"/>
        </w:rPr>
      </w:pPr>
      <w:r>
        <w:rPr>
          <w:rFonts w:hint="default" w:eastAsia="黑体" w:cs="Arial" w:asciiTheme="minorAscii" w:hAnsiTheme="minorAscii"/>
          <w:kern w:val="3"/>
          <w:sz w:val="20"/>
          <w:szCs w:val="20"/>
          <w:lang w:val="en-US" w:eastAsia="zh-CN" w:bidi="ar-SA"/>
        </w:rPr>
        <w:t xml:space="preserve">Figure </w:t>
      </w:r>
      <w:r>
        <w:rPr>
          <w:rFonts w:hint="default" w:eastAsia="黑体" w:cs="Arial" w:asciiTheme="minorAscii" w:hAnsiTheme="minorAscii"/>
          <w:kern w:val="3"/>
          <w:sz w:val="20"/>
          <w:szCs w:val="20"/>
          <w:lang w:val="en-US" w:eastAsia="zh-CN" w:bidi="ar-SA"/>
        </w:rPr>
        <w:t>4</w:t>
      </w:r>
      <w:r>
        <w:rPr>
          <w:rFonts w:hint="default" w:eastAsia="黑体" w:cs="Arial" w:asciiTheme="minorAscii" w:hAnsiTheme="minorAscii"/>
          <w:kern w:val="3"/>
          <w:sz w:val="20"/>
          <w:szCs w:val="20"/>
          <w:lang w:val="en-US" w:eastAsia="zh-CN" w:bidi="ar-SA"/>
        </w:rPr>
        <w:t>: Monthly Average of Temperature from 2022 to 2023</w:t>
      </w:r>
    </w:p>
    <w:p w14:paraId="368A9B3B">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p>
    <w:p w14:paraId="65F78388">
      <w:pPr>
        <w:widowControl w:val="0"/>
        <w:suppressAutoHyphens/>
        <w:autoSpaceDN w:val="0"/>
        <w:spacing w:line="240" w:lineRule="auto"/>
        <w:jc w:val="both"/>
        <w:rPr>
          <w:rFonts w:hint="default" w:eastAsia="宋体" w:cs="Arial" w:asciiTheme="minorAscii" w:hAnsiTheme="minorAscii"/>
          <w:b/>
          <w:bCs/>
          <w:kern w:val="3"/>
          <w:sz w:val="20"/>
          <w:szCs w:val="20"/>
          <w:lang w:val="en-US" w:eastAsia="zh-CN" w:bidi="ar-SA"/>
        </w:rPr>
      </w:pPr>
      <w:r>
        <w:rPr>
          <w:rFonts w:hint="default" w:eastAsia="宋体" w:cs="Arial" w:asciiTheme="minorAscii" w:hAnsiTheme="minorAscii"/>
          <w:b/>
          <w:bCs/>
          <w:kern w:val="3"/>
          <w:sz w:val="20"/>
          <w:szCs w:val="20"/>
          <w:lang w:val="en-US" w:eastAsia="zh-CN" w:bidi="ar-SA"/>
        </w:rPr>
        <w:t>Sodium, Dissolved (mg/L):</w:t>
      </w:r>
    </w:p>
    <w:p w14:paraId="6EBEBE93">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Sodium concentration in drinking water is typically regulated according to the UK Drinking Water Quality Standards, which generally set the maximum permissible limit at 200 mg/L (UK Drinking Water Inspectorate, 2020). However, for water bodies used in ecological monitoring, sodium concentration standards may be more lenient.</w:t>
      </w:r>
    </w:p>
    <w:p w14:paraId="1D234585">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p>
    <w:p w14:paraId="51EE17B0">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 xml:space="preserve">Observations Across Stations: Sodium levels at the MINEWATER station were consistently higher compared to both its upstream and downstream stations. Notably, the upstream station exhibited the same variation trends as the MINEWATER station, suggesting possible influences from mining activities (see Figure </w:t>
      </w:r>
      <w:r>
        <w:rPr>
          <w:rFonts w:hint="default" w:cs="Arial" w:asciiTheme="minorAscii" w:hAnsiTheme="minorAscii"/>
          <w:kern w:val="3"/>
          <w:sz w:val="20"/>
          <w:szCs w:val="20"/>
          <w:lang w:val="en-US" w:eastAsia="zh-CN" w:bidi="ar-SA"/>
        </w:rPr>
        <w:t>5</w:t>
      </w:r>
      <w:r>
        <w:rPr>
          <w:rFonts w:hint="default" w:eastAsia="宋体" w:cs="Arial" w:asciiTheme="minorAscii" w:hAnsiTheme="minorAscii"/>
          <w:kern w:val="3"/>
          <w:sz w:val="20"/>
          <w:szCs w:val="20"/>
          <w:lang w:val="en-US" w:eastAsia="zh-CN" w:bidi="ar-SA"/>
        </w:rPr>
        <w:t xml:space="preserve"> &amp;</w:t>
      </w:r>
      <w:r>
        <w:rPr>
          <w:rFonts w:hint="default" w:cs="Arial" w:asciiTheme="minorAscii" w:hAnsiTheme="minorAscii"/>
          <w:kern w:val="3"/>
          <w:sz w:val="20"/>
          <w:szCs w:val="20"/>
          <w:lang w:val="en-US" w:eastAsia="zh-CN" w:bidi="ar-SA"/>
        </w:rPr>
        <w:t xml:space="preserve"> 6</w:t>
      </w:r>
      <w:r>
        <w:rPr>
          <w:rFonts w:hint="default" w:eastAsia="宋体" w:cs="Arial" w:asciiTheme="minorAscii" w:hAnsiTheme="minorAscii"/>
          <w:kern w:val="3"/>
          <w:sz w:val="20"/>
          <w:szCs w:val="20"/>
          <w:lang w:val="en-US" w:eastAsia="zh-CN" w:bidi="ar-SA"/>
        </w:rPr>
        <w:t>).</w:t>
      </w:r>
    </w:p>
    <w:p w14:paraId="0BEBCEDE">
      <w:pPr>
        <w:widowControl w:val="0"/>
        <w:suppressAutoHyphens/>
        <w:autoSpaceDN w:val="0"/>
        <w:spacing w:line="240" w:lineRule="auto"/>
        <w:jc w:val="center"/>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drawing>
          <wp:inline distT="0" distB="0" distL="0" distR="0">
            <wp:extent cx="4651375" cy="3068320"/>
            <wp:effectExtent l="0" t="0" r="9525" b="5080"/>
            <wp:docPr id="1379245869" name="图片 26"/>
            <wp:cNvGraphicFramePr/>
            <a:graphic xmlns:a="http://schemas.openxmlformats.org/drawingml/2006/main">
              <a:graphicData uri="http://schemas.openxmlformats.org/drawingml/2006/picture">
                <pic:pic xmlns:pic="http://schemas.openxmlformats.org/drawingml/2006/picture">
                  <pic:nvPicPr>
                    <pic:cNvPr id="1379245869" name="图片 26"/>
                    <pic:cNvPicPr/>
                  </pic:nvPicPr>
                  <pic:blipFill>
                    <a:blip r:embed="rId10"/>
                    <a:stretch>
                      <a:fillRect/>
                    </a:stretch>
                  </pic:blipFill>
                  <pic:spPr>
                    <a:xfrm>
                      <a:off x="0" y="0"/>
                      <a:ext cx="4651379" cy="3068954"/>
                    </a:xfrm>
                    <a:prstGeom prst="rect">
                      <a:avLst/>
                    </a:prstGeom>
                    <a:noFill/>
                    <a:ln>
                      <a:noFill/>
                      <a:prstDash val="solid"/>
                    </a:ln>
                  </pic:spPr>
                </pic:pic>
              </a:graphicData>
            </a:graphic>
          </wp:inline>
        </w:drawing>
      </w:r>
    </w:p>
    <w:p w14:paraId="63B5C001">
      <w:pPr>
        <w:widowControl w:val="0"/>
        <w:suppressAutoHyphens/>
        <w:autoSpaceDN w:val="0"/>
        <w:spacing w:line="240" w:lineRule="auto"/>
        <w:jc w:val="center"/>
        <w:rPr>
          <w:rFonts w:hint="default" w:eastAsia="黑体" w:cs="Arial" w:asciiTheme="minorAscii" w:hAnsiTheme="minorAscii"/>
          <w:kern w:val="3"/>
          <w:sz w:val="20"/>
          <w:szCs w:val="20"/>
          <w:lang w:val="en-US" w:eastAsia="zh-CN" w:bidi="ar-SA"/>
        </w:rPr>
      </w:pPr>
      <w:r>
        <w:rPr>
          <w:rFonts w:hint="default" w:eastAsia="黑体" w:cs="Arial" w:asciiTheme="minorAscii" w:hAnsiTheme="minorAscii"/>
          <w:kern w:val="3"/>
          <w:sz w:val="20"/>
          <w:szCs w:val="20"/>
          <w:lang w:val="en-US" w:eastAsia="zh-CN" w:bidi="ar-SA"/>
        </w:rPr>
        <w:t xml:space="preserve">Figure </w:t>
      </w:r>
      <w:r>
        <w:rPr>
          <w:rFonts w:hint="default" w:eastAsia="黑体" w:cs="Arial" w:asciiTheme="minorAscii" w:hAnsiTheme="minorAscii"/>
          <w:kern w:val="3"/>
          <w:sz w:val="20"/>
          <w:szCs w:val="20"/>
          <w:lang w:val="en-US" w:eastAsia="zh-CN" w:bidi="ar-SA"/>
        </w:rPr>
        <w:t>5</w:t>
      </w:r>
      <w:r>
        <w:rPr>
          <w:rFonts w:hint="default" w:eastAsia="黑体" w:cs="Arial" w:asciiTheme="minorAscii" w:hAnsiTheme="minorAscii"/>
          <w:kern w:val="3"/>
          <w:sz w:val="20"/>
          <w:szCs w:val="20"/>
          <w:lang w:val="en-US" w:eastAsia="zh-CN" w:bidi="ar-SA"/>
        </w:rPr>
        <w:t>: Monthly Average of Sodium, Dissolved from 2011 to 2016 (mg/l)</w:t>
      </w:r>
    </w:p>
    <w:p w14:paraId="147B94E9">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p>
    <w:p w14:paraId="7FF37C6D">
      <w:pPr>
        <w:widowControl w:val="0"/>
        <w:suppressAutoHyphens/>
        <w:autoSpaceDN w:val="0"/>
        <w:spacing w:line="240" w:lineRule="auto"/>
        <w:jc w:val="center"/>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drawing>
          <wp:inline distT="0" distB="0" distL="0" distR="0">
            <wp:extent cx="4545965" cy="2960370"/>
            <wp:effectExtent l="0" t="0" r="635" b="11430"/>
            <wp:docPr id="1445356762" name="图片 27"/>
            <wp:cNvGraphicFramePr/>
            <a:graphic xmlns:a="http://schemas.openxmlformats.org/drawingml/2006/main">
              <a:graphicData uri="http://schemas.openxmlformats.org/drawingml/2006/picture">
                <pic:pic xmlns:pic="http://schemas.openxmlformats.org/drawingml/2006/picture">
                  <pic:nvPicPr>
                    <pic:cNvPr id="1445356762" name="图片 27"/>
                    <pic:cNvPicPr/>
                  </pic:nvPicPr>
                  <pic:blipFill>
                    <a:blip r:embed="rId11"/>
                    <a:stretch>
                      <a:fillRect/>
                    </a:stretch>
                  </pic:blipFill>
                  <pic:spPr>
                    <a:xfrm>
                      <a:off x="0" y="0"/>
                      <a:ext cx="4546597" cy="2960370"/>
                    </a:xfrm>
                    <a:prstGeom prst="rect">
                      <a:avLst/>
                    </a:prstGeom>
                    <a:noFill/>
                    <a:ln>
                      <a:noFill/>
                      <a:prstDash val="solid"/>
                    </a:ln>
                  </pic:spPr>
                </pic:pic>
              </a:graphicData>
            </a:graphic>
          </wp:inline>
        </w:drawing>
      </w:r>
    </w:p>
    <w:p w14:paraId="5574B0CA">
      <w:pPr>
        <w:widowControl w:val="0"/>
        <w:suppressAutoHyphens/>
        <w:autoSpaceDN w:val="0"/>
        <w:spacing w:line="240" w:lineRule="auto"/>
        <w:jc w:val="center"/>
        <w:rPr>
          <w:rFonts w:hint="default" w:eastAsia="黑体" w:cs="Arial" w:asciiTheme="minorAscii" w:hAnsiTheme="minorAscii"/>
          <w:kern w:val="3"/>
          <w:sz w:val="20"/>
          <w:szCs w:val="20"/>
          <w:lang w:val="en-US" w:eastAsia="zh-CN" w:bidi="ar-SA"/>
        </w:rPr>
      </w:pPr>
      <w:r>
        <w:rPr>
          <w:rFonts w:hint="default" w:eastAsia="黑体" w:cs="Arial" w:asciiTheme="minorAscii" w:hAnsiTheme="minorAscii"/>
          <w:kern w:val="3"/>
          <w:sz w:val="20"/>
          <w:szCs w:val="20"/>
          <w:lang w:val="en-US" w:eastAsia="zh-CN" w:bidi="ar-SA"/>
        </w:rPr>
        <w:t xml:space="preserve">Figure </w:t>
      </w:r>
      <w:r>
        <w:rPr>
          <w:rFonts w:hint="default" w:eastAsia="黑体" w:cs="Arial" w:asciiTheme="minorAscii" w:hAnsiTheme="minorAscii"/>
          <w:kern w:val="3"/>
          <w:sz w:val="20"/>
          <w:szCs w:val="20"/>
          <w:lang w:val="en-US" w:eastAsia="zh-CN" w:bidi="ar-SA"/>
        </w:rPr>
        <w:t>6</w:t>
      </w:r>
      <w:r>
        <w:rPr>
          <w:rFonts w:hint="default" w:eastAsia="黑体" w:cs="Arial" w:asciiTheme="minorAscii" w:hAnsiTheme="minorAscii"/>
          <w:kern w:val="3"/>
          <w:sz w:val="20"/>
          <w:szCs w:val="20"/>
          <w:lang w:val="en-US" w:eastAsia="zh-CN" w:bidi="ar-SA"/>
        </w:rPr>
        <w:t>: Monthly Average of Sodium from 2000 to 2023 (mg/l)</w:t>
      </w:r>
    </w:p>
    <w:p w14:paraId="142B436E">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p>
    <w:p w14:paraId="6912E108">
      <w:pPr>
        <w:widowControl w:val="0"/>
        <w:suppressAutoHyphens/>
        <w:autoSpaceDN w:val="0"/>
        <w:spacing w:line="240" w:lineRule="auto"/>
        <w:jc w:val="both"/>
        <w:rPr>
          <w:rFonts w:hint="default" w:eastAsia="宋体" w:cs="Arial" w:asciiTheme="minorAscii" w:hAnsiTheme="minorAscii"/>
          <w:b/>
          <w:bCs/>
          <w:kern w:val="3"/>
          <w:sz w:val="20"/>
          <w:szCs w:val="20"/>
          <w:lang w:val="en-US" w:eastAsia="zh-CN" w:bidi="ar-SA"/>
        </w:rPr>
      </w:pPr>
      <w:bookmarkStart w:id="3" w:name="OLE_LINK15"/>
      <w:r>
        <w:rPr>
          <w:rFonts w:hint="default" w:eastAsia="宋体" w:cs="Arial" w:asciiTheme="minorAscii" w:hAnsiTheme="minorAscii"/>
          <w:b/>
          <w:bCs/>
          <w:kern w:val="3"/>
          <w:sz w:val="20"/>
          <w:szCs w:val="20"/>
          <w:lang w:val="en-US" w:eastAsia="zh-CN" w:bidi="ar-SA"/>
        </w:rPr>
        <w:t>pH: In Situ:</w:t>
      </w:r>
    </w:p>
    <w:p w14:paraId="146CE481">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 xml:space="preserve">On-site pH measurements at the MINEWATER station consistently exhibited weaker alkalinity compared to other stations along the Neath River (Figure </w:t>
      </w:r>
      <w:r>
        <w:rPr>
          <w:rFonts w:hint="default" w:cs="Arial" w:asciiTheme="minorAscii" w:hAnsiTheme="minorAscii"/>
          <w:kern w:val="3"/>
          <w:sz w:val="20"/>
          <w:szCs w:val="20"/>
          <w:lang w:val="en-US" w:eastAsia="zh-CN" w:bidi="ar-SA"/>
        </w:rPr>
        <w:t>7</w:t>
      </w:r>
      <w:r>
        <w:rPr>
          <w:rFonts w:hint="default" w:eastAsia="宋体" w:cs="Arial" w:asciiTheme="minorAscii" w:hAnsiTheme="minorAscii"/>
          <w:kern w:val="3"/>
          <w:sz w:val="20"/>
          <w:szCs w:val="20"/>
          <w:lang w:val="en-US" w:eastAsia="zh-CN" w:bidi="ar-SA"/>
        </w:rPr>
        <w:t>). Specifically, the upstream station showed the strongest alkalinity, with pH values fluctuating between 8.1 and 8.75. In contrast, the midstream station's pH ranged between 7.5 and 8.5, reflecting slightly more varied conditions. These observations suggest differential impacts on water chemistry potentially related to varying environmental and anthropogenic influences along the river.</w:t>
      </w:r>
    </w:p>
    <w:bookmarkEnd w:id="3"/>
    <w:p w14:paraId="29521AAA">
      <w:pPr>
        <w:widowControl w:val="0"/>
        <w:suppressAutoHyphens/>
        <w:autoSpaceDN w:val="0"/>
        <w:spacing w:line="240" w:lineRule="auto"/>
        <w:jc w:val="center"/>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drawing>
          <wp:inline distT="0" distB="0" distL="0" distR="0">
            <wp:extent cx="3974465" cy="2593975"/>
            <wp:effectExtent l="0" t="0" r="635" b="9525"/>
            <wp:docPr id="605257289" name="图片 28"/>
            <wp:cNvGraphicFramePr/>
            <a:graphic xmlns:a="http://schemas.openxmlformats.org/drawingml/2006/main">
              <a:graphicData uri="http://schemas.openxmlformats.org/drawingml/2006/picture">
                <pic:pic xmlns:pic="http://schemas.openxmlformats.org/drawingml/2006/picture">
                  <pic:nvPicPr>
                    <pic:cNvPr id="605257289" name="图片 28"/>
                    <pic:cNvPicPr/>
                  </pic:nvPicPr>
                  <pic:blipFill>
                    <a:blip r:embed="rId12"/>
                    <a:stretch>
                      <a:fillRect/>
                    </a:stretch>
                  </pic:blipFill>
                  <pic:spPr>
                    <a:xfrm>
                      <a:off x="0" y="0"/>
                      <a:ext cx="3974467" cy="2593979"/>
                    </a:xfrm>
                    <a:prstGeom prst="rect">
                      <a:avLst/>
                    </a:prstGeom>
                    <a:noFill/>
                    <a:ln>
                      <a:noFill/>
                      <a:prstDash val="solid"/>
                    </a:ln>
                  </pic:spPr>
                </pic:pic>
              </a:graphicData>
            </a:graphic>
          </wp:inline>
        </w:drawing>
      </w:r>
    </w:p>
    <w:p w14:paraId="7506D1B1">
      <w:pPr>
        <w:widowControl w:val="0"/>
        <w:suppressAutoHyphens/>
        <w:autoSpaceDN w:val="0"/>
        <w:spacing w:line="240" w:lineRule="auto"/>
        <w:jc w:val="center"/>
        <w:rPr>
          <w:rFonts w:hint="default" w:eastAsia="黑体" w:cs="Arial" w:asciiTheme="minorAscii" w:hAnsiTheme="minorAscii"/>
          <w:kern w:val="3"/>
          <w:sz w:val="20"/>
          <w:szCs w:val="20"/>
          <w:lang w:val="en-US" w:eastAsia="zh-CN" w:bidi="ar-SA"/>
        </w:rPr>
      </w:pPr>
      <w:r>
        <w:rPr>
          <w:rFonts w:hint="default" w:eastAsia="黑体" w:cs="Arial" w:asciiTheme="minorAscii" w:hAnsiTheme="minorAscii"/>
          <w:kern w:val="3"/>
          <w:sz w:val="20"/>
          <w:szCs w:val="20"/>
          <w:lang w:val="en-US" w:eastAsia="zh-CN" w:bidi="ar-SA"/>
        </w:rPr>
        <w:t>Figure</w:t>
      </w:r>
      <w:r>
        <w:rPr>
          <w:rFonts w:hint="default" w:eastAsia="黑体" w:cs="Arial" w:asciiTheme="minorAscii" w:hAnsiTheme="minorAscii"/>
          <w:kern w:val="3"/>
          <w:sz w:val="20"/>
          <w:szCs w:val="20"/>
          <w:lang w:val="en-US" w:eastAsia="zh-CN" w:bidi="ar-SA"/>
        </w:rPr>
        <w:t xml:space="preserve"> 7</w:t>
      </w:r>
      <w:r>
        <w:rPr>
          <w:rFonts w:hint="default" w:eastAsia="黑体" w:cs="Arial" w:asciiTheme="minorAscii" w:hAnsiTheme="minorAscii"/>
          <w:kern w:val="3"/>
          <w:sz w:val="20"/>
          <w:szCs w:val="20"/>
          <w:lang w:val="en-US" w:eastAsia="zh-CN" w:bidi="ar-SA"/>
        </w:rPr>
        <w:t xml:space="preserve">: Monthly Average of pH: In Situ from 2000 to 2023  </w:t>
      </w:r>
    </w:p>
    <w:p w14:paraId="305D5CDA">
      <w:pPr>
        <w:widowControl w:val="0"/>
        <w:suppressAutoHyphens/>
        <w:autoSpaceDN w:val="0"/>
        <w:spacing w:line="240" w:lineRule="auto"/>
        <w:jc w:val="left"/>
        <w:rPr>
          <w:rFonts w:hint="default" w:eastAsia="宋体" w:cs="Arial" w:asciiTheme="minorAscii" w:hAnsiTheme="minorAscii"/>
          <w:b/>
          <w:bCs/>
          <w:kern w:val="3"/>
          <w:sz w:val="20"/>
          <w:szCs w:val="20"/>
          <w:lang w:val="en-US" w:eastAsia="zh-CN" w:bidi="ar-SA"/>
        </w:rPr>
      </w:pPr>
      <w:r>
        <w:rPr>
          <w:rFonts w:hint="default" w:eastAsia="宋体" w:cs="Arial" w:asciiTheme="minorAscii" w:hAnsiTheme="minorAscii"/>
          <w:b/>
          <w:bCs/>
          <w:kern w:val="3"/>
          <w:sz w:val="20"/>
          <w:szCs w:val="20"/>
          <w:lang w:val="en-US" w:eastAsia="zh-CN" w:bidi="ar-SA"/>
        </w:rPr>
        <w:t xml:space="preserve">pH: </w:t>
      </w:r>
    </w:p>
    <w:p w14:paraId="334224E4">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 xml:space="preserve">The pH fluctuations at the MINEWATER station appear to influence the downstream midstream station-S10004 (Figure </w:t>
      </w:r>
      <w:r>
        <w:rPr>
          <w:rFonts w:hint="default" w:cs="Arial" w:asciiTheme="minorAscii" w:hAnsiTheme="minorAscii"/>
          <w:kern w:val="3"/>
          <w:sz w:val="20"/>
          <w:szCs w:val="20"/>
          <w:lang w:val="en-US" w:eastAsia="zh-CN" w:bidi="ar-SA"/>
        </w:rPr>
        <w:t>8</w:t>
      </w:r>
      <w:r>
        <w:rPr>
          <w:rFonts w:hint="default" w:eastAsia="宋体" w:cs="Arial" w:asciiTheme="minorAscii" w:hAnsiTheme="minorAscii"/>
          <w:kern w:val="3"/>
          <w:sz w:val="20"/>
          <w:szCs w:val="20"/>
          <w:lang w:val="en-US" w:eastAsia="zh-CN" w:bidi="ar-SA"/>
        </w:rPr>
        <w:t xml:space="preserve"> &amp; </w:t>
      </w:r>
      <w:r>
        <w:rPr>
          <w:rFonts w:hint="default" w:cs="Arial" w:asciiTheme="minorAscii" w:hAnsiTheme="minorAscii"/>
          <w:kern w:val="3"/>
          <w:sz w:val="20"/>
          <w:szCs w:val="20"/>
          <w:lang w:val="en-US" w:eastAsia="zh-CN" w:bidi="ar-SA"/>
        </w:rPr>
        <w:t>9</w:t>
      </w:r>
      <w:r>
        <w:rPr>
          <w:rFonts w:hint="default" w:eastAsia="宋体" w:cs="Arial" w:asciiTheme="minorAscii" w:hAnsiTheme="minorAscii"/>
          <w:kern w:val="3"/>
          <w:sz w:val="20"/>
          <w:szCs w:val="20"/>
          <w:lang w:val="en-US" w:eastAsia="zh-CN" w:bidi="ar-SA"/>
        </w:rPr>
        <w:t>), with both sites exhibiting similar trends in their pH changes. It is notable that the alkalinity at the MINEWATER station is weaker compared to other stations along the river. This correlation suggests that discharges or runoff from the MINEWATER site may have a discernible impact on the water chemistry at subsequent downstream locations, highlighting the interconnectedness of riverine systems and the potential for upstream activities to affect downstream water quality.</w:t>
      </w:r>
    </w:p>
    <w:p w14:paraId="7B9E3017">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p>
    <w:p w14:paraId="6F83D238">
      <w:pPr>
        <w:widowControl w:val="0"/>
        <w:suppressAutoHyphens/>
        <w:autoSpaceDN w:val="0"/>
        <w:spacing w:line="240" w:lineRule="auto"/>
        <w:jc w:val="both"/>
        <w:rPr>
          <w:rFonts w:hint="default" w:eastAsia="宋体" w:cs="Arial" w:asciiTheme="minorAscii" w:hAnsiTheme="minorAscii"/>
          <w:b/>
          <w:bCs/>
          <w:kern w:val="3"/>
          <w:sz w:val="20"/>
          <w:szCs w:val="20"/>
          <w:lang w:val="en-US" w:eastAsia="zh-CN" w:bidi="ar-SA"/>
        </w:rPr>
      </w:pPr>
      <w:r>
        <w:rPr>
          <w:rFonts w:hint="default" w:eastAsia="宋体" w:cs="Arial" w:asciiTheme="minorAscii" w:hAnsiTheme="minorAscii"/>
          <w:b/>
          <w:bCs/>
          <w:kern w:val="3"/>
          <w:sz w:val="20"/>
          <w:szCs w:val="20"/>
          <w:lang w:val="en-US" w:eastAsia="zh-CN" w:bidi="ar-SA"/>
        </w:rPr>
        <w:t xml:space="preserve">Sulphate as SO4 (mg/L): </w:t>
      </w:r>
    </w:p>
    <w:p w14:paraId="03010320">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 xml:space="preserve">In the context of river ecosystems in the UK, sulphate concentrations typically do not have a strict upper limit unless there is specific pollution linked to activities such as mining or industrial discharges. The Environment Agency considers sulphate levels below 400 mg/L to generally be within acceptable ranges for maintaining river health (UK Environment Agency, 2015). In the case of the Neath River, all stations reported sulphate levels below 200 mg/L (Figure </w:t>
      </w:r>
      <w:r>
        <w:rPr>
          <w:rFonts w:hint="default" w:cs="Arial" w:asciiTheme="minorAscii" w:hAnsiTheme="minorAscii"/>
          <w:kern w:val="3"/>
          <w:sz w:val="20"/>
          <w:szCs w:val="20"/>
          <w:lang w:val="en-US" w:eastAsia="zh-CN" w:bidi="ar-SA"/>
        </w:rPr>
        <w:t>10</w:t>
      </w:r>
      <w:r>
        <w:rPr>
          <w:rFonts w:hint="default" w:eastAsia="宋体" w:cs="Arial" w:asciiTheme="minorAscii" w:hAnsiTheme="minorAscii"/>
          <w:kern w:val="3"/>
          <w:sz w:val="20"/>
          <w:szCs w:val="20"/>
          <w:lang w:val="en-US" w:eastAsia="zh-CN" w:bidi="ar-SA"/>
        </w:rPr>
        <w:t>), well within the safe range for both aquatic life and general water quality standards(Water Framework Directive, 2000).</w:t>
      </w:r>
    </w:p>
    <w:p w14:paraId="0A50D1CB">
      <w:pPr>
        <w:widowControl w:val="0"/>
        <w:suppressAutoHyphens/>
        <w:autoSpaceDN w:val="0"/>
        <w:spacing w:line="240" w:lineRule="auto"/>
        <w:jc w:val="center"/>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drawing>
          <wp:inline distT="0" distB="0" distL="0" distR="0">
            <wp:extent cx="5148580" cy="3387090"/>
            <wp:effectExtent l="0" t="0" r="7620" b="3810"/>
            <wp:docPr id="1228445799" name="图片 30"/>
            <wp:cNvGraphicFramePr/>
            <a:graphic xmlns:a="http://schemas.openxmlformats.org/drawingml/2006/main">
              <a:graphicData uri="http://schemas.openxmlformats.org/drawingml/2006/picture">
                <pic:pic xmlns:pic="http://schemas.openxmlformats.org/drawingml/2006/picture">
                  <pic:nvPicPr>
                    <pic:cNvPr id="1228445799" name="图片 30"/>
                    <pic:cNvPicPr/>
                  </pic:nvPicPr>
                  <pic:blipFill>
                    <a:blip r:embed="rId13"/>
                    <a:stretch>
                      <a:fillRect/>
                    </a:stretch>
                  </pic:blipFill>
                  <pic:spPr>
                    <a:xfrm>
                      <a:off x="0" y="0"/>
                      <a:ext cx="5148584" cy="3387093"/>
                    </a:xfrm>
                    <a:prstGeom prst="rect">
                      <a:avLst/>
                    </a:prstGeom>
                    <a:noFill/>
                    <a:ln>
                      <a:noFill/>
                      <a:prstDash val="solid"/>
                    </a:ln>
                  </pic:spPr>
                </pic:pic>
              </a:graphicData>
            </a:graphic>
          </wp:inline>
        </w:drawing>
      </w:r>
    </w:p>
    <w:p w14:paraId="1078A97D">
      <w:pPr>
        <w:widowControl w:val="0"/>
        <w:suppressAutoHyphens/>
        <w:autoSpaceDN w:val="0"/>
        <w:spacing w:line="240" w:lineRule="auto"/>
        <w:jc w:val="center"/>
        <w:rPr>
          <w:rFonts w:hint="default" w:eastAsia="黑体" w:cs="Arial" w:asciiTheme="minorAscii" w:hAnsiTheme="minorAscii"/>
          <w:kern w:val="3"/>
          <w:sz w:val="20"/>
          <w:szCs w:val="20"/>
          <w:lang w:val="en-US" w:eastAsia="zh-CN" w:bidi="ar-SA"/>
        </w:rPr>
      </w:pPr>
      <w:r>
        <w:rPr>
          <w:rFonts w:hint="default" w:eastAsia="黑体" w:cs="Arial" w:asciiTheme="minorAscii" w:hAnsiTheme="minorAscii"/>
          <w:kern w:val="3"/>
          <w:sz w:val="20"/>
          <w:szCs w:val="20"/>
          <w:lang w:val="en-US" w:eastAsia="zh-CN" w:bidi="ar-SA"/>
        </w:rPr>
        <w:t xml:space="preserve">Figure </w:t>
      </w:r>
      <w:r>
        <w:rPr>
          <w:rFonts w:hint="default" w:eastAsia="黑体" w:cs="Arial" w:asciiTheme="minorAscii" w:hAnsiTheme="minorAscii"/>
          <w:kern w:val="3"/>
          <w:sz w:val="20"/>
          <w:szCs w:val="20"/>
          <w:lang w:val="en-US" w:eastAsia="zh-CN" w:bidi="ar-SA"/>
        </w:rPr>
        <w:t>8</w:t>
      </w:r>
      <w:r>
        <w:rPr>
          <w:rFonts w:hint="default" w:eastAsia="黑体" w:cs="Arial" w:asciiTheme="minorAscii" w:hAnsiTheme="minorAscii"/>
          <w:kern w:val="3"/>
          <w:sz w:val="20"/>
          <w:szCs w:val="20"/>
          <w:lang w:val="en-US" w:eastAsia="zh-CN" w:bidi="ar-SA"/>
        </w:rPr>
        <w:t xml:space="preserve">: Monthly Average of pH from 2000 to 2023  </w:t>
      </w:r>
    </w:p>
    <w:p w14:paraId="2521706D">
      <w:pPr>
        <w:widowControl w:val="0"/>
        <w:suppressAutoHyphens/>
        <w:autoSpaceDN w:val="0"/>
        <w:spacing w:line="240" w:lineRule="auto"/>
        <w:jc w:val="center"/>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drawing>
          <wp:inline distT="0" distB="0" distL="0" distR="0">
            <wp:extent cx="5051425" cy="3334385"/>
            <wp:effectExtent l="0" t="0" r="3175" b="5715"/>
            <wp:docPr id="1480611582" name="图片 31"/>
            <wp:cNvGraphicFramePr/>
            <a:graphic xmlns:a="http://schemas.openxmlformats.org/drawingml/2006/main">
              <a:graphicData uri="http://schemas.openxmlformats.org/drawingml/2006/picture">
                <pic:pic xmlns:pic="http://schemas.openxmlformats.org/drawingml/2006/picture">
                  <pic:nvPicPr>
                    <pic:cNvPr id="1480611582" name="图片 31"/>
                    <pic:cNvPicPr/>
                  </pic:nvPicPr>
                  <pic:blipFill>
                    <a:blip r:embed="rId14"/>
                    <a:stretch>
                      <a:fillRect/>
                    </a:stretch>
                  </pic:blipFill>
                  <pic:spPr>
                    <a:xfrm>
                      <a:off x="0" y="0"/>
                      <a:ext cx="5051429" cy="3335017"/>
                    </a:xfrm>
                    <a:prstGeom prst="rect">
                      <a:avLst/>
                    </a:prstGeom>
                    <a:noFill/>
                    <a:ln>
                      <a:noFill/>
                      <a:prstDash val="solid"/>
                    </a:ln>
                  </pic:spPr>
                </pic:pic>
              </a:graphicData>
            </a:graphic>
          </wp:inline>
        </w:drawing>
      </w:r>
    </w:p>
    <w:p w14:paraId="4F04D6C2">
      <w:pPr>
        <w:widowControl w:val="0"/>
        <w:suppressAutoHyphens/>
        <w:autoSpaceDN w:val="0"/>
        <w:spacing w:line="240" w:lineRule="auto"/>
        <w:jc w:val="center"/>
        <w:rPr>
          <w:rFonts w:hint="default" w:eastAsia="黑体" w:cs="Arial" w:asciiTheme="minorAscii" w:hAnsiTheme="minorAscii"/>
          <w:kern w:val="3"/>
          <w:sz w:val="20"/>
          <w:szCs w:val="20"/>
          <w:lang w:val="en-US" w:eastAsia="zh-CN" w:bidi="ar-SA"/>
        </w:rPr>
      </w:pPr>
      <w:r>
        <w:rPr>
          <w:rFonts w:hint="default" w:eastAsia="黑体" w:cs="Arial" w:asciiTheme="minorAscii" w:hAnsiTheme="minorAscii"/>
          <w:kern w:val="3"/>
          <w:sz w:val="20"/>
          <w:szCs w:val="20"/>
          <w:lang w:val="en-US" w:eastAsia="zh-CN" w:bidi="ar-SA"/>
        </w:rPr>
        <w:t>Figure</w:t>
      </w:r>
      <w:r>
        <w:rPr>
          <w:rFonts w:hint="default" w:eastAsia="黑体" w:cs="Arial" w:asciiTheme="minorAscii" w:hAnsiTheme="minorAscii"/>
          <w:kern w:val="3"/>
          <w:sz w:val="20"/>
          <w:szCs w:val="20"/>
          <w:lang w:val="en-US" w:eastAsia="zh-CN" w:bidi="ar-SA"/>
        </w:rPr>
        <w:t xml:space="preserve"> 9</w:t>
      </w:r>
      <w:r>
        <w:rPr>
          <w:rFonts w:hint="default" w:eastAsia="黑体" w:cs="Arial" w:asciiTheme="minorAscii" w:hAnsiTheme="minorAscii"/>
          <w:kern w:val="3"/>
          <w:sz w:val="20"/>
          <w:szCs w:val="20"/>
          <w:lang w:val="en-US" w:eastAsia="zh-CN" w:bidi="ar-SA"/>
        </w:rPr>
        <w:t xml:space="preserve">: Monthly Average of pH from 2010 to 2016  </w:t>
      </w:r>
    </w:p>
    <w:p w14:paraId="73ADBEDF">
      <w:pPr>
        <w:widowControl w:val="0"/>
        <w:suppressAutoHyphens/>
        <w:autoSpaceDN w:val="0"/>
        <w:spacing w:line="360" w:lineRule="auto"/>
        <w:jc w:val="both"/>
        <w:rPr>
          <w:rFonts w:hint="default" w:eastAsia="宋体" w:cs="Arial" w:asciiTheme="minorAscii" w:hAnsiTheme="minorAscii"/>
          <w:kern w:val="3"/>
          <w:sz w:val="20"/>
          <w:szCs w:val="20"/>
          <w:lang w:val="en-US" w:eastAsia="zh-CN" w:bidi="ar-SA"/>
        </w:rPr>
      </w:pPr>
      <w:bookmarkStart w:id="4" w:name="OLE_LINK16"/>
    </w:p>
    <w:bookmarkEnd w:id="4"/>
    <w:p w14:paraId="2BF01728">
      <w:pPr>
        <w:widowControl w:val="0"/>
        <w:suppressAutoHyphens/>
        <w:autoSpaceDN w:val="0"/>
        <w:spacing w:line="360" w:lineRule="auto"/>
        <w:jc w:val="center"/>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drawing>
          <wp:inline distT="0" distB="0" distL="0" distR="0">
            <wp:extent cx="5084445" cy="3354705"/>
            <wp:effectExtent l="0" t="0" r="8255" b="10795"/>
            <wp:docPr id="1956208294" name="图片 32"/>
            <wp:cNvGraphicFramePr/>
            <a:graphic xmlns:a="http://schemas.openxmlformats.org/drawingml/2006/main">
              <a:graphicData uri="http://schemas.openxmlformats.org/drawingml/2006/picture">
                <pic:pic xmlns:pic="http://schemas.openxmlformats.org/drawingml/2006/picture">
                  <pic:nvPicPr>
                    <pic:cNvPr id="1956208294" name="图片 32"/>
                    <pic:cNvPicPr/>
                  </pic:nvPicPr>
                  <pic:blipFill>
                    <a:blip r:embed="rId15"/>
                    <a:stretch>
                      <a:fillRect/>
                    </a:stretch>
                  </pic:blipFill>
                  <pic:spPr>
                    <a:xfrm>
                      <a:off x="0" y="0"/>
                      <a:ext cx="5084448" cy="3355335"/>
                    </a:xfrm>
                    <a:prstGeom prst="rect">
                      <a:avLst/>
                    </a:prstGeom>
                    <a:noFill/>
                    <a:ln>
                      <a:noFill/>
                      <a:prstDash val="solid"/>
                    </a:ln>
                  </pic:spPr>
                </pic:pic>
              </a:graphicData>
            </a:graphic>
          </wp:inline>
        </w:drawing>
      </w:r>
    </w:p>
    <w:p w14:paraId="4A526281">
      <w:pPr>
        <w:widowControl w:val="0"/>
        <w:suppressAutoHyphens/>
        <w:autoSpaceDN w:val="0"/>
        <w:spacing w:line="360" w:lineRule="auto"/>
        <w:jc w:val="center"/>
        <w:rPr>
          <w:rFonts w:hint="default" w:eastAsia="黑体" w:cs="Arial" w:asciiTheme="minorAscii" w:hAnsiTheme="minorAscii"/>
          <w:kern w:val="3"/>
          <w:sz w:val="20"/>
          <w:szCs w:val="20"/>
          <w:lang w:val="en-US" w:eastAsia="zh-CN" w:bidi="ar-SA"/>
        </w:rPr>
      </w:pPr>
      <w:r>
        <w:rPr>
          <w:rFonts w:hint="default" w:eastAsia="黑体" w:cs="Arial" w:asciiTheme="minorAscii" w:hAnsiTheme="minorAscii"/>
          <w:kern w:val="3"/>
          <w:sz w:val="20"/>
          <w:szCs w:val="20"/>
          <w:lang w:val="en-US" w:eastAsia="zh-CN" w:bidi="ar-SA"/>
        </w:rPr>
        <w:t xml:space="preserve">Figure </w:t>
      </w:r>
      <w:r>
        <w:rPr>
          <w:rFonts w:hint="default" w:eastAsia="黑体" w:cs="Arial" w:asciiTheme="minorAscii" w:hAnsiTheme="minorAscii"/>
          <w:kern w:val="3"/>
          <w:sz w:val="20"/>
          <w:szCs w:val="20"/>
          <w:lang w:val="en-US" w:eastAsia="zh-CN" w:bidi="ar-SA"/>
        </w:rPr>
        <w:t>10</w:t>
      </w:r>
      <w:r>
        <w:rPr>
          <w:rFonts w:hint="default" w:eastAsia="黑体" w:cs="Arial" w:asciiTheme="minorAscii" w:hAnsiTheme="minorAscii"/>
          <w:kern w:val="3"/>
          <w:sz w:val="20"/>
          <w:szCs w:val="20"/>
          <w:lang w:val="en-US" w:eastAsia="zh-CN" w:bidi="ar-SA"/>
        </w:rPr>
        <w:t>: Monthly Average of Sulphate as SO</w:t>
      </w:r>
      <w:r>
        <w:rPr>
          <w:rStyle w:val="6"/>
          <w:rFonts w:hint="default" w:eastAsia="宋体" w:cs="Arial" w:asciiTheme="minorAscii" w:hAnsiTheme="minorAscii"/>
          <w:kern w:val="3"/>
          <w:sz w:val="20"/>
          <w:szCs w:val="20"/>
          <w:vertAlign w:val="subscript"/>
          <w:lang w:val="en-US" w:eastAsia="zh-CN" w:bidi="ar-SA"/>
        </w:rPr>
        <w:t>4</w:t>
      </w:r>
      <w:r>
        <w:rPr>
          <w:rFonts w:hint="default" w:eastAsia="黑体" w:cs="Arial" w:asciiTheme="minorAscii" w:hAnsiTheme="minorAscii"/>
          <w:kern w:val="3"/>
          <w:sz w:val="20"/>
          <w:szCs w:val="20"/>
          <w:lang w:val="en-US" w:eastAsia="zh-CN" w:bidi="ar-SA"/>
        </w:rPr>
        <w:t xml:space="preserve"> from 2000 to 2023 (mg/l)</w:t>
      </w:r>
    </w:p>
    <w:p w14:paraId="6DF2EE27">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p>
    <w:p w14:paraId="6B4A4512">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bookmarkStart w:id="5" w:name="OLE_LINK17"/>
      <w:r>
        <w:rPr>
          <w:rFonts w:hint="default" w:eastAsia="宋体" w:cs="Arial" w:asciiTheme="minorAscii" w:hAnsiTheme="minorAscii"/>
          <w:kern w:val="3"/>
          <w:sz w:val="20"/>
          <w:szCs w:val="20"/>
          <w:lang w:val="en-US" w:eastAsia="zh-CN" w:bidi="ar-SA"/>
        </w:rPr>
        <w:t xml:space="preserve">The calcium concentration at the MINEWATER station is consistently higher compared to the downstream station (Figure </w:t>
      </w:r>
      <w:r>
        <w:rPr>
          <w:rFonts w:hint="default" w:cs="Arial" w:asciiTheme="minorAscii" w:hAnsiTheme="minorAscii"/>
          <w:kern w:val="3"/>
          <w:sz w:val="20"/>
          <w:szCs w:val="20"/>
          <w:lang w:val="en-US" w:eastAsia="zh-CN" w:bidi="ar-SA"/>
        </w:rPr>
        <w:t>11</w:t>
      </w:r>
      <w:r>
        <w:rPr>
          <w:rFonts w:hint="default" w:eastAsia="宋体" w:cs="Arial" w:asciiTheme="minorAscii" w:hAnsiTheme="minorAscii"/>
          <w:kern w:val="3"/>
          <w:sz w:val="20"/>
          <w:szCs w:val="20"/>
          <w:lang w:val="en-US" w:eastAsia="zh-CN" w:bidi="ar-SA"/>
        </w:rPr>
        <w:t xml:space="preserve">), S10004. Additionally, the calcium levels at S10004 tend to increase in tandem with the rise in calcium concentrations at the MINEWATER station (S78396) (Figure </w:t>
      </w:r>
      <w:r>
        <w:rPr>
          <w:rFonts w:hint="default" w:cs="Arial" w:asciiTheme="minorAscii" w:hAnsiTheme="minorAscii"/>
          <w:kern w:val="3"/>
          <w:sz w:val="20"/>
          <w:szCs w:val="20"/>
          <w:lang w:val="en-US" w:eastAsia="zh-CN" w:bidi="ar-SA"/>
        </w:rPr>
        <w:t>12</w:t>
      </w:r>
      <w:r>
        <w:rPr>
          <w:rFonts w:hint="default" w:eastAsia="宋体" w:cs="Arial" w:asciiTheme="minorAscii" w:hAnsiTheme="minorAscii"/>
          <w:kern w:val="3"/>
          <w:sz w:val="20"/>
          <w:szCs w:val="20"/>
          <w:lang w:val="en-US" w:eastAsia="zh-CN" w:bidi="ar-SA"/>
        </w:rPr>
        <w:t>). This suggests a potential influence of MINEWATER discharge on the calcium levels at downstream stations, indicating a possible transfer of dissolved minerals through water flow.</w:t>
      </w:r>
    </w:p>
    <w:p w14:paraId="7EC5823F">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bookmarkStart w:id="12" w:name="_GoBack"/>
      <w:bookmarkEnd w:id="12"/>
    </w:p>
    <w:bookmarkEnd w:id="5"/>
    <w:p w14:paraId="712673CA">
      <w:pPr>
        <w:widowControl w:val="0"/>
        <w:suppressAutoHyphens/>
        <w:autoSpaceDN w:val="0"/>
        <w:spacing w:line="240" w:lineRule="auto"/>
        <w:jc w:val="center"/>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drawing>
          <wp:inline distT="0" distB="0" distL="0" distR="0">
            <wp:extent cx="5104765" cy="3340100"/>
            <wp:effectExtent l="0" t="0" r="635" b="0"/>
            <wp:docPr id="1079099939" name="图片 33"/>
            <wp:cNvGraphicFramePr/>
            <a:graphic xmlns:a="http://schemas.openxmlformats.org/drawingml/2006/main">
              <a:graphicData uri="http://schemas.openxmlformats.org/drawingml/2006/picture">
                <pic:pic xmlns:pic="http://schemas.openxmlformats.org/drawingml/2006/picture">
                  <pic:nvPicPr>
                    <pic:cNvPr id="1079099939" name="图片 33"/>
                    <pic:cNvPicPr/>
                  </pic:nvPicPr>
                  <pic:blipFill>
                    <a:blip r:embed="rId16"/>
                    <a:stretch>
                      <a:fillRect/>
                    </a:stretch>
                  </pic:blipFill>
                  <pic:spPr>
                    <a:xfrm>
                      <a:off x="0" y="0"/>
                      <a:ext cx="5105396" cy="3340732"/>
                    </a:xfrm>
                    <a:prstGeom prst="rect">
                      <a:avLst/>
                    </a:prstGeom>
                    <a:noFill/>
                    <a:ln>
                      <a:noFill/>
                      <a:prstDash val="solid"/>
                    </a:ln>
                  </pic:spPr>
                </pic:pic>
              </a:graphicData>
            </a:graphic>
          </wp:inline>
        </w:drawing>
      </w:r>
    </w:p>
    <w:p w14:paraId="2BA58D25">
      <w:pPr>
        <w:widowControl w:val="0"/>
        <w:suppressAutoHyphens/>
        <w:autoSpaceDN w:val="0"/>
        <w:spacing w:line="240" w:lineRule="auto"/>
        <w:jc w:val="center"/>
        <w:rPr>
          <w:rFonts w:hint="default" w:eastAsia="黑体" w:cs="Arial" w:asciiTheme="minorAscii" w:hAnsiTheme="minorAscii"/>
          <w:kern w:val="3"/>
          <w:sz w:val="20"/>
          <w:szCs w:val="20"/>
          <w:lang w:val="en-US" w:eastAsia="zh-CN" w:bidi="ar-SA"/>
        </w:rPr>
      </w:pPr>
      <w:r>
        <w:rPr>
          <w:rFonts w:hint="default" w:eastAsia="黑体" w:cs="Arial" w:asciiTheme="minorAscii" w:hAnsiTheme="minorAscii"/>
          <w:kern w:val="3"/>
          <w:sz w:val="20"/>
          <w:szCs w:val="20"/>
          <w:lang w:val="en-US" w:eastAsia="zh-CN" w:bidi="ar-SA"/>
        </w:rPr>
        <w:t xml:space="preserve">Figure </w:t>
      </w:r>
      <w:r>
        <w:rPr>
          <w:rFonts w:hint="default" w:eastAsia="黑体" w:cs="Arial" w:asciiTheme="minorAscii" w:hAnsiTheme="minorAscii"/>
          <w:kern w:val="3"/>
          <w:sz w:val="20"/>
          <w:szCs w:val="20"/>
          <w:lang w:val="en-US" w:eastAsia="zh-CN" w:bidi="ar-SA"/>
        </w:rPr>
        <w:t>11</w:t>
      </w:r>
      <w:r>
        <w:rPr>
          <w:rFonts w:hint="default" w:eastAsia="黑体" w:cs="Arial" w:asciiTheme="minorAscii" w:hAnsiTheme="minorAscii"/>
          <w:kern w:val="3"/>
          <w:sz w:val="20"/>
          <w:szCs w:val="20"/>
          <w:lang w:val="en-US" w:eastAsia="zh-CN" w:bidi="ar-SA"/>
        </w:rPr>
        <w:t xml:space="preserve">: Monthly Average of Calcium from 2000 to 2023 (mg/l)   </w:t>
      </w:r>
    </w:p>
    <w:p w14:paraId="5D7BA3A5">
      <w:pPr>
        <w:widowControl w:val="0"/>
        <w:suppressAutoHyphens/>
        <w:autoSpaceDN w:val="0"/>
        <w:spacing w:line="240" w:lineRule="auto"/>
        <w:jc w:val="center"/>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drawing>
          <wp:inline distT="0" distB="0" distL="0" distR="0">
            <wp:extent cx="4257675" cy="2834640"/>
            <wp:effectExtent l="0" t="0" r="9525" b="10160"/>
            <wp:docPr id="898211580" name="图片 1"/>
            <wp:cNvGraphicFramePr/>
            <a:graphic xmlns:a="http://schemas.openxmlformats.org/drawingml/2006/main">
              <a:graphicData uri="http://schemas.openxmlformats.org/drawingml/2006/picture">
                <pic:pic xmlns:pic="http://schemas.openxmlformats.org/drawingml/2006/picture">
                  <pic:nvPicPr>
                    <pic:cNvPr id="898211580" name="图片 1"/>
                    <pic:cNvPicPr/>
                  </pic:nvPicPr>
                  <pic:blipFill>
                    <a:blip r:embed="rId17"/>
                    <a:stretch>
                      <a:fillRect/>
                    </a:stretch>
                  </pic:blipFill>
                  <pic:spPr>
                    <a:xfrm>
                      <a:off x="0" y="0"/>
                      <a:ext cx="4258305" cy="2834640"/>
                    </a:xfrm>
                    <a:prstGeom prst="rect">
                      <a:avLst/>
                    </a:prstGeom>
                    <a:noFill/>
                    <a:ln>
                      <a:noFill/>
                      <a:prstDash val="solid"/>
                    </a:ln>
                  </pic:spPr>
                </pic:pic>
              </a:graphicData>
            </a:graphic>
          </wp:inline>
        </w:drawing>
      </w:r>
    </w:p>
    <w:p w14:paraId="246AC43A">
      <w:pPr>
        <w:widowControl w:val="0"/>
        <w:suppressAutoHyphens/>
        <w:autoSpaceDN w:val="0"/>
        <w:spacing w:line="240" w:lineRule="auto"/>
        <w:jc w:val="center"/>
        <w:rPr>
          <w:rFonts w:hint="default" w:eastAsia="黑体" w:cs="Arial" w:asciiTheme="minorAscii" w:hAnsiTheme="minorAscii"/>
          <w:kern w:val="3"/>
          <w:sz w:val="20"/>
          <w:szCs w:val="20"/>
          <w:lang w:val="en-US" w:eastAsia="zh-CN" w:bidi="ar-SA"/>
        </w:rPr>
      </w:pPr>
      <w:r>
        <w:rPr>
          <w:rFonts w:hint="default" w:eastAsia="黑体" w:cs="Arial" w:asciiTheme="minorAscii" w:hAnsiTheme="minorAscii"/>
          <w:kern w:val="3"/>
          <w:sz w:val="20"/>
          <w:szCs w:val="20"/>
          <w:lang w:val="en-US" w:eastAsia="zh-CN" w:bidi="ar-SA"/>
        </w:rPr>
        <w:t>Figure</w:t>
      </w:r>
      <w:r>
        <w:rPr>
          <w:rFonts w:hint="default" w:eastAsia="黑体" w:cs="Arial" w:asciiTheme="minorAscii" w:hAnsiTheme="minorAscii"/>
          <w:kern w:val="3"/>
          <w:sz w:val="20"/>
          <w:szCs w:val="20"/>
          <w:lang w:val="en-US" w:eastAsia="zh-CN" w:bidi="ar-SA"/>
        </w:rPr>
        <w:t xml:space="preserve"> 12</w:t>
      </w:r>
      <w:r>
        <w:rPr>
          <w:rFonts w:hint="default" w:eastAsia="黑体" w:cs="Arial" w:asciiTheme="minorAscii" w:hAnsiTheme="minorAscii"/>
          <w:kern w:val="3"/>
          <w:sz w:val="20"/>
          <w:szCs w:val="20"/>
          <w:lang w:val="en-US" w:eastAsia="zh-CN" w:bidi="ar-SA"/>
        </w:rPr>
        <w:t xml:space="preserve">: Monthly Average of Calcium from 2011 to 2012 (mg/l)  </w:t>
      </w:r>
    </w:p>
    <w:p w14:paraId="2B3B31DF">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p>
    <w:p w14:paraId="767584C4">
      <w:pPr>
        <w:widowControl w:val="0"/>
        <w:suppressAutoHyphens/>
        <w:autoSpaceDN w:val="0"/>
        <w:spacing w:line="240" w:lineRule="auto"/>
        <w:jc w:val="both"/>
        <w:rPr>
          <w:rFonts w:hint="default" w:eastAsia="宋体" w:cs="Arial" w:asciiTheme="minorAscii" w:hAnsiTheme="minorAscii"/>
          <w:b/>
          <w:bCs/>
          <w:kern w:val="3"/>
          <w:sz w:val="20"/>
          <w:szCs w:val="20"/>
          <w:lang w:val="en-US" w:eastAsia="zh-CN" w:bidi="ar-SA"/>
        </w:rPr>
      </w:pPr>
      <w:r>
        <w:rPr>
          <w:rFonts w:hint="default" w:eastAsia="宋体" w:cs="Arial" w:asciiTheme="minorAscii" w:hAnsiTheme="minorAscii"/>
          <w:b/>
          <w:bCs/>
          <w:kern w:val="3"/>
          <w:sz w:val="20"/>
          <w:szCs w:val="20"/>
          <w:lang w:val="en-US" w:eastAsia="zh-CN" w:bidi="ar-SA"/>
        </w:rPr>
        <w:t xml:space="preserve">Calcium, Dissolved (Figure </w:t>
      </w:r>
      <w:r>
        <w:rPr>
          <w:rFonts w:hint="default" w:cs="Arial" w:asciiTheme="minorAscii" w:hAnsiTheme="minorAscii"/>
          <w:b/>
          <w:bCs/>
          <w:kern w:val="3"/>
          <w:sz w:val="20"/>
          <w:szCs w:val="20"/>
          <w:lang w:val="en-US" w:eastAsia="zh-CN" w:bidi="ar-SA"/>
        </w:rPr>
        <w:t>13</w:t>
      </w:r>
      <w:r>
        <w:rPr>
          <w:rFonts w:hint="default" w:eastAsia="宋体" w:cs="Arial" w:asciiTheme="minorAscii" w:hAnsiTheme="minorAscii"/>
          <w:b/>
          <w:bCs/>
          <w:kern w:val="3"/>
          <w:sz w:val="20"/>
          <w:szCs w:val="20"/>
          <w:lang w:val="en-US" w:eastAsia="zh-CN" w:bidi="ar-SA"/>
        </w:rPr>
        <w:t>)</w:t>
      </w:r>
    </w:p>
    <w:p w14:paraId="68DBC9A0">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Due to significant gaps in the data across the years, no clear trend can be observed for the dissolved calcium concentrations at the three monitoring stations (S10003, S10004, and S78396). The missing data limits the ability to determine long-term trends or seasonal patterns in calcium levels. The dissolved calcium levels are generally higher at the MINEWATER station (blue line) compared to the other stations, indicating that mining activities may contribute to elevated calcium concentrations. However, based on the available data, it appears that calcium levels fluctuate without a consistent trend, making it difficult to draw definitive conclusions regarding the influence of the MINEWATER station on downstream stations. Further data collection and analysis are necessary to establish any potential correlations.</w:t>
      </w:r>
    </w:p>
    <w:p w14:paraId="7C2E4E3F">
      <w:pPr>
        <w:widowControl w:val="0"/>
        <w:suppressAutoHyphens/>
        <w:autoSpaceDN w:val="0"/>
        <w:spacing w:line="240" w:lineRule="auto"/>
        <w:jc w:val="center"/>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drawing>
          <wp:inline distT="0" distB="0" distL="0" distR="0">
            <wp:extent cx="4305935" cy="2814320"/>
            <wp:effectExtent l="0" t="0" r="12065" b="5080"/>
            <wp:docPr id="1457752191" name="图片 35"/>
            <wp:cNvGraphicFramePr/>
            <a:graphic xmlns:a="http://schemas.openxmlformats.org/drawingml/2006/main">
              <a:graphicData uri="http://schemas.openxmlformats.org/drawingml/2006/picture">
                <pic:pic xmlns:pic="http://schemas.openxmlformats.org/drawingml/2006/picture">
                  <pic:nvPicPr>
                    <pic:cNvPr id="1457752191" name="图片 35"/>
                    <pic:cNvPicPr/>
                  </pic:nvPicPr>
                  <pic:blipFill>
                    <a:blip r:embed="rId18"/>
                    <a:stretch>
                      <a:fillRect/>
                    </a:stretch>
                  </pic:blipFill>
                  <pic:spPr>
                    <a:xfrm>
                      <a:off x="0" y="0"/>
                      <a:ext cx="4305937" cy="2814322"/>
                    </a:xfrm>
                    <a:prstGeom prst="rect">
                      <a:avLst/>
                    </a:prstGeom>
                    <a:noFill/>
                    <a:ln>
                      <a:noFill/>
                      <a:prstDash val="solid"/>
                    </a:ln>
                  </pic:spPr>
                </pic:pic>
              </a:graphicData>
            </a:graphic>
          </wp:inline>
        </w:drawing>
      </w:r>
    </w:p>
    <w:p w14:paraId="051A5771">
      <w:pPr>
        <w:widowControl w:val="0"/>
        <w:suppressAutoHyphens/>
        <w:autoSpaceDN w:val="0"/>
        <w:spacing w:line="360" w:lineRule="auto"/>
        <w:jc w:val="center"/>
        <w:rPr>
          <w:rFonts w:hint="default" w:eastAsia="黑体" w:cs="Arial" w:asciiTheme="minorAscii" w:hAnsiTheme="minorAscii"/>
          <w:kern w:val="3"/>
          <w:sz w:val="20"/>
          <w:szCs w:val="20"/>
          <w:lang w:val="en-US" w:eastAsia="zh-CN" w:bidi="ar-SA"/>
        </w:rPr>
      </w:pPr>
      <w:r>
        <w:rPr>
          <w:rFonts w:hint="default" w:eastAsia="黑体" w:cs="Arial" w:asciiTheme="minorAscii" w:hAnsiTheme="minorAscii"/>
          <w:kern w:val="3"/>
          <w:sz w:val="20"/>
          <w:szCs w:val="20"/>
          <w:lang w:val="en-US" w:eastAsia="zh-CN" w:bidi="ar-SA"/>
        </w:rPr>
        <w:t xml:space="preserve">Figure </w:t>
      </w:r>
      <w:r>
        <w:rPr>
          <w:rFonts w:hint="default" w:eastAsia="黑体" w:cs="Arial" w:asciiTheme="minorAscii" w:hAnsiTheme="minorAscii"/>
          <w:kern w:val="3"/>
          <w:sz w:val="20"/>
          <w:szCs w:val="20"/>
          <w:lang w:val="en-US" w:eastAsia="zh-CN" w:bidi="ar-SA"/>
        </w:rPr>
        <w:t>13</w:t>
      </w:r>
      <w:r>
        <w:rPr>
          <w:rFonts w:hint="default" w:eastAsia="黑体" w:cs="Arial" w:asciiTheme="minorAscii" w:hAnsiTheme="minorAscii"/>
          <w:kern w:val="3"/>
          <w:sz w:val="20"/>
          <w:szCs w:val="20"/>
          <w:lang w:val="en-US" w:eastAsia="zh-CN" w:bidi="ar-SA"/>
        </w:rPr>
        <w:t>: Monthly Average of Calcium, Dissolved from 2000 to 2023 (mg/l)</w:t>
      </w:r>
    </w:p>
    <w:p w14:paraId="583432E3">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p>
    <w:p w14:paraId="466F7FBD">
      <w:pPr>
        <w:widowControl w:val="0"/>
        <w:suppressAutoHyphens/>
        <w:autoSpaceDN w:val="0"/>
        <w:spacing w:line="240" w:lineRule="auto"/>
        <w:jc w:val="both"/>
        <w:rPr>
          <w:rFonts w:hint="default" w:eastAsia="宋体" w:cs="Arial" w:asciiTheme="minorAscii" w:hAnsiTheme="minorAscii"/>
          <w:b/>
          <w:bCs/>
          <w:kern w:val="3"/>
          <w:sz w:val="20"/>
          <w:szCs w:val="20"/>
          <w:lang w:val="en-US" w:eastAsia="zh-CN" w:bidi="ar-SA"/>
        </w:rPr>
      </w:pPr>
      <w:r>
        <w:rPr>
          <w:rFonts w:hint="default" w:eastAsia="宋体" w:cs="Arial" w:asciiTheme="minorAscii" w:hAnsiTheme="minorAscii"/>
          <w:b/>
          <w:bCs/>
          <w:kern w:val="3"/>
          <w:sz w:val="20"/>
          <w:szCs w:val="20"/>
          <w:lang w:val="en-US" w:eastAsia="zh-CN" w:bidi="ar-SA"/>
        </w:rPr>
        <w:t xml:space="preserve">Solids, Suspended at 105°C (Figure </w:t>
      </w:r>
      <w:r>
        <w:rPr>
          <w:rFonts w:hint="default" w:cs="Arial" w:asciiTheme="minorAscii" w:hAnsiTheme="minorAscii"/>
          <w:b/>
          <w:bCs/>
          <w:kern w:val="3"/>
          <w:sz w:val="20"/>
          <w:szCs w:val="20"/>
          <w:lang w:val="en-US" w:eastAsia="zh-CN" w:bidi="ar-SA"/>
        </w:rPr>
        <w:t>14</w:t>
      </w:r>
      <w:r>
        <w:rPr>
          <w:rFonts w:hint="default" w:eastAsia="宋体" w:cs="Arial" w:asciiTheme="minorAscii" w:hAnsiTheme="minorAscii"/>
          <w:b/>
          <w:bCs/>
          <w:kern w:val="3"/>
          <w:sz w:val="20"/>
          <w:szCs w:val="20"/>
          <w:lang w:val="en-US" w:eastAsia="zh-CN" w:bidi="ar-SA"/>
        </w:rPr>
        <w:t xml:space="preserve">): </w:t>
      </w:r>
    </w:p>
    <w:p w14:paraId="6C020DAB">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 xml:space="preserve">The concentration of suspended solids at the MINEWATER station is consistently higher than at the other monitoring stations. This suggests that the MINEWATER site may be contributing higher levels of suspended solids, potentially due to mining activities or related disturbances in the area. </w:t>
      </w:r>
    </w:p>
    <w:p w14:paraId="501F0948">
      <w:pPr>
        <w:widowControl w:val="0"/>
        <w:suppressAutoHyphens/>
        <w:autoSpaceDN w:val="0"/>
        <w:spacing w:line="240" w:lineRule="auto"/>
        <w:jc w:val="center"/>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drawing>
          <wp:inline distT="0" distB="0" distL="0" distR="0">
            <wp:extent cx="4850130" cy="3169920"/>
            <wp:effectExtent l="0" t="0" r="1270" b="5080"/>
            <wp:docPr id="2009254006" name="图片 36"/>
            <wp:cNvGraphicFramePr/>
            <a:graphic xmlns:a="http://schemas.openxmlformats.org/drawingml/2006/main">
              <a:graphicData uri="http://schemas.openxmlformats.org/drawingml/2006/picture">
                <pic:pic xmlns:pic="http://schemas.openxmlformats.org/drawingml/2006/picture">
                  <pic:nvPicPr>
                    <pic:cNvPr id="2009254006" name="图片 36"/>
                    <pic:cNvPicPr/>
                  </pic:nvPicPr>
                  <pic:blipFill>
                    <a:blip r:embed="rId19"/>
                    <a:stretch>
                      <a:fillRect/>
                    </a:stretch>
                  </pic:blipFill>
                  <pic:spPr>
                    <a:xfrm>
                      <a:off x="0" y="0"/>
                      <a:ext cx="4850133" cy="3170553"/>
                    </a:xfrm>
                    <a:prstGeom prst="rect">
                      <a:avLst/>
                    </a:prstGeom>
                    <a:noFill/>
                    <a:ln>
                      <a:noFill/>
                      <a:prstDash val="solid"/>
                    </a:ln>
                  </pic:spPr>
                </pic:pic>
              </a:graphicData>
            </a:graphic>
          </wp:inline>
        </w:drawing>
      </w:r>
    </w:p>
    <w:p w14:paraId="38FA57CD">
      <w:pPr>
        <w:widowControl w:val="0"/>
        <w:suppressAutoHyphens/>
        <w:autoSpaceDN w:val="0"/>
        <w:spacing w:line="240" w:lineRule="auto"/>
        <w:jc w:val="center"/>
        <w:rPr>
          <w:rFonts w:hint="default" w:eastAsia="黑体" w:cs="Arial" w:asciiTheme="minorAscii" w:hAnsiTheme="minorAscii"/>
          <w:kern w:val="3"/>
          <w:sz w:val="20"/>
          <w:szCs w:val="20"/>
          <w:lang w:val="en-US" w:eastAsia="zh-CN" w:bidi="ar-SA"/>
        </w:rPr>
      </w:pPr>
      <w:r>
        <w:rPr>
          <w:rFonts w:hint="default" w:eastAsia="黑体" w:cs="Arial" w:asciiTheme="minorAscii" w:hAnsiTheme="minorAscii"/>
          <w:kern w:val="3"/>
          <w:sz w:val="20"/>
          <w:szCs w:val="20"/>
          <w:lang w:val="en-US" w:eastAsia="zh-CN" w:bidi="ar-SA"/>
        </w:rPr>
        <w:t xml:space="preserve">Figure </w:t>
      </w:r>
      <w:r>
        <w:rPr>
          <w:rFonts w:hint="default" w:eastAsia="黑体" w:cs="Arial" w:asciiTheme="minorAscii" w:hAnsiTheme="minorAscii"/>
          <w:kern w:val="3"/>
          <w:sz w:val="20"/>
          <w:szCs w:val="20"/>
          <w:lang w:val="en-US" w:eastAsia="zh-CN" w:bidi="ar-SA"/>
        </w:rPr>
        <w:t>14</w:t>
      </w:r>
      <w:r>
        <w:rPr>
          <w:rFonts w:hint="default" w:eastAsia="黑体" w:cs="Arial" w:asciiTheme="minorAscii" w:hAnsiTheme="minorAscii"/>
          <w:kern w:val="3"/>
          <w:sz w:val="20"/>
          <w:szCs w:val="20"/>
          <w:lang w:val="en-US" w:eastAsia="zh-CN" w:bidi="ar-SA"/>
        </w:rPr>
        <w:t>: Monthly Average of Solids, Suspended at 105°C from 2000 to 2023</w:t>
      </w:r>
    </w:p>
    <w:p w14:paraId="63887B0D">
      <w:pPr>
        <w:widowControl w:val="0"/>
        <w:suppressAutoHyphens/>
        <w:autoSpaceDN w:val="0"/>
        <w:spacing w:line="240" w:lineRule="auto"/>
        <w:jc w:val="center"/>
        <w:rPr>
          <w:rFonts w:hint="default" w:eastAsia="黑体" w:cs="Arial" w:asciiTheme="minorAscii" w:hAnsiTheme="minorAscii"/>
          <w:kern w:val="3"/>
          <w:sz w:val="20"/>
          <w:szCs w:val="20"/>
          <w:lang w:val="en-US" w:eastAsia="zh-CN" w:bidi="ar-SA"/>
        </w:rPr>
      </w:pPr>
      <w:r>
        <w:rPr>
          <w:rFonts w:hint="default" w:eastAsia="黑体" w:cs="Arial" w:asciiTheme="minorAscii" w:hAnsiTheme="minorAscii"/>
          <w:kern w:val="3"/>
          <w:sz w:val="20"/>
          <w:szCs w:val="20"/>
          <w:lang w:val="en-US" w:eastAsia="zh-CN" w:bidi="ar-SA"/>
        </w:rPr>
        <w:t xml:space="preserve">      </w:t>
      </w:r>
    </w:p>
    <w:p w14:paraId="077E6108">
      <w:pPr>
        <w:widowControl w:val="0"/>
        <w:suppressAutoHyphens/>
        <w:autoSpaceDN w:val="0"/>
        <w:spacing w:line="240" w:lineRule="auto"/>
        <w:jc w:val="left"/>
        <w:rPr>
          <w:rFonts w:hint="default" w:eastAsia="宋体" w:cs="Arial" w:asciiTheme="minorAscii" w:hAnsiTheme="minorAscii"/>
          <w:b/>
          <w:bCs/>
          <w:kern w:val="3"/>
          <w:sz w:val="20"/>
          <w:szCs w:val="20"/>
          <w:lang w:val="en-US" w:eastAsia="zh-CN" w:bidi="ar-SA"/>
        </w:rPr>
      </w:pPr>
      <w:r>
        <w:rPr>
          <w:rFonts w:hint="default" w:eastAsia="宋体" w:cs="Arial" w:asciiTheme="minorAscii" w:hAnsiTheme="minorAscii"/>
          <w:b/>
          <w:bCs/>
          <w:kern w:val="3"/>
          <w:sz w:val="20"/>
          <w:szCs w:val="20"/>
          <w:lang w:val="en-US" w:eastAsia="zh-CN" w:bidi="ar-SA"/>
        </w:rPr>
        <w:t xml:space="preserve">Magnesium (Mg)-Figure </w:t>
      </w:r>
      <w:r>
        <w:rPr>
          <w:rFonts w:hint="default" w:cs="Arial" w:asciiTheme="minorAscii" w:hAnsiTheme="minorAscii"/>
          <w:b/>
          <w:bCs/>
          <w:kern w:val="3"/>
          <w:sz w:val="20"/>
          <w:szCs w:val="20"/>
          <w:lang w:val="en-US" w:eastAsia="zh-CN" w:bidi="ar-SA"/>
        </w:rPr>
        <w:t>15</w:t>
      </w:r>
      <w:r>
        <w:rPr>
          <w:rFonts w:hint="default" w:eastAsia="宋体" w:cs="Arial" w:asciiTheme="minorAscii" w:hAnsiTheme="minorAscii"/>
          <w:b/>
          <w:bCs/>
          <w:kern w:val="3"/>
          <w:sz w:val="20"/>
          <w:szCs w:val="20"/>
          <w:lang w:val="en-US" w:eastAsia="zh-CN" w:bidi="ar-SA"/>
        </w:rPr>
        <w:t xml:space="preserve"> &amp; </w:t>
      </w:r>
      <w:r>
        <w:rPr>
          <w:rFonts w:hint="default" w:cs="Arial" w:asciiTheme="minorAscii" w:hAnsiTheme="minorAscii"/>
          <w:b/>
          <w:bCs/>
          <w:kern w:val="3"/>
          <w:sz w:val="20"/>
          <w:szCs w:val="20"/>
          <w:lang w:val="en-US" w:eastAsia="zh-CN" w:bidi="ar-SA"/>
        </w:rPr>
        <w:t>16</w:t>
      </w:r>
      <w:r>
        <w:rPr>
          <w:rFonts w:hint="default" w:eastAsia="宋体" w:cs="Arial" w:asciiTheme="minorAscii" w:hAnsiTheme="minorAscii"/>
          <w:b/>
          <w:bCs/>
          <w:kern w:val="3"/>
          <w:sz w:val="20"/>
          <w:szCs w:val="20"/>
          <w:lang w:val="en-US" w:eastAsia="zh-CN" w:bidi="ar-SA"/>
        </w:rPr>
        <w:t xml:space="preserve">: </w:t>
      </w:r>
    </w:p>
    <w:p w14:paraId="416AC3B4">
      <w:pPr>
        <w:widowControl w:val="0"/>
        <w:suppressAutoHyphens/>
        <w:autoSpaceDN w:val="0"/>
        <w:spacing w:line="240" w:lineRule="auto"/>
        <w:jc w:val="left"/>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In natural water bodies, magnesium concentrations typically range between 10 and 100 mg/L (WHO, 2017; Water Framework Directive, 2000). The magnesium levels measured at the selected stations (S10003, S78396, and S10004) all fall within this standard range, indicating that the water quality is within acceptable limits for this parameter.</w:t>
      </w:r>
    </w:p>
    <w:p w14:paraId="5C3B8494">
      <w:pPr>
        <w:widowControl w:val="0"/>
        <w:suppressAutoHyphens/>
        <w:autoSpaceDN w:val="0"/>
        <w:spacing w:line="240" w:lineRule="auto"/>
        <w:jc w:val="left"/>
        <w:rPr>
          <w:rFonts w:hint="default" w:eastAsia="宋体" w:cs="Arial" w:asciiTheme="minorAscii" w:hAnsiTheme="minorAscii"/>
          <w:kern w:val="3"/>
          <w:sz w:val="20"/>
          <w:szCs w:val="20"/>
          <w:lang w:val="en-US" w:eastAsia="zh-CN" w:bidi="ar-SA"/>
        </w:rPr>
      </w:pPr>
    </w:p>
    <w:p w14:paraId="7D0FBFBD">
      <w:pPr>
        <w:widowControl w:val="0"/>
        <w:suppressAutoHyphens/>
        <w:autoSpaceDN w:val="0"/>
        <w:spacing w:line="240" w:lineRule="auto"/>
        <w:jc w:val="left"/>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The magnesium concentration at the upstream station (S10003) is consistently higher compared to both the MINEWATER station (S78396) and the midstream station (S10004). This may reflect natural variations in the geology and sources of water contributing to the upstream area.</w:t>
      </w:r>
    </w:p>
    <w:p w14:paraId="116D2187">
      <w:pPr>
        <w:widowControl w:val="0"/>
        <w:suppressAutoHyphens/>
        <w:autoSpaceDN w:val="0"/>
        <w:spacing w:line="240" w:lineRule="auto"/>
        <w:jc w:val="left"/>
        <w:rPr>
          <w:rFonts w:hint="default" w:eastAsia="宋体" w:cs="Arial" w:asciiTheme="minorAscii" w:hAnsiTheme="minorAscii"/>
          <w:kern w:val="3"/>
          <w:sz w:val="20"/>
          <w:szCs w:val="20"/>
          <w:lang w:val="en-US" w:eastAsia="zh-CN" w:bidi="ar-SA"/>
        </w:rPr>
      </w:pPr>
    </w:p>
    <w:p w14:paraId="2073D8E1">
      <w:pPr>
        <w:widowControl w:val="0"/>
        <w:suppressAutoHyphens/>
        <w:autoSpaceDN w:val="0"/>
        <w:spacing w:line="240" w:lineRule="auto"/>
        <w:jc w:val="left"/>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The magnesium levels at the MINEWATER station (S78396) exhibit a trend that closely aligns with the variations observed at the midstream station (S10004). This indicates that magnesium levels downstream of the MINEWATER site are potentially influenced by both the natural conditions and the mining activities at the site.</w:t>
      </w:r>
    </w:p>
    <w:p w14:paraId="1DB0B608">
      <w:pPr>
        <w:widowControl w:val="0"/>
        <w:suppressAutoHyphens/>
        <w:autoSpaceDN w:val="0"/>
        <w:spacing w:line="240" w:lineRule="auto"/>
        <w:jc w:val="center"/>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drawing>
          <wp:inline distT="0" distB="0" distL="0" distR="0">
            <wp:extent cx="5161915" cy="3418840"/>
            <wp:effectExtent l="0" t="0" r="6985" b="10160"/>
            <wp:docPr id="1403564367" name="图片 37"/>
            <wp:cNvGraphicFramePr/>
            <a:graphic xmlns:a="http://schemas.openxmlformats.org/drawingml/2006/main">
              <a:graphicData uri="http://schemas.openxmlformats.org/drawingml/2006/picture">
                <pic:pic xmlns:pic="http://schemas.openxmlformats.org/drawingml/2006/picture">
                  <pic:nvPicPr>
                    <pic:cNvPr id="1403564367" name="图片 37"/>
                    <pic:cNvPicPr/>
                  </pic:nvPicPr>
                  <pic:blipFill>
                    <a:blip r:embed="rId20"/>
                    <a:stretch>
                      <a:fillRect/>
                    </a:stretch>
                  </pic:blipFill>
                  <pic:spPr>
                    <a:xfrm>
                      <a:off x="0" y="0"/>
                      <a:ext cx="5161916" cy="3418841"/>
                    </a:xfrm>
                    <a:prstGeom prst="rect">
                      <a:avLst/>
                    </a:prstGeom>
                    <a:noFill/>
                    <a:ln>
                      <a:noFill/>
                      <a:prstDash val="solid"/>
                    </a:ln>
                  </pic:spPr>
                </pic:pic>
              </a:graphicData>
            </a:graphic>
          </wp:inline>
        </w:drawing>
      </w:r>
    </w:p>
    <w:p w14:paraId="39E9456D">
      <w:pPr>
        <w:widowControl w:val="0"/>
        <w:suppressAutoHyphens/>
        <w:autoSpaceDN w:val="0"/>
        <w:spacing w:line="240" w:lineRule="auto"/>
        <w:jc w:val="center"/>
        <w:rPr>
          <w:rFonts w:hint="default" w:eastAsia="黑体" w:cs="Arial" w:asciiTheme="minorAscii" w:hAnsiTheme="minorAscii"/>
          <w:kern w:val="3"/>
          <w:sz w:val="20"/>
          <w:szCs w:val="20"/>
          <w:lang w:val="en-US" w:eastAsia="zh-CN" w:bidi="ar-SA"/>
        </w:rPr>
      </w:pPr>
      <w:r>
        <w:rPr>
          <w:rFonts w:hint="default" w:eastAsia="黑体" w:cs="Arial" w:asciiTheme="minorAscii" w:hAnsiTheme="minorAscii"/>
          <w:kern w:val="3"/>
          <w:sz w:val="20"/>
          <w:szCs w:val="20"/>
          <w:lang w:val="en-US" w:eastAsia="zh-CN" w:bidi="ar-SA"/>
        </w:rPr>
        <w:t xml:space="preserve">Figure </w:t>
      </w:r>
      <w:r>
        <w:rPr>
          <w:rFonts w:hint="default" w:eastAsia="黑体" w:cs="Arial" w:asciiTheme="minorAscii" w:hAnsiTheme="minorAscii"/>
          <w:kern w:val="3"/>
          <w:sz w:val="20"/>
          <w:szCs w:val="20"/>
          <w:lang w:val="en-US" w:eastAsia="zh-CN" w:bidi="ar-SA"/>
        </w:rPr>
        <w:t>15</w:t>
      </w:r>
      <w:r>
        <w:rPr>
          <w:rFonts w:hint="default" w:eastAsia="黑体" w:cs="Arial" w:asciiTheme="minorAscii" w:hAnsiTheme="minorAscii"/>
          <w:kern w:val="3"/>
          <w:sz w:val="20"/>
          <w:szCs w:val="20"/>
          <w:lang w:val="en-US" w:eastAsia="zh-CN" w:bidi="ar-SA"/>
        </w:rPr>
        <w:t>: Monthly Average of Magnesium from 2000 to 2023 (mg/l)</w:t>
      </w:r>
    </w:p>
    <w:p w14:paraId="342B1D8E">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p>
    <w:p w14:paraId="2F746C96">
      <w:pPr>
        <w:widowControl w:val="0"/>
        <w:suppressAutoHyphens/>
        <w:autoSpaceDN w:val="0"/>
        <w:spacing w:line="240" w:lineRule="auto"/>
        <w:jc w:val="center"/>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drawing>
          <wp:inline distT="0" distB="0" distL="0" distR="0">
            <wp:extent cx="5020310" cy="3314700"/>
            <wp:effectExtent l="0" t="0" r="8890" b="0"/>
            <wp:docPr id="340980907" name="图片 38"/>
            <wp:cNvGraphicFramePr/>
            <a:graphic xmlns:a="http://schemas.openxmlformats.org/drawingml/2006/main">
              <a:graphicData uri="http://schemas.openxmlformats.org/drawingml/2006/picture">
                <pic:pic xmlns:pic="http://schemas.openxmlformats.org/drawingml/2006/picture">
                  <pic:nvPicPr>
                    <pic:cNvPr id="340980907" name="图片 38"/>
                    <pic:cNvPicPr/>
                  </pic:nvPicPr>
                  <pic:blipFill>
                    <a:blip r:embed="rId21"/>
                    <a:stretch>
                      <a:fillRect/>
                    </a:stretch>
                  </pic:blipFill>
                  <pic:spPr>
                    <a:xfrm>
                      <a:off x="0" y="0"/>
                      <a:ext cx="5020312" cy="3314700"/>
                    </a:xfrm>
                    <a:prstGeom prst="rect">
                      <a:avLst/>
                    </a:prstGeom>
                    <a:noFill/>
                    <a:ln>
                      <a:noFill/>
                      <a:prstDash val="solid"/>
                    </a:ln>
                  </pic:spPr>
                </pic:pic>
              </a:graphicData>
            </a:graphic>
          </wp:inline>
        </w:drawing>
      </w:r>
    </w:p>
    <w:p w14:paraId="0A477C84">
      <w:pPr>
        <w:widowControl w:val="0"/>
        <w:suppressAutoHyphens/>
        <w:autoSpaceDN w:val="0"/>
        <w:spacing w:line="240" w:lineRule="auto"/>
        <w:jc w:val="center"/>
        <w:rPr>
          <w:rFonts w:hint="default" w:eastAsia="黑体" w:cs="Arial" w:asciiTheme="minorAscii" w:hAnsiTheme="minorAscii"/>
          <w:kern w:val="3"/>
          <w:sz w:val="20"/>
          <w:szCs w:val="20"/>
          <w:lang w:val="en-US" w:eastAsia="zh-CN" w:bidi="ar-SA"/>
        </w:rPr>
      </w:pPr>
      <w:r>
        <w:rPr>
          <w:rFonts w:hint="default" w:eastAsia="黑体" w:cs="Arial" w:asciiTheme="minorAscii" w:hAnsiTheme="minorAscii"/>
          <w:kern w:val="3"/>
          <w:sz w:val="20"/>
          <w:szCs w:val="20"/>
          <w:lang w:val="en-US" w:eastAsia="zh-CN" w:bidi="ar-SA"/>
        </w:rPr>
        <w:t xml:space="preserve">Figure </w:t>
      </w:r>
      <w:r>
        <w:rPr>
          <w:rFonts w:hint="default" w:eastAsia="黑体" w:cs="Arial" w:asciiTheme="minorAscii" w:hAnsiTheme="minorAscii"/>
          <w:kern w:val="3"/>
          <w:sz w:val="20"/>
          <w:szCs w:val="20"/>
          <w:lang w:val="en-US" w:eastAsia="zh-CN" w:bidi="ar-SA"/>
        </w:rPr>
        <w:t>16</w:t>
      </w:r>
      <w:r>
        <w:rPr>
          <w:rFonts w:hint="default" w:eastAsia="黑体" w:cs="Arial" w:asciiTheme="minorAscii" w:hAnsiTheme="minorAscii"/>
          <w:kern w:val="3"/>
          <w:sz w:val="20"/>
          <w:szCs w:val="20"/>
          <w:lang w:val="en-US" w:eastAsia="zh-CN" w:bidi="ar-SA"/>
        </w:rPr>
        <w:t>: Monthly Average of Magnesium from 2011 to 2012 (mg/l)</w:t>
      </w:r>
    </w:p>
    <w:p w14:paraId="4B0974A5">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p>
    <w:p w14:paraId="3EE8F2C9">
      <w:pPr>
        <w:widowControl w:val="0"/>
        <w:suppressAutoHyphens/>
        <w:autoSpaceDN w:val="0"/>
        <w:spacing w:line="240" w:lineRule="auto"/>
        <w:jc w:val="both"/>
        <w:rPr>
          <w:rFonts w:hint="default" w:eastAsia="宋体" w:cs="Arial" w:asciiTheme="minorAscii" w:hAnsiTheme="minorAscii"/>
          <w:b/>
          <w:bCs/>
          <w:kern w:val="3"/>
          <w:sz w:val="20"/>
          <w:szCs w:val="20"/>
          <w:lang w:val="en-US" w:eastAsia="zh-CN" w:bidi="ar-SA"/>
        </w:rPr>
      </w:pPr>
      <w:r>
        <w:rPr>
          <w:rFonts w:hint="default" w:eastAsia="宋体" w:cs="Arial" w:asciiTheme="minorAscii" w:hAnsiTheme="minorAscii"/>
          <w:b/>
          <w:bCs/>
          <w:kern w:val="3"/>
          <w:sz w:val="20"/>
          <w:szCs w:val="20"/>
          <w:lang w:val="en-US" w:eastAsia="zh-CN" w:bidi="ar-SA"/>
        </w:rPr>
        <w:t xml:space="preserve">Iron, Dissolved - Figure </w:t>
      </w:r>
      <w:r>
        <w:rPr>
          <w:rFonts w:hint="default" w:cs="Arial" w:asciiTheme="minorAscii" w:hAnsiTheme="minorAscii"/>
          <w:b/>
          <w:bCs/>
          <w:kern w:val="3"/>
          <w:sz w:val="20"/>
          <w:szCs w:val="20"/>
          <w:lang w:val="en-US" w:eastAsia="zh-CN" w:bidi="ar-SA"/>
        </w:rPr>
        <w:t>17</w:t>
      </w:r>
      <w:r>
        <w:rPr>
          <w:rFonts w:hint="default" w:eastAsia="宋体" w:cs="Arial" w:asciiTheme="minorAscii" w:hAnsiTheme="minorAscii"/>
          <w:b/>
          <w:bCs/>
          <w:kern w:val="3"/>
          <w:sz w:val="20"/>
          <w:szCs w:val="20"/>
          <w:lang w:val="en-US" w:eastAsia="zh-CN" w:bidi="ar-SA"/>
        </w:rPr>
        <w:t>:</w:t>
      </w:r>
    </w:p>
    <w:p w14:paraId="37A0E681">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The dissolved iron content at the MINEWATER station (S78396) is comparatively low. This observation could suggest effective management or treatment of iron discharges from mining activities, or geological factors that naturally limit iron dissolution into the water. Contrarily, the iron levels at station S10004, located downstream, are relatively high. This elevation could be influenced by sediment resuspension, runoff from surrounding lands, or other industrial inputs further downstream.</w:t>
      </w:r>
    </w:p>
    <w:p w14:paraId="50F260FD">
      <w:pPr>
        <w:widowControl w:val="0"/>
        <w:suppressAutoHyphens/>
        <w:autoSpaceDN w:val="0"/>
        <w:spacing w:line="240" w:lineRule="auto"/>
        <w:jc w:val="center"/>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drawing>
          <wp:inline distT="0" distB="0" distL="0" distR="0">
            <wp:extent cx="5248910" cy="3448685"/>
            <wp:effectExtent l="0" t="0" r="8890" b="5715"/>
            <wp:docPr id="1433184545" name="图片 40"/>
            <wp:cNvGraphicFramePr/>
            <a:graphic xmlns:a="http://schemas.openxmlformats.org/drawingml/2006/main">
              <a:graphicData uri="http://schemas.openxmlformats.org/drawingml/2006/picture">
                <pic:pic xmlns:pic="http://schemas.openxmlformats.org/drawingml/2006/picture">
                  <pic:nvPicPr>
                    <pic:cNvPr id="1433184545" name="图片 40"/>
                    <pic:cNvPicPr/>
                  </pic:nvPicPr>
                  <pic:blipFill>
                    <a:blip r:embed="rId22"/>
                    <a:stretch>
                      <a:fillRect/>
                    </a:stretch>
                  </pic:blipFill>
                  <pic:spPr>
                    <a:xfrm>
                      <a:off x="0" y="0"/>
                      <a:ext cx="5248912" cy="3449317"/>
                    </a:xfrm>
                    <a:prstGeom prst="rect">
                      <a:avLst/>
                    </a:prstGeom>
                    <a:noFill/>
                    <a:ln>
                      <a:noFill/>
                      <a:prstDash val="solid"/>
                    </a:ln>
                  </pic:spPr>
                </pic:pic>
              </a:graphicData>
            </a:graphic>
          </wp:inline>
        </w:drawing>
      </w:r>
    </w:p>
    <w:p w14:paraId="3600BE0E">
      <w:pPr>
        <w:widowControl w:val="0"/>
        <w:suppressAutoHyphens/>
        <w:autoSpaceDN w:val="0"/>
        <w:spacing w:line="240" w:lineRule="auto"/>
        <w:jc w:val="center"/>
        <w:rPr>
          <w:rFonts w:hint="default" w:eastAsia="黑体" w:cs="Arial" w:asciiTheme="minorAscii" w:hAnsiTheme="minorAscii"/>
          <w:kern w:val="3"/>
          <w:sz w:val="20"/>
          <w:szCs w:val="20"/>
          <w:lang w:val="en-US" w:eastAsia="zh-CN" w:bidi="ar-SA"/>
        </w:rPr>
      </w:pPr>
      <w:r>
        <w:rPr>
          <w:rFonts w:hint="default" w:eastAsia="黑体" w:cs="Arial" w:asciiTheme="minorAscii" w:hAnsiTheme="minorAscii"/>
          <w:kern w:val="3"/>
          <w:sz w:val="20"/>
          <w:szCs w:val="20"/>
          <w:lang w:val="en-US" w:eastAsia="zh-CN" w:bidi="ar-SA"/>
        </w:rPr>
        <w:t xml:space="preserve">Figure </w:t>
      </w:r>
      <w:r>
        <w:rPr>
          <w:rFonts w:hint="default" w:eastAsia="黑体" w:cs="Arial" w:asciiTheme="minorAscii" w:hAnsiTheme="minorAscii"/>
          <w:kern w:val="3"/>
          <w:sz w:val="20"/>
          <w:szCs w:val="20"/>
          <w:lang w:val="en-US" w:eastAsia="zh-CN" w:bidi="ar-SA"/>
        </w:rPr>
        <w:t>17</w:t>
      </w:r>
      <w:r>
        <w:rPr>
          <w:rFonts w:hint="default" w:eastAsia="黑体" w:cs="Arial" w:asciiTheme="minorAscii" w:hAnsiTheme="minorAscii"/>
          <w:kern w:val="3"/>
          <w:sz w:val="20"/>
          <w:szCs w:val="20"/>
          <w:lang w:val="en-US" w:eastAsia="zh-CN" w:bidi="ar-SA"/>
        </w:rPr>
        <w:t>: Monthly Average of Iron, Dissolved from 2011 to 2016 (ug/l)</w:t>
      </w:r>
    </w:p>
    <w:p w14:paraId="03B63F39">
      <w:pPr>
        <w:widowControl w:val="0"/>
        <w:suppressAutoHyphens/>
        <w:autoSpaceDN w:val="0"/>
        <w:spacing w:line="240" w:lineRule="auto"/>
        <w:jc w:val="center"/>
        <w:rPr>
          <w:rFonts w:hint="default" w:eastAsia="宋体" w:cs="Arial" w:asciiTheme="minorAscii" w:hAnsiTheme="minorAscii"/>
          <w:kern w:val="3"/>
          <w:sz w:val="20"/>
          <w:szCs w:val="20"/>
          <w:lang w:val="en-US" w:eastAsia="zh-CN" w:bidi="ar-SA"/>
        </w:rPr>
      </w:pPr>
    </w:p>
    <w:p w14:paraId="2E57FE26">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 xml:space="preserve">Sodium, Conductivity at </w:t>
      </w:r>
      <w:bookmarkStart w:id="6" w:name="OLE_LINK18"/>
      <w:r>
        <w:rPr>
          <w:rFonts w:hint="default" w:eastAsia="宋体" w:cs="Arial" w:asciiTheme="minorAscii" w:hAnsiTheme="minorAscii"/>
          <w:kern w:val="3"/>
          <w:sz w:val="20"/>
          <w:szCs w:val="20"/>
          <w:lang w:val="en-US" w:eastAsia="zh-CN" w:bidi="ar-SA"/>
        </w:rPr>
        <w:t>25°C</w:t>
      </w:r>
      <w:bookmarkEnd w:id="6"/>
      <w:r>
        <w:rPr>
          <w:rFonts w:hint="default" w:eastAsia="宋体" w:cs="Arial" w:asciiTheme="minorAscii" w:hAnsiTheme="minorAscii"/>
          <w:kern w:val="3"/>
          <w:sz w:val="20"/>
          <w:szCs w:val="20"/>
          <w:lang w:val="en-US" w:eastAsia="zh-CN" w:bidi="ar-SA"/>
        </w:rPr>
        <w:t>, Potassium, Dissolved, and Temperature of Water Trends:</w:t>
      </w:r>
    </w:p>
    <w:p w14:paraId="29FEEA9C">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The trend charts for Sodium, Conductivity at 25</w:t>
      </w:r>
      <w:bookmarkStart w:id="7" w:name="OLE_LINK19"/>
      <w:r>
        <w:rPr>
          <w:rFonts w:hint="default" w:eastAsia="宋体" w:cs="Arial" w:asciiTheme="minorAscii" w:hAnsiTheme="minorAscii"/>
          <w:kern w:val="3"/>
          <w:sz w:val="20"/>
          <w:szCs w:val="20"/>
          <w:lang w:val="en-US" w:eastAsia="zh-CN" w:bidi="ar-SA"/>
        </w:rPr>
        <w:t>°C</w:t>
      </w:r>
      <w:bookmarkEnd w:id="7"/>
      <w:r>
        <w:rPr>
          <w:rFonts w:hint="default" w:eastAsia="宋体" w:cs="Arial" w:asciiTheme="minorAscii" w:hAnsiTheme="minorAscii"/>
          <w:kern w:val="3"/>
          <w:sz w:val="20"/>
          <w:szCs w:val="20"/>
          <w:lang w:val="en-US" w:eastAsia="zh-CN" w:bidi="ar-SA"/>
        </w:rPr>
        <w:t>, Potassium, Dissolved, and Water Temperature can be found in Appendix 6.</w:t>
      </w:r>
    </w:p>
    <w:p w14:paraId="4DAD44F3">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p>
    <w:p w14:paraId="2B32BEFD">
      <w:pPr>
        <w:widowControl w:val="0"/>
        <w:suppressAutoHyphens/>
        <w:autoSpaceDN w:val="0"/>
        <w:spacing w:line="240" w:lineRule="auto"/>
        <w:jc w:val="both"/>
        <w:rPr>
          <w:rFonts w:hint="default" w:eastAsia="宋体" w:cs="Arial" w:asciiTheme="minorAscii" w:hAnsiTheme="minorAscii"/>
          <w:kern w:val="3"/>
          <w:sz w:val="20"/>
          <w:szCs w:val="20"/>
          <w:lang w:val="en-US" w:eastAsia="zh-CN" w:bidi="ar-SA"/>
        </w:rPr>
      </w:pPr>
      <w:r>
        <w:rPr>
          <w:rFonts w:hint="default" w:eastAsia="宋体" w:cs="Arial" w:asciiTheme="minorAscii" w:hAnsiTheme="minorAscii"/>
          <w:kern w:val="3"/>
          <w:sz w:val="20"/>
          <w:szCs w:val="20"/>
          <w:lang w:val="en-US" w:eastAsia="zh-CN" w:bidi="ar-SA"/>
        </w:rPr>
        <w:t>Based on the analysis of water quality in the Neath River, it can be inferred that changes in parameter values at upstream stations may influence the values observed at downstream stations. The MINEWATER station, located near the river, often exhibits relatively high measurements for some parameters. However, these elevated measurements can also affect the parameter values at downstream stations, indicating a downstream impact. Similarly, the MINEWATER station is influenced by the parameter measurements from the upstream stations, showing an interconnected dynamic where upstream conditions propagate downstream.</w:t>
      </w:r>
    </w:p>
    <w:p w14:paraId="3A9F6AAA">
      <w:pPr>
        <w:pStyle w:val="7"/>
        <w:rPr>
          <w:rFonts w:hint="default" w:asciiTheme="minorAscii" w:hAnsiTheme="minorAscii"/>
          <w:sz w:val="20"/>
          <w:szCs w:val="20"/>
        </w:rPr>
      </w:pPr>
    </w:p>
    <w:p w14:paraId="2EE8A790">
      <w:pPr>
        <w:pStyle w:val="8"/>
        <w:numPr>
          <w:numId w:val="0"/>
        </w:numPr>
        <w:ind w:leftChars="0"/>
        <w:rPr>
          <w:rFonts w:hint="default" w:asciiTheme="minorAscii" w:hAnsiTheme="minorAscii"/>
          <w:sz w:val="20"/>
          <w:szCs w:val="20"/>
        </w:rPr>
      </w:pPr>
      <w:bookmarkStart w:id="8" w:name="_Toc1314631925"/>
      <w:bookmarkStart w:id="9" w:name="_Toc485658275"/>
      <w:bookmarkStart w:id="10" w:name="_Toc5050"/>
      <w:r>
        <w:rPr>
          <w:rFonts w:hint="default" w:asciiTheme="minorAscii" w:hAnsiTheme="minorAscii"/>
          <w:sz w:val="20"/>
          <w:szCs w:val="20"/>
        </w:rPr>
        <w:t>A Case Study of the Afan River in Wales</w:t>
      </w:r>
      <w:bookmarkEnd w:id="8"/>
      <w:bookmarkEnd w:id="9"/>
      <w:bookmarkEnd w:id="10"/>
      <w:r>
        <w:rPr>
          <w:rFonts w:hint="default" w:asciiTheme="minorAscii" w:hAnsiTheme="minorAscii"/>
          <w:sz w:val="20"/>
          <w:szCs w:val="20"/>
        </w:rPr>
        <w:t xml:space="preserve"> </w:t>
      </w:r>
    </w:p>
    <w:p w14:paraId="2E710CA4">
      <w:pPr>
        <w:pStyle w:val="7"/>
        <w:jc w:val="left"/>
        <w:rPr>
          <w:rFonts w:hint="default" w:asciiTheme="minorAscii" w:hAnsiTheme="minorAscii"/>
          <w:sz w:val="20"/>
          <w:szCs w:val="20"/>
        </w:rPr>
      </w:pPr>
      <w:bookmarkStart w:id="11" w:name="OLE_LINK20"/>
      <w:r>
        <w:rPr>
          <w:rFonts w:hint="default" w:asciiTheme="minorAscii" w:hAnsiTheme="minorAscii"/>
          <w:sz w:val="20"/>
          <w:szCs w:val="20"/>
        </w:rPr>
        <w:t xml:space="preserve">This section presents a comparative analysis of water quality parameter changes at upstream, midstream, and downstream stations along the Afan River in Wales, from 2000 to 2023 (All visualizations and trend charts for the measured parameters can be found in Appendix </w:t>
      </w:r>
      <w:r>
        <w:rPr>
          <w:rFonts w:hint="default" w:asciiTheme="minorAscii" w:hAnsiTheme="minorAscii"/>
          <w:sz w:val="20"/>
          <w:szCs w:val="20"/>
          <w:lang w:val="en-US" w:eastAsia="zh-CN"/>
        </w:rPr>
        <w:t>6</w:t>
      </w:r>
      <w:r>
        <w:rPr>
          <w:rFonts w:hint="default" w:asciiTheme="minorAscii" w:hAnsiTheme="minorAscii"/>
          <w:sz w:val="20"/>
          <w:szCs w:val="20"/>
        </w:rPr>
        <w:t>.):</w:t>
      </w:r>
    </w:p>
    <w:p w14:paraId="41FEB470">
      <w:pPr>
        <w:pStyle w:val="7"/>
        <w:jc w:val="left"/>
        <w:rPr>
          <w:rFonts w:hint="default" w:asciiTheme="minorAscii" w:hAnsiTheme="minorAscii"/>
          <w:b/>
          <w:bCs/>
          <w:sz w:val="20"/>
          <w:szCs w:val="20"/>
        </w:rPr>
      </w:pPr>
      <w:r>
        <w:rPr>
          <w:rFonts w:hint="default" w:asciiTheme="minorAscii" w:hAnsiTheme="minorAscii"/>
          <w:b/>
          <w:bCs/>
          <w:sz w:val="20"/>
          <w:szCs w:val="20"/>
        </w:rPr>
        <w:t>Upstream Station:</w:t>
      </w:r>
    </w:p>
    <w:p w14:paraId="635D03C1">
      <w:pPr>
        <w:pStyle w:val="7"/>
        <w:jc w:val="left"/>
        <w:rPr>
          <w:rFonts w:hint="default" w:asciiTheme="minorAscii" w:hAnsiTheme="minorAscii"/>
          <w:b/>
          <w:bCs/>
          <w:sz w:val="20"/>
          <w:szCs w:val="20"/>
        </w:rPr>
      </w:pPr>
      <w:r>
        <w:rPr>
          <w:rFonts w:hint="default" w:asciiTheme="minorAscii" w:hAnsiTheme="minorAscii"/>
          <w:b/>
          <w:bCs/>
          <w:sz w:val="20"/>
          <w:szCs w:val="20"/>
        </w:rPr>
        <w:t>Station Number: S11004 (Green mark in Figure 4.31)</w:t>
      </w:r>
    </w:p>
    <w:p w14:paraId="0265DF81">
      <w:pPr>
        <w:pStyle w:val="7"/>
        <w:jc w:val="left"/>
        <w:rPr>
          <w:rFonts w:hint="default" w:asciiTheme="minorAscii" w:hAnsiTheme="minorAscii"/>
          <w:sz w:val="20"/>
          <w:szCs w:val="20"/>
        </w:rPr>
      </w:pPr>
      <w:r>
        <w:rPr>
          <w:rFonts w:hint="default" w:asciiTheme="minorAscii" w:hAnsiTheme="minorAscii"/>
          <w:sz w:val="20"/>
          <w:szCs w:val="20"/>
        </w:rPr>
        <w:t>Station Name: R PELENA -R.B ABOVE AFAN CONF. (Pelenna River upstream of the Afan River confluence)</w:t>
      </w:r>
    </w:p>
    <w:p w14:paraId="193C09EB">
      <w:pPr>
        <w:pStyle w:val="7"/>
        <w:jc w:val="left"/>
        <w:rPr>
          <w:rFonts w:hint="default" w:asciiTheme="minorAscii" w:hAnsiTheme="minorAscii"/>
          <w:sz w:val="20"/>
          <w:szCs w:val="20"/>
        </w:rPr>
      </w:pPr>
      <w:r>
        <w:rPr>
          <w:rFonts w:hint="default" w:asciiTheme="minorAscii" w:hAnsiTheme="minorAscii"/>
          <w:sz w:val="20"/>
          <w:szCs w:val="20"/>
        </w:rPr>
        <w:t>Station Type: FRESHWATER - UNSPECIFIED</w:t>
      </w:r>
    </w:p>
    <w:p w14:paraId="2F553CBD">
      <w:pPr>
        <w:pStyle w:val="7"/>
        <w:jc w:val="left"/>
        <w:rPr>
          <w:rFonts w:hint="default" w:asciiTheme="minorAscii" w:hAnsiTheme="minorAscii"/>
          <w:sz w:val="20"/>
          <w:szCs w:val="20"/>
        </w:rPr>
      </w:pPr>
      <w:r>
        <w:rPr>
          <w:rStyle w:val="6"/>
          <w:rFonts w:hint="default" w:asciiTheme="minorAscii" w:hAnsiTheme="minorAscii"/>
          <w:b/>
          <w:bCs/>
          <w:sz w:val="20"/>
          <w:szCs w:val="20"/>
        </w:rPr>
        <w:t>Midstream Station:</w:t>
      </w:r>
    </w:p>
    <w:p w14:paraId="7407EA43">
      <w:pPr>
        <w:pStyle w:val="7"/>
        <w:jc w:val="left"/>
        <w:rPr>
          <w:rFonts w:hint="default" w:asciiTheme="minorAscii" w:hAnsiTheme="minorAscii"/>
          <w:b/>
          <w:bCs/>
          <w:sz w:val="20"/>
          <w:szCs w:val="20"/>
        </w:rPr>
      </w:pPr>
      <w:r>
        <w:rPr>
          <w:rFonts w:hint="default" w:asciiTheme="minorAscii" w:hAnsiTheme="minorAscii"/>
          <w:b/>
          <w:bCs/>
          <w:sz w:val="20"/>
          <w:szCs w:val="20"/>
        </w:rPr>
        <w:t>Station Number: S71002 (Blue mark in Figure 4.31)</w:t>
      </w:r>
    </w:p>
    <w:p w14:paraId="6EB2F0BE">
      <w:pPr>
        <w:pStyle w:val="7"/>
        <w:jc w:val="left"/>
        <w:rPr>
          <w:rFonts w:hint="default" w:asciiTheme="minorAscii" w:hAnsiTheme="minorAscii"/>
          <w:sz w:val="20"/>
          <w:szCs w:val="20"/>
        </w:rPr>
      </w:pPr>
      <w:r>
        <w:rPr>
          <w:rFonts w:hint="default" w:asciiTheme="minorAscii" w:hAnsiTheme="minorAscii"/>
          <w:sz w:val="20"/>
          <w:szCs w:val="20"/>
        </w:rPr>
        <w:t>Station Name: R.AFAN AT NEWBRIDGE ROAD, PORT TALBOT (Afan River at Newbridge Road, Port Talbot)</w:t>
      </w:r>
    </w:p>
    <w:p w14:paraId="61CA9225">
      <w:pPr>
        <w:pStyle w:val="7"/>
        <w:jc w:val="left"/>
        <w:rPr>
          <w:rFonts w:hint="default" w:asciiTheme="minorAscii" w:hAnsiTheme="minorAscii"/>
          <w:sz w:val="20"/>
          <w:szCs w:val="20"/>
        </w:rPr>
      </w:pPr>
      <w:r>
        <w:rPr>
          <w:rFonts w:hint="default" w:asciiTheme="minorAscii" w:hAnsiTheme="minorAscii"/>
          <w:sz w:val="20"/>
          <w:szCs w:val="20"/>
        </w:rPr>
        <w:t xml:space="preserve">Station Type: SALINE WATER - COASTAL SITES - NON BATHING/SHELLFISH </w:t>
      </w:r>
    </w:p>
    <w:p w14:paraId="33558FA7">
      <w:pPr>
        <w:pStyle w:val="7"/>
        <w:jc w:val="left"/>
        <w:rPr>
          <w:rFonts w:hint="default" w:asciiTheme="minorAscii" w:hAnsiTheme="minorAscii"/>
          <w:b/>
          <w:bCs/>
          <w:sz w:val="20"/>
          <w:szCs w:val="20"/>
        </w:rPr>
      </w:pPr>
      <w:r>
        <w:rPr>
          <w:rFonts w:hint="default" w:asciiTheme="minorAscii" w:hAnsiTheme="minorAscii"/>
          <w:b/>
          <w:bCs/>
          <w:sz w:val="20"/>
          <w:szCs w:val="20"/>
        </w:rPr>
        <w:t>Downstream Station:</w:t>
      </w:r>
    </w:p>
    <w:p w14:paraId="7474B6F5">
      <w:pPr>
        <w:pStyle w:val="7"/>
        <w:jc w:val="left"/>
        <w:rPr>
          <w:rFonts w:hint="default" w:asciiTheme="minorAscii" w:hAnsiTheme="minorAscii"/>
          <w:b/>
          <w:bCs/>
          <w:sz w:val="20"/>
          <w:szCs w:val="20"/>
        </w:rPr>
      </w:pPr>
      <w:r>
        <w:rPr>
          <w:rFonts w:hint="default" w:asciiTheme="minorAscii" w:hAnsiTheme="minorAscii"/>
          <w:b/>
          <w:bCs/>
          <w:sz w:val="20"/>
          <w:szCs w:val="20"/>
        </w:rPr>
        <w:t>Station Number: S74109</w:t>
      </w:r>
    </w:p>
    <w:p w14:paraId="3C9BC52C">
      <w:pPr>
        <w:pStyle w:val="7"/>
        <w:jc w:val="left"/>
        <w:rPr>
          <w:rFonts w:hint="default" w:asciiTheme="minorAscii" w:hAnsiTheme="minorAscii"/>
          <w:sz w:val="20"/>
          <w:szCs w:val="20"/>
        </w:rPr>
      </w:pPr>
      <w:r>
        <w:rPr>
          <w:rFonts w:hint="default" w:asciiTheme="minorAscii" w:hAnsiTheme="minorAscii"/>
          <w:sz w:val="20"/>
          <w:szCs w:val="20"/>
        </w:rPr>
        <w:t>Station Name: AFAN O/F: 100M DOWNTIDE (Afan River Outfall: 100m Downstream)</w:t>
      </w:r>
    </w:p>
    <w:p w14:paraId="3EE7FFAD">
      <w:pPr>
        <w:pStyle w:val="7"/>
        <w:jc w:val="left"/>
        <w:rPr>
          <w:rFonts w:hint="default" w:asciiTheme="minorAscii" w:hAnsiTheme="minorAscii"/>
          <w:sz w:val="20"/>
          <w:szCs w:val="20"/>
        </w:rPr>
      </w:pPr>
      <w:r>
        <w:rPr>
          <w:rFonts w:hint="default" w:asciiTheme="minorAscii" w:hAnsiTheme="minorAscii"/>
          <w:sz w:val="20"/>
          <w:szCs w:val="20"/>
        </w:rPr>
        <w:t xml:space="preserve">Station Type: SALINE WATER - COASTAL SITES - NON BATHING/SHELLFISH </w:t>
      </w:r>
      <w:r>
        <w:rPr>
          <w:rFonts w:hint="default" w:asciiTheme="minorAscii" w:hAnsiTheme="minorAscii"/>
          <w:sz w:val="20"/>
          <w:szCs w:val="20"/>
        </w:rPr>
        <w:drawing>
          <wp:inline distT="0" distB="0" distL="0" distR="0">
            <wp:extent cx="2582545" cy="3496945"/>
            <wp:effectExtent l="0" t="0" r="8255" b="8255"/>
            <wp:docPr id="2144148993" name="图片 1"/>
            <wp:cNvGraphicFramePr/>
            <a:graphic xmlns:a="http://schemas.openxmlformats.org/drawingml/2006/main">
              <a:graphicData uri="http://schemas.openxmlformats.org/drawingml/2006/picture">
                <pic:pic xmlns:pic="http://schemas.openxmlformats.org/drawingml/2006/picture">
                  <pic:nvPicPr>
                    <pic:cNvPr id="2144148993" name="图片 1"/>
                    <pic:cNvPicPr/>
                  </pic:nvPicPr>
                  <pic:blipFill>
                    <a:blip r:embed="rId23"/>
                    <a:stretch>
                      <a:fillRect/>
                    </a:stretch>
                  </pic:blipFill>
                  <pic:spPr>
                    <a:xfrm>
                      <a:off x="0" y="0"/>
                      <a:ext cx="2583179" cy="3497579"/>
                    </a:xfrm>
                    <a:prstGeom prst="rect">
                      <a:avLst/>
                    </a:prstGeom>
                    <a:noFill/>
                    <a:ln>
                      <a:noFill/>
                      <a:prstDash val="solid"/>
                    </a:ln>
                  </pic:spPr>
                </pic:pic>
              </a:graphicData>
            </a:graphic>
          </wp:inline>
        </w:drawing>
      </w:r>
      <w:r>
        <w:rPr>
          <w:rFonts w:hint="default" w:asciiTheme="minorAscii" w:hAnsiTheme="minorAscii"/>
          <w:sz w:val="20"/>
          <w:szCs w:val="20"/>
        </w:rPr>
        <w:drawing>
          <wp:inline distT="0" distB="0" distL="0" distR="0">
            <wp:extent cx="2544445" cy="2004060"/>
            <wp:effectExtent l="0" t="0" r="8255" b="2540"/>
            <wp:docPr id="1615095755" name="图片 45"/>
            <wp:cNvGraphicFramePr/>
            <a:graphic xmlns:a="http://schemas.openxmlformats.org/drawingml/2006/main">
              <a:graphicData uri="http://schemas.openxmlformats.org/drawingml/2006/picture">
                <pic:pic xmlns:pic="http://schemas.openxmlformats.org/drawingml/2006/picture">
                  <pic:nvPicPr>
                    <pic:cNvPr id="1615095755" name="图片 45"/>
                    <pic:cNvPicPr/>
                  </pic:nvPicPr>
                  <pic:blipFill>
                    <a:blip r:embed="rId24"/>
                    <a:stretch>
                      <a:fillRect/>
                    </a:stretch>
                  </pic:blipFill>
                  <pic:spPr>
                    <a:xfrm>
                      <a:off x="0" y="0"/>
                      <a:ext cx="2544446" cy="2004693"/>
                    </a:xfrm>
                    <a:prstGeom prst="rect">
                      <a:avLst/>
                    </a:prstGeom>
                    <a:noFill/>
                    <a:ln>
                      <a:noFill/>
                      <a:prstDash val="solid"/>
                    </a:ln>
                  </pic:spPr>
                </pic:pic>
              </a:graphicData>
            </a:graphic>
          </wp:inline>
        </w:drawing>
      </w:r>
    </w:p>
    <w:p w14:paraId="65486FC1">
      <w:pPr>
        <w:pStyle w:val="9"/>
        <w:jc w:val="left"/>
        <w:rPr>
          <w:rFonts w:hint="default" w:asciiTheme="minorAscii" w:hAnsiTheme="minorAscii"/>
          <w:sz w:val="20"/>
          <w:szCs w:val="20"/>
        </w:rPr>
      </w:pPr>
      <w:r>
        <w:rPr>
          <w:rFonts w:hint="default" w:asciiTheme="minorAscii" w:hAnsiTheme="minorAscii"/>
          <w:sz w:val="20"/>
          <w:szCs w:val="20"/>
        </w:rPr>
        <w:t>Figure 4.31: Afan River on map                           Figure 4.32: Afan River-Plane coordinates</w:t>
      </w:r>
    </w:p>
    <w:bookmarkEnd w:id="11"/>
    <w:p w14:paraId="26F42C23">
      <w:pPr>
        <w:pStyle w:val="7"/>
        <w:rPr>
          <w:rFonts w:hint="default" w:asciiTheme="minorAscii" w:hAnsiTheme="minorAscii"/>
          <w:sz w:val="20"/>
          <w:szCs w:val="20"/>
        </w:rPr>
      </w:pPr>
    </w:p>
    <w:p w14:paraId="004DF936">
      <w:pPr>
        <w:pStyle w:val="7"/>
        <w:rPr>
          <w:rFonts w:hint="default" w:asciiTheme="minorAscii" w:hAnsiTheme="minorAscii"/>
          <w:b/>
          <w:bCs/>
          <w:sz w:val="20"/>
          <w:szCs w:val="20"/>
        </w:rPr>
      </w:pPr>
      <w:r>
        <w:rPr>
          <w:rFonts w:hint="default" w:asciiTheme="minorAscii" w:hAnsiTheme="minorAscii"/>
          <w:b/>
          <w:bCs/>
          <w:sz w:val="20"/>
          <w:szCs w:val="20"/>
        </w:rPr>
        <w:t>Common Measured Parameters Across Upstream, Midstream, and Downstream Stations:</w:t>
      </w:r>
    </w:p>
    <w:p w14:paraId="4A5E2C76">
      <w:pPr>
        <w:pStyle w:val="7"/>
        <w:rPr>
          <w:rFonts w:hint="default" w:asciiTheme="minorAscii" w:hAnsiTheme="minorAscii"/>
          <w:b/>
          <w:bCs/>
          <w:sz w:val="20"/>
          <w:szCs w:val="20"/>
        </w:rPr>
      </w:pPr>
      <w:r>
        <w:rPr>
          <w:rFonts w:hint="default" w:asciiTheme="minorAscii" w:hAnsiTheme="minorAscii"/>
          <w:b/>
          <w:bCs/>
          <w:sz w:val="20"/>
          <w:szCs w:val="20"/>
        </w:rPr>
        <w:t>Solids, Suspended at 105°C:</w:t>
      </w:r>
    </w:p>
    <w:p w14:paraId="19DC8C47">
      <w:pPr>
        <w:pStyle w:val="7"/>
        <w:rPr>
          <w:rFonts w:hint="default" w:asciiTheme="minorAscii" w:hAnsiTheme="minorAscii"/>
          <w:sz w:val="20"/>
          <w:szCs w:val="20"/>
        </w:rPr>
      </w:pPr>
      <w:r>
        <w:rPr>
          <w:rFonts w:hint="default" w:asciiTheme="minorAscii" w:hAnsiTheme="minorAscii"/>
          <w:sz w:val="20"/>
          <w:szCs w:val="20"/>
        </w:rPr>
        <w:t>This parameter is consistent across all three stations and reflects the concentration of suspended particles. Variations could indicate sediment or particulate matter influences from upstream or anthropogenic sources, but all stations share similar trends over time.</w:t>
      </w:r>
    </w:p>
    <w:p w14:paraId="3CFE46C0">
      <w:pPr>
        <w:pStyle w:val="7"/>
        <w:rPr>
          <w:rFonts w:hint="default" w:asciiTheme="minorAscii" w:hAnsiTheme="minorAscii"/>
          <w:b/>
          <w:bCs/>
          <w:sz w:val="20"/>
          <w:szCs w:val="20"/>
        </w:rPr>
      </w:pPr>
      <w:r>
        <w:rPr>
          <w:rFonts w:hint="default" w:asciiTheme="minorAscii" w:hAnsiTheme="minorAscii"/>
          <w:b/>
          <w:bCs/>
          <w:sz w:val="20"/>
          <w:szCs w:val="20"/>
        </w:rPr>
        <w:t>Temperature of Water:</w:t>
      </w:r>
    </w:p>
    <w:p w14:paraId="01ED0E1E">
      <w:pPr>
        <w:pStyle w:val="7"/>
        <w:rPr>
          <w:rFonts w:hint="default" w:asciiTheme="minorAscii" w:hAnsiTheme="minorAscii"/>
          <w:sz w:val="20"/>
          <w:szCs w:val="20"/>
        </w:rPr>
      </w:pPr>
      <w:r>
        <w:rPr>
          <w:rFonts w:hint="default" w:asciiTheme="minorAscii" w:hAnsiTheme="minorAscii"/>
          <w:sz w:val="20"/>
          <w:szCs w:val="20"/>
        </w:rPr>
        <w:t>Water temperature fluctuates with the seasons, showing similar trends across the upstream, midstream, and downstream stations. Seasonal changes lead to consistent temperature variations at all sites, likely due to shared regional climatic conditions.</w:t>
      </w:r>
    </w:p>
    <w:p w14:paraId="7E434A9E">
      <w:pPr>
        <w:pStyle w:val="7"/>
        <w:rPr>
          <w:rFonts w:hint="default" w:asciiTheme="minorAscii" w:hAnsiTheme="minorAscii"/>
          <w:b/>
          <w:bCs/>
          <w:sz w:val="20"/>
          <w:szCs w:val="20"/>
        </w:rPr>
      </w:pPr>
      <w:r>
        <w:rPr>
          <w:rFonts w:hint="default" w:asciiTheme="minorAscii" w:hAnsiTheme="minorAscii"/>
          <w:b/>
          <w:bCs/>
          <w:sz w:val="20"/>
          <w:szCs w:val="20"/>
        </w:rPr>
        <w:t>Oxygen, Dissolved, % Saturation:</w:t>
      </w:r>
    </w:p>
    <w:p w14:paraId="769298AB">
      <w:pPr>
        <w:pStyle w:val="7"/>
        <w:rPr>
          <w:rFonts w:hint="default" w:asciiTheme="minorAscii" w:hAnsiTheme="minorAscii"/>
          <w:sz w:val="20"/>
          <w:szCs w:val="20"/>
        </w:rPr>
      </w:pPr>
      <w:r>
        <w:rPr>
          <w:rFonts w:hint="default" w:asciiTheme="minorAscii" w:hAnsiTheme="minorAscii"/>
          <w:sz w:val="20"/>
          <w:szCs w:val="20"/>
        </w:rPr>
        <w:t>The dissolved oxygen saturation shows a similar trend across all stations. However, downstream dissolved oxygen levels are often lower compared to upstream levels, potentially due to organic material and urban runoff reducing oxygen availability in downstream waters.</w:t>
      </w:r>
    </w:p>
    <w:p w14:paraId="70F7C00B">
      <w:pPr>
        <w:pStyle w:val="7"/>
        <w:rPr>
          <w:rFonts w:hint="default" w:asciiTheme="minorAscii" w:hAnsiTheme="minorAscii"/>
          <w:sz w:val="20"/>
          <w:szCs w:val="20"/>
        </w:rPr>
      </w:pPr>
    </w:p>
    <w:p w14:paraId="6B8F63CC">
      <w:pPr>
        <w:pStyle w:val="7"/>
        <w:rPr>
          <w:rFonts w:hint="default" w:asciiTheme="minorAscii" w:hAnsiTheme="minorAscii"/>
          <w:b/>
          <w:bCs/>
          <w:sz w:val="20"/>
          <w:szCs w:val="20"/>
        </w:rPr>
      </w:pPr>
      <w:r>
        <w:rPr>
          <w:rFonts w:hint="default" w:asciiTheme="minorAscii" w:hAnsiTheme="minorAscii"/>
          <w:b/>
          <w:bCs/>
          <w:sz w:val="20"/>
          <w:szCs w:val="20"/>
        </w:rPr>
        <w:t>Common Measured Parameters Between Upstream and Downstream Stations:</w:t>
      </w:r>
    </w:p>
    <w:p w14:paraId="76F48869">
      <w:pPr>
        <w:pStyle w:val="7"/>
        <w:rPr>
          <w:rFonts w:hint="default" w:asciiTheme="minorAscii" w:hAnsiTheme="minorAscii"/>
          <w:b/>
          <w:bCs/>
          <w:sz w:val="20"/>
          <w:szCs w:val="20"/>
        </w:rPr>
      </w:pPr>
      <w:r>
        <w:rPr>
          <w:rFonts w:hint="default" w:asciiTheme="minorAscii" w:hAnsiTheme="minorAscii"/>
          <w:b/>
          <w:bCs/>
          <w:sz w:val="20"/>
          <w:szCs w:val="20"/>
        </w:rPr>
        <w:t>Copper, Dissolved:</w:t>
      </w:r>
    </w:p>
    <w:p w14:paraId="1E22155D">
      <w:pPr>
        <w:pStyle w:val="7"/>
        <w:rPr>
          <w:rFonts w:hint="default" w:asciiTheme="minorAscii" w:hAnsiTheme="minorAscii"/>
          <w:sz w:val="20"/>
          <w:szCs w:val="20"/>
        </w:rPr>
      </w:pPr>
      <w:r>
        <w:rPr>
          <w:rFonts w:hint="default" w:asciiTheme="minorAscii" w:hAnsiTheme="minorAscii"/>
          <w:sz w:val="20"/>
          <w:szCs w:val="20"/>
        </w:rPr>
        <w:t>Copper levels are significantly higher upstream. When copper levels increase upstream, a corresponding increase is observed downstream, and likewise, decreases upstream result in lower downstream levels.</w:t>
      </w:r>
    </w:p>
    <w:p w14:paraId="1C9A55F2">
      <w:pPr>
        <w:pStyle w:val="7"/>
        <w:rPr>
          <w:rFonts w:hint="default" w:asciiTheme="minorAscii" w:hAnsiTheme="minorAscii"/>
          <w:b/>
          <w:bCs/>
          <w:sz w:val="20"/>
          <w:szCs w:val="20"/>
        </w:rPr>
      </w:pPr>
      <w:r>
        <w:rPr>
          <w:rFonts w:hint="default" w:asciiTheme="minorAscii" w:hAnsiTheme="minorAscii"/>
          <w:b/>
          <w:bCs/>
          <w:sz w:val="20"/>
          <w:szCs w:val="20"/>
        </w:rPr>
        <w:t>Calcium:</w:t>
      </w:r>
    </w:p>
    <w:p w14:paraId="67DFF17D">
      <w:pPr>
        <w:pStyle w:val="7"/>
        <w:rPr>
          <w:rFonts w:hint="default" w:asciiTheme="minorAscii" w:hAnsiTheme="minorAscii"/>
          <w:sz w:val="20"/>
          <w:szCs w:val="20"/>
        </w:rPr>
      </w:pPr>
      <w:r>
        <w:rPr>
          <w:rFonts w:hint="default" w:asciiTheme="minorAscii" w:hAnsiTheme="minorAscii"/>
          <w:sz w:val="20"/>
          <w:szCs w:val="20"/>
        </w:rPr>
        <w:t>Calcium levels are markedly higher downstream compared to upstream, indicating possible influences from saline intrusion or sedimentary processes near the river’s mouth.</w:t>
      </w:r>
    </w:p>
    <w:p w14:paraId="15403AAE">
      <w:pPr>
        <w:pStyle w:val="7"/>
        <w:rPr>
          <w:rFonts w:hint="default" w:asciiTheme="minorAscii" w:hAnsiTheme="minorAscii"/>
          <w:b/>
          <w:bCs/>
          <w:sz w:val="20"/>
          <w:szCs w:val="20"/>
        </w:rPr>
      </w:pPr>
      <w:r>
        <w:rPr>
          <w:rFonts w:hint="default" w:asciiTheme="minorAscii" w:hAnsiTheme="minorAscii"/>
          <w:b/>
          <w:bCs/>
          <w:sz w:val="20"/>
          <w:szCs w:val="20"/>
        </w:rPr>
        <w:t>Solids, Suspended at 105°C:</w:t>
      </w:r>
    </w:p>
    <w:p w14:paraId="5C17D8C3">
      <w:pPr>
        <w:pStyle w:val="7"/>
        <w:rPr>
          <w:rFonts w:hint="default" w:asciiTheme="minorAscii" w:hAnsiTheme="minorAscii"/>
          <w:sz w:val="20"/>
          <w:szCs w:val="20"/>
        </w:rPr>
      </w:pPr>
      <w:r>
        <w:rPr>
          <w:rFonts w:hint="default" w:asciiTheme="minorAscii" w:hAnsiTheme="minorAscii"/>
          <w:sz w:val="20"/>
          <w:szCs w:val="20"/>
        </w:rPr>
        <w:t>As seen across all stations, suspended solids remain a common measure between upstream and downstream stations, with variations potentially influenced by runoff, sediment transport, or human activities.</w:t>
      </w:r>
    </w:p>
    <w:p w14:paraId="19E3897C">
      <w:pPr>
        <w:pStyle w:val="7"/>
        <w:rPr>
          <w:rFonts w:hint="default" w:asciiTheme="minorAscii" w:hAnsiTheme="minorAscii"/>
          <w:b/>
          <w:bCs/>
          <w:sz w:val="20"/>
          <w:szCs w:val="20"/>
        </w:rPr>
      </w:pPr>
      <w:r>
        <w:rPr>
          <w:rFonts w:hint="default" w:asciiTheme="minorAscii" w:hAnsiTheme="minorAscii"/>
          <w:b/>
          <w:bCs/>
          <w:sz w:val="20"/>
          <w:szCs w:val="20"/>
        </w:rPr>
        <w:t>Magnesium:</w:t>
      </w:r>
    </w:p>
    <w:p w14:paraId="491E08F4">
      <w:pPr>
        <w:pStyle w:val="7"/>
        <w:rPr>
          <w:rFonts w:hint="default" w:asciiTheme="minorAscii" w:hAnsiTheme="minorAscii"/>
          <w:sz w:val="20"/>
          <w:szCs w:val="20"/>
        </w:rPr>
      </w:pPr>
      <w:r>
        <w:rPr>
          <w:rFonts w:hint="default" w:asciiTheme="minorAscii" w:hAnsiTheme="minorAscii"/>
          <w:sz w:val="20"/>
          <w:szCs w:val="20"/>
        </w:rPr>
        <w:t>Magnesium concentrations downstream are considerably higher than those upstream, reflecting typical magnesium concentrations in natural water bodies (0.5 to 150 mg/L). The downstream station (S74109) shows unusually high magnesium levels.</w:t>
      </w:r>
    </w:p>
    <w:p w14:paraId="204A473E">
      <w:pPr>
        <w:pStyle w:val="7"/>
        <w:rPr>
          <w:rFonts w:hint="default" w:asciiTheme="minorAscii" w:hAnsiTheme="minorAscii"/>
          <w:b/>
          <w:bCs/>
          <w:sz w:val="20"/>
          <w:szCs w:val="20"/>
        </w:rPr>
      </w:pPr>
      <w:r>
        <w:rPr>
          <w:rFonts w:hint="default" w:asciiTheme="minorAscii" w:hAnsiTheme="minorAscii"/>
          <w:b/>
          <w:bCs/>
          <w:sz w:val="20"/>
          <w:szCs w:val="20"/>
        </w:rPr>
        <w:t>pH : In Situ:</w:t>
      </w:r>
    </w:p>
    <w:p w14:paraId="5C9BDDC1">
      <w:pPr>
        <w:pStyle w:val="7"/>
        <w:rPr>
          <w:rFonts w:hint="default" w:asciiTheme="minorAscii" w:hAnsiTheme="minorAscii"/>
          <w:sz w:val="20"/>
          <w:szCs w:val="20"/>
        </w:rPr>
      </w:pPr>
      <w:r>
        <w:rPr>
          <w:rFonts w:hint="default" w:asciiTheme="minorAscii" w:hAnsiTheme="minorAscii"/>
          <w:sz w:val="20"/>
          <w:szCs w:val="20"/>
        </w:rPr>
        <w:t>The downstream station (S74109) has only one recorded pH value of 8, whereas the upstream station (S11004) shows a range between 7.24 and 8.01, indicating that upstream waters are closer to neutral, while downstream waters are more alkaline.</w:t>
      </w:r>
    </w:p>
    <w:p w14:paraId="629712D9">
      <w:pPr>
        <w:pStyle w:val="7"/>
        <w:rPr>
          <w:rFonts w:hint="default" w:asciiTheme="minorAscii" w:hAnsiTheme="minorAscii"/>
          <w:b/>
          <w:bCs/>
          <w:sz w:val="20"/>
          <w:szCs w:val="20"/>
        </w:rPr>
      </w:pPr>
      <w:r>
        <w:rPr>
          <w:rFonts w:hint="default" w:asciiTheme="minorAscii" w:hAnsiTheme="minorAscii"/>
          <w:b/>
          <w:bCs/>
          <w:sz w:val="20"/>
          <w:szCs w:val="20"/>
        </w:rPr>
        <w:t>pH:</w:t>
      </w:r>
    </w:p>
    <w:p w14:paraId="58BAF196">
      <w:pPr>
        <w:pStyle w:val="7"/>
        <w:rPr>
          <w:rFonts w:hint="default" w:asciiTheme="minorAscii" w:hAnsiTheme="minorAscii"/>
          <w:sz w:val="20"/>
          <w:szCs w:val="20"/>
        </w:rPr>
      </w:pPr>
      <w:r>
        <w:rPr>
          <w:rFonts w:hint="default" w:asciiTheme="minorAscii" w:hAnsiTheme="minorAscii"/>
          <w:sz w:val="20"/>
          <w:szCs w:val="20"/>
        </w:rPr>
        <w:t>The pH values show similar trends in upstream and downstream waters, with downstream water being more alkaline than upstream, which remains closer to neutral.</w:t>
      </w:r>
    </w:p>
    <w:p w14:paraId="16D2F0C5">
      <w:pPr>
        <w:pStyle w:val="7"/>
        <w:rPr>
          <w:rFonts w:hint="default" w:asciiTheme="minorAscii" w:hAnsiTheme="minorAscii"/>
          <w:b/>
          <w:bCs/>
          <w:sz w:val="20"/>
          <w:szCs w:val="20"/>
        </w:rPr>
      </w:pPr>
      <w:r>
        <w:rPr>
          <w:rFonts w:hint="default" w:asciiTheme="minorAscii" w:hAnsiTheme="minorAscii"/>
          <w:b/>
          <w:bCs/>
          <w:sz w:val="20"/>
          <w:szCs w:val="20"/>
        </w:rPr>
        <w:t>Carbon, Organic, Dissolved as C (DOC):</w:t>
      </w:r>
    </w:p>
    <w:p w14:paraId="356B70E9">
      <w:pPr>
        <w:pStyle w:val="7"/>
        <w:rPr>
          <w:rFonts w:hint="default" w:asciiTheme="minorAscii" w:hAnsiTheme="minorAscii"/>
          <w:sz w:val="20"/>
          <w:szCs w:val="20"/>
        </w:rPr>
      </w:pPr>
      <w:r>
        <w:rPr>
          <w:rFonts w:hint="default" w:asciiTheme="minorAscii" w:hAnsiTheme="minorAscii"/>
          <w:sz w:val="20"/>
          <w:szCs w:val="20"/>
        </w:rPr>
        <w:t>Dissolved organic carbon levels tend to be higher upstream. The concentration of dissolved organic carbon in upstream waters also affects the downstream levels, indicating the transport of organic material along the river's flow.</w:t>
      </w:r>
    </w:p>
    <w:p w14:paraId="75D76F16">
      <w:pPr>
        <w:pStyle w:val="7"/>
        <w:rPr>
          <w:rFonts w:hint="default" w:asciiTheme="minorAscii" w:hAnsiTheme="minorAscii"/>
          <w:b/>
          <w:bCs/>
          <w:sz w:val="20"/>
          <w:szCs w:val="20"/>
        </w:rPr>
      </w:pPr>
      <w:r>
        <w:rPr>
          <w:rFonts w:hint="default" w:asciiTheme="minorAscii" w:hAnsiTheme="minorAscii"/>
          <w:b/>
          <w:bCs/>
          <w:sz w:val="20"/>
          <w:szCs w:val="20"/>
        </w:rPr>
        <w:t>Iron, Dissolved:</w:t>
      </w:r>
    </w:p>
    <w:p w14:paraId="64CD9407">
      <w:pPr>
        <w:pStyle w:val="7"/>
        <w:rPr>
          <w:rFonts w:hint="default" w:asciiTheme="minorAscii" w:hAnsiTheme="minorAscii"/>
          <w:sz w:val="20"/>
          <w:szCs w:val="20"/>
        </w:rPr>
      </w:pPr>
      <w:r>
        <w:rPr>
          <w:rFonts w:hint="default" w:asciiTheme="minorAscii" w:hAnsiTheme="minorAscii"/>
          <w:sz w:val="20"/>
          <w:szCs w:val="20"/>
        </w:rPr>
        <w:t>The dissolved iron concentration is higher upstream, with significant fluctuations. In contrast, downstream iron levels are relatively low and stable, showing minimal variation.</w:t>
      </w:r>
    </w:p>
    <w:p w14:paraId="3DB4C641">
      <w:pPr>
        <w:pStyle w:val="7"/>
        <w:rPr>
          <w:rFonts w:hint="default" w:asciiTheme="minorAscii" w:hAnsiTheme="minorAscii"/>
          <w:b/>
          <w:bCs/>
          <w:sz w:val="20"/>
          <w:szCs w:val="20"/>
        </w:rPr>
      </w:pPr>
      <w:r>
        <w:rPr>
          <w:rFonts w:hint="default" w:asciiTheme="minorAscii" w:hAnsiTheme="minorAscii"/>
          <w:b/>
          <w:bCs/>
          <w:sz w:val="20"/>
          <w:szCs w:val="20"/>
        </w:rPr>
        <w:t>Oxygen, Dissolved, % Saturation:</w:t>
      </w:r>
    </w:p>
    <w:p w14:paraId="5B26932A">
      <w:pPr>
        <w:pStyle w:val="7"/>
        <w:rPr>
          <w:rFonts w:hint="default" w:asciiTheme="minorAscii" w:hAnsiTheme="minorAscii"/>
          <w:sz w:val="20"/>
          <w:szCs w:val="20"/>
        </w:rPr>
      </w:pPr>
      <w:r>
        <w:rPr>
          <w:rFonts w:hint="default" w:asciiTheme="minorAscii" w:hAnsiTheme="minorAscii"/>
          <w:sz w:val="20"/>
          <w:szCs w:val="20"/>
        </w:rPr>
        <w:t>As mentioned earlier, both upstream and downstream stations exhibit similar dissolved oxygen trends, though downstream levels are often slightly lower than those upstream, likely due to increased organic matter or anthropogenic influences affecting oxygen levels.</w:t>
      </w:r>
    </w:p>
    <w:p w14:paraId="7783D0F3"/>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left="-100"/>
      </w:pPr>
      <w:r>
        <w:separator/>
      </w:r>
    </w:p>
  </w:endnote>
  <w:endnote w:type="continuationSeparator" w:id="1">
    <w:p>
      <w:pPr>
        <w:ind w:left="-1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left="-100"/>
      </w:pPr>
      <w:r>
        <w:separator/>
      </w:r>
    </w:p>
  </w:footnote>
  <w:footnote w:type="continuationSeparator" w:id="1">
    <w:p>
      <w:pPr>
        <w:ind w:left="-10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965CD8"/>
    <w:multiLevelType w:val="multilevel"/>
    <w:tmpl w:val="11965CD8"/>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pStyle w:val="8"/>
      <w:lvlText w:val="%1.%2.%3."/>
      <w:lvlJc w:val="left"/>
      <w:pPr>
        <w:ind w:left="709" w:hanging="709"/>
      </w:pPr>
    </w:lvl>
    <w:lvl w:ilvl="3" w:tentative="0">
      <w:start w:val="1"/>
      <w:numFmt w:val="none"/>
      <w:lvlText w:val="%4"/>
      <w:lvlJc w:val="left"/>
    </w:lvl>
    <w:lvl w:ilvl="4" w:tentative="0">
      <w:start w:val="1"/>
      <w:numFmt w:val="none"/>
      <w:lvlText w:val=""/>
      <w:lvlJc w:val="left"/>
    </w:lvl>
    <w:lvl w:ilvl="5" w:tentative="0">
      <w:start w:val="1"/>
      <w:numFmt w:val="none"/>
      <w:lvlText w:val=""/>
      <w:lvlJc w:val="left"/>
    </w:lvl>
    <w:lvl w:ilvl="6" w:tentative="0">
      <w:start w:val="1"/>
      <w:numFmt w:val="none"/>
      <w:lvlText w:val=""/>
      <w:lvlJc w:val="left"/>
    </w:lvl>
    <w:lvl w:ilvl="7" w:tentative="0">
      <w:start w:val="1"/>
      <w:numFmt w:val="none"/>
      <w:lvlText w:val=""/>
      <w:lvlJc w:val="left"/>
    </w:lvl>
    <w:lvl w:ilvl="8" w:tentative="0">
      <w:start w:val="1"/>
      <w:numFmt w:val="none"/>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hN2IzZDc0MDdlYTg2MmEyNjlhNzE3NDMyY2Q2ZjEifQ=="/>
  </w:docVars>
  <w:rsids>
    <w:rsidRoot w:val="3FE600D7"/>
    <w:rsid w:val="39123C52"/>
    <w:rsid w:val="72A80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autoSpaceDN w:val="0"/>
      <w:ind w:left="-100" w:leftChars="-50"/>
      <w:jc w:val="both"/>
    </w:pPr>
    <w:rPr>
      <w:rFonts w:ascii="Arial" w:hAnsi="Arial" w:eastAsia="宋体" w:cs="Arial"/>
      <w:kern w:val="3"/>
      <w:lang w:val="en-US" w:eastAsia="zh-CN" w:bidi="ar-SA"/>
    </w:rPr>
  </w:style>
  <w:style w:type="character" w:default="1" w:styleId="4">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annotation text"/>
    <w:basedOn w:val="1"/>
    <w:qFormat/>
    <w:uiPriority w:val="0"/>
    <w:pPr>
      <w:suppressAutoHyphens w:val="0"/>
    </w:pPr>
  </w:style>
  <w:style w:type="character" w:styleId="5">
    <w:name w:val="annotation reference"/>
    <w:basedOn w:val="4"/>
    <w:qFormat/>
    <w:uiPriority w:val="0"/>
    <w:rPr>
      <w:sz w:val="16"/>
      <w:szCs w:val="16"/>
    </w:rPr>
  </w:style>
  <w:style w:type="character" w:customStyle="1" w:styleId="6">
    <w:name w:val="默认段落字体1"/>
    <w:uiPriority w:val="0"/>
  </w:style>
  <w:style w:type="paragraph" w:customStyle="1" w:styleId="7">
    <w:name w:val="正文1"/>
    <w:qFormat/>
    <w:uiPriority w:val="0"/>
    <w:pPr>
      <w:widowControl w:val="0"/>
      <w:suppressAutoHyphens/>
      <w:autoSpaceDN w:val="0"/>
      <w:spacing w:line="240" w:lineRule="auto"/>
      <w:jc w:val="both"/>
    </w:pPr>
    <w:rPr>
      <w:rFonts w:ascii="Arial" w:hAnsi="Arial" w:eastAsia="宋体" w:cs="Arial"/>
      <w:kern w:val="3"/>
      <w:lang w:val="en-US" w:eastAsia="zh-CN" w:bidi="ar-SA"/>
    </w:rPr>
  </w:style>
  <w:style w:type="paragraph" w:customStyle="1" w:styleId="8">
    <w:name w:val="标题 31"/>
    <w:basedOn w:val="7"/>
    <w:next w:val="7"/>
    <w:qFormat/>
    <w:uiPriority w:val="0"/>
    <w:pPr>
      <w:numPr>
        <w:ilvl w:val="2"/>
        <w:numId w:val="1"/>
      </w:numPr>
      <w:outlineLvl w:val="2"/>
    </w:pPr>
    <w:rPr>
      <w:b/>
      <w:bCs/>
    </w:rPr>
  </w:style>
  <w:style w:type="paragraph" w:customStyle="1" w:styleId="9">
    <w:name w:val="题注1"/>
    <w:basedOn w:val="7"/>
    <w:next w:val="7"/>
    <w:uiPriority w:val="0"/>
    <w:pPr>
      <w:jc w:val="center"/>
    </w:pPr>
    <w:rPr>
      <w:rFonts w:eastAsia="黑体"/>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2040</Words>
  <Characters>12289</Characters>
  <Lines>0</Lines>
  <Paragraphs>0</Paragraphs>
  <TotalTime>9</TotalTime>
  <ScaleCrop>false</ScaleCrop>
  <LinksUpToDate>false</LinksUpToDate>
  <CharactersWithSpaces>14302</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2024-09-20T00:36:00Z</dcterms:created>
  <dc:creator>Jess</dc:creator>
  <cp:lastModifiedBy>Jess</cp:lastModifiedBy>
  <dcterms:modified xsi:type="dcterms:W3CDTF">2024-09-20T11:20:19Z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A0946A5696234AAF8D3592C268780A66_11</vt:lpwstr>
  </property>
</Properties>
</file>