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39C" w:rsidRDefault="001F239C" w:rsidP="001F239C">
      <w:pPr>
        <w:shd w:val="clear" w:color="auto" w:fill="FFFFFF"/>
        <w:spacing w:after="0" w:line="270" w:lineRule="atLeast"/>
        <w:textAlignment w:val="center"/>
        <w:rPr>
          <w:rFonts w:ascii="Berlin Sans FB" w:eastAsia="Times New Roman" w:hAnsi="Berlin Sans FB" w:cs="Times New Roman"/>
          <w:color w:val="09489B"/>
          <w:sz w:val="30"/>
          <w:szCs w:val="30"/>
          <w:lang w:eastAsia="en-PH"/>
        </w:rPr>
      </w:pPr>
      <w:r>
        <w:rPr>
          <w:rFonts w:ascii="Berlin Sans FB" w:eastAsia="Times New Roman" w:hAnsi="Berlin Sans FB" w:cs="Times New Roman"/>
          <w:color w:val="09489B"/>
          <w:sz w:val="30"/>
          <w:szCs w:val="30"/>
          <w:lang w:eastAsia="en-PH"/>
        </w:rPr>
        <w:t>STE</w:t>
      </w: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4900"/>
      </w:tblGrid>
      <w:tr w:rsidR="001F239C" w:rsidRPr="001F239C" w:rsidTr="001F239C">
        <w:trPr>
          <w:trHeight w:val="1050"/>
          <w:tblCellSpacing w:w="15" w:type="dxa"/>
        </w:trPr>
        <w:tc>
          <w:tcPr>
            <w:tcW w:w="5000" w:type="pct"/>
            <w:shd w:val="clear" w:color="auto" w:fill="FFFFFF"/>
            <w:tcMar>
              <w:top w:w="0" w:type="dxa"/>
              <w:left w:w="0" w:type="dxa"/>
              <w:bottom w:w="150" w:type="dxa"/>
              <w:right w:w="0" w:type="dxa"/>
            </w:tcMar>
            <w:vAlign w:val="center"/>
            <w:hideMark/>
          </w:tcPr>
          <w:p w:rsidR="001F239C" w:rsidRPr="001F239C" w:rsidRDefault="001F239C" w:rsidP="001F239C">
            <w:pPr>
              <w:spacing w:after="0" w:line="270" w:lineRule="atLeast"/>
              <w:rPr>
                <w:rFonts w:ascii="Berlin Sans FB" w:eastAsia="Times New Roman" w:hAnsi="Berlin Sans FB" w:cs="Arial"/>
                <w:color w:val="09489B"/>
                <w:sz w:val="30"/>
                <w:szCs w:val="30"/>
                <w:lang w:eastAsia="en-PH"/>
              </w:rPr>
            </w:pPr>
            <w:r w:rsidRPr="001F239C">
              <w:rPr>
                <w:rFonts w:ascii="Berlin Sans FB" w:eastAsia="Times New Roman" w:hAnsi="Berlin Sans FB" w:cs="Arial"/>
                <w:color w:val="09489B"/>
                <w:sz w:val="30"/>
                <w:szCs w:val="30"/>
                <w:lang w:eastAsia="en-PH"/>
              </w:rPr>
              <w:t>About the School of Teacher Education</w:t>
            </w:r>
          </w:p>
        </w:tc>
      </w:tr>
    </w:tbl>
    <w:p w:rsidR="001F239C" w:rsidRPr="001F239C" w:rsidRDefault="001F239C" w:rsidP="001F239C">
      <w:pPr>
        <w:spacing w:after="0" w:line="240" w:lineRule="auto"/>
        <w:rPr>
          <w:rFonts w:ascii="Times New Roman" w:eastAsia="Times New Roman" w:hAnsi="Times New Roman" w:cs="Times New Roman"/>
          <w:vanish/>
          <w:sz w:val="24"/>
          <w:szCs w:val="24"/>
          <w:lang w:eastAsia="en-PH"/>
        </w:rPr>
      </w:pP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10320"/>
      </w:tblGrid>
      <w:tr w:rsidR="001F239C" w:rsidRPr="001F239C" w:rsidTr="001F239C">
        <w:trPr>
          <w:tblCellSpacing w:w="15" w:type="dxa"/>
        </w:trPr>
        <w:tc>
          <w:tcPr>
            <w:tcW w:w="0" w:type="auto"/>
            <w:shd w:val="clear" w:color="auto" w:fill="FFFFFF"/>
            <w:hideMark/>
          </w:tcPr>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The SLU School of Teacher Education (then known as the College of Education) was viewed by its founders as an indispensable partner in bringing to the Cordilleras strong intellectual and spiritual education. Education students were honed to further expand the transformative and missionary education that the CICM fathers have started in the country.</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Similar to the structure of most colleges in the Philippines at that time, SLU initially offered two-year certificate courses in Elementary and Kindergarten teaching apart from the regular baccalaureate degree in Education. In the same year when the school produced its first five graduates (1955), the Graduate School for Master of Arts in Education was started. In time, the school’s bachelor degrees in Elementary and High School as well as its graduate programs offered specializations in various fields.</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Preparing students to become skilled and dedicated teachers has always been one of the school’s guiding principles. The School’s commitment to quality education has earned for the school the recognition of being a </w:t>
            </w:r>
            <w:proofErr w:type="spellStart"/>
            <w:r w:rsidRPr="001F239C">
              <w:rPr>
                <w:rFonts w:ascii="Arial" w:eastAsia="Times New Roman" w:hAnsi="Arial" w:cs="Arial"/>
                <w:color w:val="3F3C30"/>
                <w:sz w:val="18"/>
                <w:szCs w:val="18"/>
                <w:lang w:eastAsia="en-PH"/>
              </w:rPr>
              <w:t>Center</w:t>
            </w:r>
            <w:proofErr w:type="spellEnd"/>
            <w:r w:rsidRPr="001F239C">
              <w:rPr>
                <w:rFonts w:ascii="Arial" w:eastAsia="Times New Roman" w:hAnsi="Arial" w:cs="Arial"/>
                <w:color w:val="3F3C30"/>
                <w:sz w:val="18"/>
                <w:szCs w:val="18"/>
                <w:lang w:eastAsia="en-PH"/>
              </w:rPr>
              <w:t xml:space="preserve"> of Excellence in Teacher Education. It is likewise distinguished as one of the top performing schools nationwide, in terms of results in the national licensure examinations for teachers.</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With all its accomplishments, the school still believes that the nobility of the teaching profession lies not only on a display of competence but on the awareness of and responsiveness to the needs and priorities of the community. In the modern world, one of society’s self-inflicted illnesses is the segregation of some sectors due to emphasis on competitiveness. The school views the exclusion of disadvantaged groups from even the most basic rights such as education is a growing concern. In response, the school advocates Inclusive Education: a revolutionary educational philosophy which states that education aims to help everyone realize his potentials. The School therefore trains its faculty and teaches its students to embrace and value differences, to be proud of their heritage and identity, and to respect the dignity and capability of all learners.</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The school presently works closely with the SLU Institute for Inclusive Education – the first of its kind in the Philippines – in training educators from diverse disciplines on the value of inclusive teaching and learning, as a condition for building an inclusive society.</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Today and in the future, the school envisions itself as a formative training ground for inclusive and Christian professional teachers.</w:t>
            </w:r>
          </w:p>
        </w:tc>
      </w:tr>
    </w:tbl>
    <w:p w:rsidR="001F239C" w:rsidRDefault="001F239C" w:rsidP="001F239C">
      <w:pPr>
        <w:shd w:val="clear" w:color="auto" w:fill="FFFFFF"/>
        <w:spacing w:after="0" w:line="270" w:lineRule="atLeast"/>
        <w:textAlignment w:val="center"/>
        <w:rPr>
          <w:rFonts w:ascii="Berlin Sans FB" w:eastAsia="Times New Roman" w:hAnsi="Berlin Sans FB" w:cs="Times New Roman"/>
          <w:color w:val="09489B"/>
          <w:sz w:val="30"/>
          <w:szCs w:val="30"/>
          <w:lang w:eastAsia="en-PH"/>
        </w:rPr>
      </w:pPr>
      <w:r w:rsidRPr="001F239C">
        <w:rPr>
          <w:rFonts w:ascii="Arial" w:eastAsia="Times New Roman" w:hAnsi="Arial" w:cs="Arial"/>
          <w:color w:val="3F3C30"/>
          <w:sz w:val="18"/>
          <w:szCs w:val="18"/>
          <w:shd w:val="clear" w:color="auto" w:fill="FFFFFF"/>
          <w:lang w:eastAsia="en-PH"/>
        </w:rPr>
        <w:t> </w:t>
      </w:r>
    </w:p>
    <w:p w:rsidR="001F239C" w:rsidRPr="001F239C" w:rsidRDefault="001F239C" w:rsidP="001F239C">
      <w:pPr>
        <w:shd w:val="clear" w:color="auto" w:fill="FFFFFF"/>
        <w:spacing w:after="0" w:line="270" w:lineRule="atLeast"/>
        <w:textAlignment w:val="center"/>
        <w:rPr>
          <w:rFonts w:ascii="Berlin Sans FB" w:eastAsia="Times New Roman" w:hAnsi="Berlin Sans FB" w:cs="Times New Roman"/>
          <w:color w:val="09489B"/>
          <w:sz w:val="30"/>
          <w:szCs w:val="30"/>
          <w:lang w:eastAsia="en-PH"/>
        </w:rPr>
      </w:pPr>
      <w:r w:rsidRPr="001F239C">
        <w:rPr>
          <w:rFonts w:ascii="Berlin Sans FB" w:eastAsia="Times New Roman" w:hAnsi="Berlin Sans FB" w:cs="Times New Roman"/>
          <w:color w:val="09489B"/>
          <w:sz w:val="30"/>
          <w:szCs w:val="30"/>
          <w:lang w:eastAsia="en-PH"/>
        </w:rPr>
        <w:t>Undergraduate Courses</w:t>
      </w: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9124"/>
      </w:tblGrid>
      <w:tr w:rsidR="001F239C" w:rsidRPr="001F239C" w:rsidTr="001F239C">
        <w:trPr>
          <w:tblCellSpacing w:w="15" w:type="dxa"/>
        </w:trPr>
        <w:tc>
          <w:tcPr>
            <w:tcW w:w="0" w:type="auto"/>
            <w:shd w:val="clear" w:color="auto" w:fill="FFFFFF"/>
            <w:hideMark/>
          </w:tcPr>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Elementary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with specialization in General Education (BEED GEN ED)</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Elementary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with specialization in Pre-School Education (BEED PRE SCHL)</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Elementary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with specialization in Special Education (BEED SPED)</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Elementary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Tech &amp; He (BEED THE)</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Elementary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Values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(BEED VAL)</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Secondary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Biological Sciences (BSED BIOL SCI)</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Secondary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English (BSED ENGL)</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Secondary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Filipino (BSED FIL)</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Secondary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Mathematics (BSED MAT)</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Secondary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Music, Arts, Physical Education and Health (BSED MAPEH)</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Secondary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Physical Sciences (BSED PHYS SCI)</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Bachelor of Secondary </w:t>
            </w:r>
            <w:proofErr w:type="spellStart"/>
            <w:r w:rsidRPr="001F239C">
              <w:rPr>
                <w:rFonts w:ascii="Arial" w:eastAsia="Times New Roman" w:hAnsi="Arial" w:cs="Arial"/>
                <w:color w:val="3F3C30"/>
                <w:sz w:val="18"/>
                <w:szCs w:val="18"/>
                <w:lang w:eastAsia="en-PH"/>
              </w:rPr>
              <w:t>Educ</w:t>
            </w:r>
            <w:proofErr w:type="spellEnd"/>
            <w:r w:rsidRPr="001F239C">
              <w:rPr>
                <w:rFonts w:ascii="Arial" w:eastAsia="Times New Roman" w:hAnsi="Arial" w:cs="Arial"/>
                <w:color w:val="3F3C30"/>
                <w:sz w:val="18"/>
                <w:szCs w:val="18"/>
                <w:lang w:eastAsia="en-PH"/>
              </w:rPr>
              <w:t xml:space="preserve"> major in Social Studies (BSED SS)</w:t>
            </w:r>
          </w:p>
          <w:p w:rsidR="001F239C" w:rsidRPr="001F239C" w:rsidRDefault="001F239C" w:rsidP="001F239C">
            <w:pPr>
              <w:numPr>
                <w:ilvl w:val="0"/>
                <w:numId w:val="1"/>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Certificate in Teaching</w:t>
            </w:r>
          </w:p>
        </w:tc>
      </w:tr>
    </w:tbl>
    <w:p w:rsidR="00EE22B4" w:rsidRDefault="001F239C">
      <w:pPr>
        <w:rPr>
          <w:rFonts w:ascii="Arial" w:eastAsia="Times New Roman" w:hAnsi="Arial" w:cs="Arial"/>
          <w:color w:val="3F3C30"/>
          <w:sz w:val="18"/>
          <w:szCs w:val="18"/>
          <w:shd w:val="clear" w:color="auto" w:fill="FFFFFF"/>
          <w:lang w:eastAsia="en-PH"/>
        </w:rPr>
      </w:pPr>
      <w:r w:rsidRPr="001F239C">
        <w:rPr>
          <w:rFonts w:ascii="Arial" w:eastAsia="Times New Roman" w:hAnsi="Arial" w:cs="Arial"/>
          <w:color w:val="3F3C30"/>
          <w:sz w:val="18"/>
          <w:szCs w:val="18"/>
          <w:shd w:val="clear" w:color="auto" w:fill="FFFFFF"/>
          <w:lang w:eastAsia="en-PH"/>
        </w:rPr>
        <w:lastRenderedPageBreak/>
        <w:t> </w:t>
      </w:r>
    </w:p>
    <w:p w:rsidR="001F239C" w:rsidRPr="001F239C" w:rsidRDefault="001F239C" w:rsidP="001F239C">
      <w:pPr>
        <w:shd w:val="clear" w:color="auto" w:fill="FFFFFF"/>
        <w:spacing w:after="0" w:line="270" w:lineRule="atLeast"/>
        <w:textAlignment w:val="center"/>
        <w:rPr>
          <w:rFonts w:ascii="Berlin Sans FB" w:eastAsia="Times New Roman" w:hAnsi="Berlin Sans FB" w:cs="Times New Roman"/>
          <w:color w:val="09489B"/>
          <w:sz w:val="30"/>
          <w:szCs w:val="30"/>
          <w:lang w:eastAsia="en-PH"/>
        </w:rPr>
      </w:pPr>
      <w:r w:rsidRPr="001F239C">
        <w:rPr>
          <w:rFonts w:ascii="Berlin Sans FB" w:eastAsia="Times New Roman" w:hAnsi="Berlin Sans FB" w:cs="Times New Roman"/>
          <w:color w:val="09489B"/>
          <w:sz w:val="30"/>
          <w:szCs w:val="30"/>
          <w:lang w:eastAsia="en-PH"/>
        </w:rPr>
        <w:t>Graduate Courses</w:t>
      </w: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7583"/>
      </w:tblGrid>
      <w:tr w:rsidR="001F239C" w:rsidRPr="001F239C" w:rsidTr="001F239C">
        <w:trPr>
          <w:tblCellSpacing w:w="15" w:type="dxa"/>
        </w:trPr>
        <w:tc>
          <w:tcPr>
            <w:tcW w:w="0" w:type="auto"/>
            <w:shd w:val="clear" w:color="auto" w:fill="FFFFFF"/>
            <w:hideMark/>
          </w:tcPr>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Doctor of Philosophy in Educational Management (PHD EM)</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Doctor of Philosophy in Language Education (PHD LANG ED)</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Education major in Early Childhood Education (MAED ECED)</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Education major in Filipino Education (MAED FIL ED)</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Education major in Inclusive Education (MAED IE)</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Education major in Language Education (MAED LANG)</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Education major in Mathematics Education (MAMED)</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Education major in Science Education (MAED SCI)</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Educational Management (MA EM)</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Special Education (MA SPED)</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Science in Physical Education And Sports (MSPES)</w:t>
            </w:r>
          </w:p>
          <w:p w:rsidR="001F239C" w:rsidRPr="001F239C" w:rsidRDefault="001F239C" w:rsidP="001F239C">
            <w:pPr>
              <w:numPr>
                <w:ilvl w:val="0"/>
                <w:numId w:val="2"/>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in Library and Information Technology (MALIT)</w:t>
            </w:r>
          </w:p>
        </w:tc>
      </w:tr>
    </w:tbl>
    <w:p w:rsidR="001F239C" w:rsidRDefault="001F239C">
      <w:pPr>
        <w:rPr>
          <w:rFonts w:ascii="Arial" w:eastAsia="Times New Roman" w:hAnsi="Arial" w:cs="Arial"/>
          <w:color w:val="3F3C30"/>
          <w:sz w:val="18"/>
          <w:szCs w:val="18"/>
          <w:shd w:val="clear" w:color="auto" w:fill="FFFFFF"/>
          <w:lang w:eastAsia="en-PH"/>
        </w:rPr>
      </w:pPr>
      <w:r w:rsidRPr="001F239C">
        <w:rPr>
          <w:rFonts w:ascii="Arial" w:eastAsia="Times New Roman" w:hAnsi="Arial" w:cs="Arial"/>
          <w:color w:val="3F3C30"/>
          <w:sz w:val="18"/>
          <w:szCs w:val="18"/>
          <w:shd w:val="clear" w:color="auto" w:fill="FFFFFF"/>
          <w:lang w:eastAsia="en-PH"/>
        </w:rPr>
        <w:t> </w:t>
      </w:r>
    </w:p>
    <w:p w:rsidR="001F239C" w:rsidRDefault="001F239C">
      <w:pPr>
        <w:rPr>
          <w:rFonts w:ascii="Arial" w:eastAsia="Times New Roman" w:hAnsi="Arial" w:cs="Arial"/>
          <w:color w:val="3F3C30"/>
          <w:sz w:val="18"/>
          <w:szCs w:val="18"/>
          <w:shd w:val="clear" w:color="auto" w:fill="FFFFFF"/>
          <w:lang w:eastAsia="en-PH"/>
        </w:rPr>
      </w:pPr>
      <w:r>
        <w:rPr>
          <w:rFonts w:ascii="Arial" w:eastAsia="Times New Roman" w:hAnsi="Arial" w:cs="Arial"/>
          <w:color w:val="3F3C30"/>
          <w:sz w:val="18"/>
          <w:szCs w:val="18"/>
          <w:shd w:val="clear" w:color="auto" w:fill="FFFFFF"/>
          <w:lang w:eastAsia="en-PH"/>
        </w:rPr>
        <w:t>SOH</w:t>
      </w: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4004"/>
      </w:tblGrid>
      <w:tr w:rsidR="001F239C" w:rsidRPr="001F239C" w:rsidTr="001F239C">
        <w:trPr>
          <w:trHeight w:val="1050"/>
          <w:tblCellSpacing w:w="15" w:type="dxa"/>
        </w:trPr>
        <w:tc>
          <w:tcPr>
            <w:tcW w:w="5000" w:type="pct"/>
            <w:shd w:val="clear" w:color="auto" w:fill="FFFFFF"/>
            <w:tcMar>
              <w:top w:w="0" w:type="dxa"/>
              <w:left w:w="0" w:type="dxa"/>
              <w:bottom w:w="150" w:type="dxa"/>
              <w:right w:w="0" w:type="dxa"/>
            </w:tcMar>
            <w:vAlign w:val="center"/>
            <w:hideMark/>
          </w:tcPr>
          <w:p w:rsidR="001F239C" w:rsidRPr="001F239C" w:rsidRDefault="001F239C" w:rsidP="001F239C">
            <w:pPr>
              <w:spacing w:after="0" w:line="270" w:lineRule="atLeast"/>
              <w:rPr>
                <w:rFonts w:ascii="Berlin Sans FB" w:eastAsia="Times New Roman" w:hAnsi="Berlin Sans FB" w:cs="Arial"/>
                <w:color w:val="09489B"/>
                <w:sz w:val="30"/>
                <w:szCs w:val="30"/>
                <w:lang w:eastAsia="en-PH"/>
              </w:rPr>
            </w:pPr>
            <w:r w:rsidRPr="001F239C">
              <w:rPr>
                <w:rFonts w:ascii="Berlin Sans FB" w:eastAsia="Times New Roman" w:hAnsi="Berlin Sans FB" w:cs="Arial"/>
                <w:color w:val="09489B"/>
                <w:sz w:val="30"/>
                <w:szCs w:val="30"/>
                <w:lang w:eastAsia="en-PH"/>
              </w:rPr>
              <w:t>About the School of Humanities</w:t>
            </w:r>
          </w:p>
        </w:tc>
      </w:tr>
    </w:tbl>
    <w:p w:rsidR="001F239C" w:rsidRPr="001F239C" w:rsidRDefault="001F239C" w:rsidP="001F239C">
      <w:pPr>
        <w:spacing w:after="0" w:line="240" w:lineRule="auto"/>
        <w:rPr>
          <w:rFonts w:ascii="Times New Roman" w:eastAsia="Times New Roman" w:hAnsi="Times New Roman" w:cs="Times New Roman"/>
          <w:vanish/>
          <w:sz w:val="24"/>
          <w:szCs w:val="24"/>
          <w:lang w:eastAsia="en-PH"/>
        </w:rPr>
      </w:pP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10320"/>
      </w:tblGrid>
      <w:tr w:rsidR="001F239C" w:rsidRPr="001F239C" w:rsidTr="001F239C">
        <w:trPr>
          <w:tblCellSpacing w:w="15" w:type="dxa"/>
        </w:trPr>
        <w:tc>
          <w:tcPr>
            <w:tcW w:w="0" w:type="auto"/>
            <w:shd w:val="clear" w:color="auto" w:fill="FFFFFF"/>
            <w:hideMark/>
          </w:tcPr>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The School’s unique Christian general education program provides meaning and purpose, and an illuminating context for all knowledge learned. Such extensive and enlightened knowledge has developed among its students a discerning nature, the capacity to make informed judgment, and the propensity towards wise action.</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The School of Humanities (previously known for a long time as the College of Human Sciences) was formally recognized as a separate department in 1967 when the then College of Liberal Arts (founded in 1952) was divided into the Colleges of Human Sciences and Natural Sciences, respectively.</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As originally envisioned, the School conscientiously strives for a holistic human development with its liberal arts curriculum.  The wide-ranging programs guarantee students a diverse body of knowledge which enhances human creativity and is required for most jobs or </w:t>
            </w:r>
            <w:proofErr w:type="spellStart"/>
            <w:r w:rsidRPr="001F239C">
              <w:rPr>
                <w:rFonts w:ascii="Arial" w:eastAsia="Times New Roman" w:hAnsi="Arial" w:cs="Arial"/>
                <w:color w:val="3F3C30"/>
                <w:sz w:val="18"/>
                <w:szCs w:val="18"/>
                <w:lang w:eastAsia="en-PH"/>
              </w:rPr>
              <w:t>endeavors</w:t>
            </w:r>
            <w:proofErr w:type="spellEnd"/>
            <w:r w:rsidRPr="001F239C">
              <w:rPr>
                <w:rFonts w:ascii="Arial" w:eastAsia="Times New Roman" w:hAnsi="Arial" w:cs="Arial"/>
                <w:color w:val="3F3C30"/>
                <w:sz w:val="18"/>
                <w:szCs w:val="18"/>
                <w:lang w:eastAsia="en-PH"/>
              </w:rPr>
              <w:t>.  The School of Humanities aims to promote a genuine understanding of the human spirit. As such, it utilizes varied learning strategies for its multidisciplinary curriculum. This includes Philosophy, Psychology, English, Political Science, Mass Communications, Social Work, and very recently, Legal and Interdisciplinary Studies.</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True to its name, the School has always been at the forefront of dealing with contemporary human interests and concerns. It has sponsored peace campaigns, and programs on the appreciation for world religions, mental health, women’s rights, politics, and many more.  There are also many historical, anthropological, sociological and ethnographic researches completed and presently undertaken by the School.</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The School’s early years were marked with notable citations for studies done on highland cultures.  The pioneering work of anthropology and social sciences CICM professors Frs. </w:t>
            </w:r>
            <w:proofErr w:type="spellStart"/>
            <w:r w:rsidRPr="001F239C">
              <w:rPr>
                <w:rFonts w:ascii="Arial" w:eastAsia="Times New Roman" w:hAnsi="Arial" w:cs="Arial"/>
                <w:color w:val="3F3C30"/>
                <w:sz w:val="18"/>
                <w:szCs w:val="18"/>
                <w:lang w:eastAsia="en-PH"/>
              </w:rPr>
              <w:t>Frans</w:t>
            </w:r>
            <w:proofErr w:type="spellEnd"/>
            <w:r w:rsidRPr="001F239C">
              <w:rPr>
                <w:rFonts w:ascii="Arial" w:eastAsia="Times New Roman" w:hAnsi="Arial" w:cs="Arial"/>
                <w:color w:val="3F3C30"/>
                <w:sz w:val="18"/>
                <w:szCs w:val="18"/>
                <w:lang w:eastAsia="en-PH"/>
              </w:rPr>
              <w:t xml:space="preserve"> </w:t>
            </w:r>
            <w:proofErr w:type="spellStart"/>
            <w:r w:rsidRPr="001F239C">
              <w:rPr>
                <w:rFonts w:ascii="Arial" w:eastAsia="Times New Roman" w:hAnsi="Arial" w:cs="Arial"/>
                <w:color w:val="3F3C30"/>
                <w:sz w:val="18"/>
                <w:szCs w:val="18"/>
                <w:lang w:eastAsia="en-PH"/>
              </w:rPr>
              <w:t>Lambrecht</w:t>
            </w:r>
            <w:proofErr w:type="spellEnd"/>
            <w:r w:rsidRPr="001F239C">
              <w:rPr>
                <w:rFonts w:ascii="Arial" w:eastAsia="Times New Roman" w:hAnsi="Arial" w:cs="Arial"/>
                <w:color w:val="3F3C30"/>
                <w:sz w:val="18"/>
                <w:szCs w:val="18"/>
                <w:lang w:eastAsia="en-PH"/>
              </w:rPr>
              <w:t>,</w:t>
            </w:r>
            <w:proofErr w:type="gramStart"/>
            <w:r w:rsidRPr="001F239C">
              <w:rPr>
                <w:rFonts w:ascii="Arial" w:eastAsia="Times New Roman" w:hAnsi="Arial" w:cs="Arial"/>
                <w:color w:val="3F3C30"/>
                <w:sz w:val="18"/>
                <w:szCs w:val="18"/>
                <w:lang w:eastAsia="en-PH"/>
              </w:rPr>
              <w:t xml:space="preserve">  </w:t>
            </w:r>
            <w:proofErr w:type="spellStart"/>
            <w:r w:rsidRPr="001F239C">
              <w:rPr>
                <w:rFonts w:ascii="Arial" w:eastAsia="Times New Roman" w:hAnsi="Arial" w:cs="Arial"/>
                <w:color w:val="3F3C30"/>
                <w:sz w:val="18"/>
                <w:szCs w:val="18"/>
                <w:lang w:eastAsia="en-PH"/>
              </w:rPr>
              <w:t>Alfons</w:t>
            </w:r>
            <w:proofErr w:type="spellEnd"/>
            <w:proofErr w:type="gramEnd"/>
            <w:r w:rsidRPr="001F239C">
              <w:rPr>
                <w:rFonts w:ascii="Arial" w:eastAsia="Times New Roman" w:hAnsi="Arial" w:cs="Arial"/>
                <w:color w:val="3F3C30"/>
                <w:sz w:val="18"/>
                <w:szCs w:val="18"/>
                <w:lang w:eastAsia="en-PH"/>
              </w:rPr>
              <w:t xml:space="preserve"> </w:t>
            </w:r>
            <w:proofErr w:type="spellStart"/>
            <w:r w:rsidRPr="001F239C">
              <w:rPr>
                <w:rFonts w:ascii="Arial" w:eastAsia="Times New Roman" w:hAnsi="Arial" w:cs="Arial"/>
                <w:color w:val="3F3C30"/>
                <w:sz w:val="18"/>
                <w:szCs w:val="18"/>
                <w:lang w:eastAsia="en-PH"/>
              </w:rPr>
              <w:t>Claerhoudt</w:t>
            </w:r>
            <w:proofErr w:type="spellEnd"/>
            <w:r w:rsidRPr="001F239C">
              <w:rPr>
                <w:rFonts w:ascii="Arial" w:eastAsia="Times New Roman" w:hAnsi="Arial" w:cs="Arial"/>
                <w:color w:val="3F3C30"/>
                <w:sz w:val="18"/>
                <w:szCs w:val="18"/>
                <w:lang w:eastAsia="en-PH"/>
              </w:rPr>
              <w:t xml:space="preserve">, and </w:t>
            </w:r>
            <w:proofErr w:type="spellStart"/>
            <w:r w:rsidRPr="001F239C">
              <w:rPr>
                <w:rFonts w:ascii="Arial" w:eastAsia="Times New Roman" w:hAnsi="Arial" w:cs="Arial"/>
                <w:color w:val="3F3C30"/>
                <w:sz w:val="18"/>
                <w:szCs w:val="18"/>
                <w:lang w:eastAsia="en-PH"/>
              </w:rPr>
              <w:t>Juul</w:t>
            </w:r>
            <w:proofErr w:type="spellEnd"/>
            <w:r w:rsidRPr="001F239C">
              <w:rPr>
                <w:rFonts w:ascii="Arial" w:eastAsia="Times New Roman" w:hAnsi="Arial" w:cs="Arial"/>
                <w:color w:val="3F3C30"/>
                <w:sz w:val="18"/>
                <w:szCs w:val="18"/>
                <w:lang w:eastAsia="en-PH"/>
              </w:rPr>
              <w:t xml:space="preserve"> De </w:t>
            </w:r>
            <w:proofErr w:type="spellStart"/>
            <w:r w:rsidRPr="001F239C">
              <w:rPr>
                <w:rFonts w:ascii="Arial" w:eastAsia="Times New Roman" w:hAnsi="Arial" w:cs="Arial"/>
                <w:color w:val="3F3C30"/>
                <w:sz w:val="18"/>
                <w:szCs w:val="18"/>
                <w:lang w:eastAsia="en-PH"/>
              </w:rPr>
              <w:t>Raedt</w:t>
            </w:r>
            <w:proofErr w:type="spellEnd"/>
            <w:r w:rsidRPr="001F239C">
              <w:rPr>
                <w:rFonts w:ascii="Arial" w:eastAsia="Times New Roman" w:hAnsi="Arial" w:cs="Arial"/>
                <w:color w:val="3F3C30"/>
                <w:sz w:val="18"/>
                <w:szCs w:val="18"/>
                <w:lang w:eastAsia="en-PH"/>
              </w:rPr>
              <w:t xml:space="preserve"> on Cordillera literature, songs and dances, and tribal and religious rituals earned for the University awards from the Philippine government and praise from the international community.</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Drawing on this inspiration and to aid in students’ researches in the social sciences, the Department of Social Sciences in 1968 started a collection campaign for </w:t>
            </w:r>
            <w:proofErr w:type="spellStart"/>
            <w:r w:rsidRPr="001F239C">
              <w:rPr>
                <w:rFonts w:ascii="Arial" w:eastAsia="Times New Roman" w:hAnsi="Arial" w:cs="Arial"/>
                <w:color w:val="3F3C30"/>
                <w:sz w:val="18"/>
                <w:szCs w:val="18"/>
                <w:lang w:eastAsia="en-PH"/>
              </w:rPr>
              <w:t>artifacts</w:t>
            </w:r>
            <w:proofErr w:type="spellEnd"/>
            <w:r w:rsidRPr="001F239C">
              <w:rPr>
                <w:rFonts w:ascii="Arial" w:eastAsia="Times New Roman" w:hAnsi="Arial" w:cs="Arial"/>
                <w:color w:val="3F3C30"/>
                <w:sz w:val="18"/>
                <w:szCs w:val="18"/>
                <w:lang w:eastAsia="en-PH"/>
              </w:rPr>
              <w:t xml:space="preserve"> and relics of art and culture particularly of Northern Luzon.  This initiative gave rise to the now famous SLU Museum of Culture and Arts which houses a diverse collection of ethnological and historical </w:t>
            </w:r>
            <w:proofErr w:type="spellStart"/>
            <w:r w:rsidRPr="001F239C">
              <w:rPr>
                <w:rFonts w:ascii="Arial" w:eastAsia="Times New Roman" w:hAnsi="Arial" w:cs="Arial"/>
                <w:color w:val="3F3C30"/>
                <w:sz w:val="18"/>
                <w:szCs w:val="18"/>
                <w:lang w:eastAsia="en-PH"/>
              </w:rPr>
              <w:t>artifacts</w:t>
            </w:r>
            <w:proofErr w:type="spellEnd"/>
            <w:r w:rsidRPr="001F239C">
              <w:rPr>
                <w:rFonts w:ascii="Arial" w:eastAsia="Times New Roman" w:hAnsi="Arial" w:cs="Arial"/>
                <w:color w:val="3F3C30"/>
                <w:sz w:val="18"/>
                <w:szCs w:val="18"/>
                <w:lang w:eastAsia="en-PH"/>
              </w:rPr>
              <w:t>, ethnographic items, and volumes of folkloric collection.</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lastRenderedPageBreak/>
              <w:t>The University has kept the legacy and interest on the Cordillera culture of the pioneer CICM fathers alive by establishing the Cordillera Research and Development Foundation, Inc.  This affiliate unit of the University, purposely set up to encourage and support researches on the culture, history, religion, economy and language in the Cordilleras, produced several publications on this rich indigenous culture.</w:t>
            </w:r>
          </w:p>
          <w:p w:rsidR="001F239C" w:rsidRPr="001F239C" w:rsidRDefault="001F239C" w:rsidP="001F239C">
            <w:pPr>
              <w:spacing w:after="0" w:line="270" w:lineRule="atLeast"/>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The school embraces its role in promoting global opportunities in education with its enhanced curriculum, exchange programs, and course offerings.   It maintains active linkages with esteemed universities overseas, particularly for its Social Work and English courses.  With a growing number of requests from various academic institutions around the globe for English language proficiency training, the School opened the Institute of Foreign Languages and International Studies in 2006.   This institute offers interested clients intensive courses to facilitate learning of a new language and to promote intercultural understanding and communication.  In its four years of operation, it has served over 300 individuals of more than a dozen nationalities.</w:t>
            </w:r>
          </w:p>
        </w:tc>
      </w:tr>
    </w:tbl>
    <w:p w:rsidR="001F239C" w:rsidRPr="001F239C" w:rsidRDefault="001F239C" w:rsidP="001F239C">
      <w:pPr>
        <w:shd w:val="clear" w:color="auto" w:fill="FFFFFF"/>
        <w:spacing w:after="0" w:line="270" w:lineRule="atLeast"/>
        <w:textAlignment w:val="center"/>
        <w:rPr>
          <w:rFonts w:ascii="Berlin Sans FB" w:eastAsia="Times New Roman" w:hAnsi="Berlin Sans FB" w:cs="Times New Roman"/>
          <w:color w:val="09489B"/>
          <w:sz w:val="30"/>
          <w:szCs w:val="30"/>
          <w:lang w:eastAsia="en-PH"/>
        </w:rPr>
      </w:pPr>
      <w:r w:rsidRPr="001F239C">
        <w:rPr>
          <w:rFonts w:ascii="Berlin Sans FB" w:eastAsia="Times New Roman" w:hAnsi="Berlin Sans FB" w:cs="Times New Roman"/>
          <w:color w:val="09489B"/>
          <w:sz w:val="30"/>
          <w:szCs w:val="30"/>
          <w:lang w:eastAsia="en-PH"/>
        </w:rPr>
        <w:lastRenderedPageBreak/>
        <w:t>Undergraduate Courses</w:t>
      </w: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7173"/>
      </w:tblGrid>
      <w:tr w:rsidR="001F239C" w:rsidRPr="001F239C" w:rsidTr="001F239C">
        <w:trPr>
          <w:tblCellSpacing w:w="15" w:type="dxa"/>
        </w:trPr>
        <w:tc>
          <w:tcPr>
            <w:tcW w:w="0" w:type="auto"/>
            <w:shd w:val="clear" w:color="auto" w:fill="FFFFFF"/>
            <w:hideMark/>
          </w:tcPr>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Arts in Communication (BA COM)</w:t>
            </w:r>
          </w:p>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Arts in Legal Studies (BA LS)</w:t>
            </w:r>
          </w:p>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Arts in Philosophy and Interdisciplinary Studies (BA PIS)</w:t>
            </w:r>
          </w:p>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Arts in English (BA ENGL)</w:t>
            </w:r>
          </w:p>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Arts in Political Science (BA POLIT SC)</w:t>
            </w:r>
          </w:p>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Arts in Religious and Values Studies (BARVS)  (New Course)</w:t>
            </w:r>
          </w:p>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Science in Psychology (BS PSYCH)</w:t>
            </w:r>
          </w:p>
          <w:p w:rsidR="001F239C" w:rsidRPr="001F239C" w:rsidRDefault="001F239C" w:rsidP="001F239C">
            <w:pPr>
              <w:numPr>
                <w:ilvl w:val="0"/>
                <w:numId w:val="3"/>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Bachelor of Science in Social Work (BS S WK)</w:t>
            </w:r>
          </w:p>
        </w:tc>
      </w:tr>
    </w:tbl>
    <w:p w:rsidR="001F239C" w:rsidRDefault="001F239C">
      <w:pPr>
        <w:rPr>
          <w:rFonts w:ascii="Arial" w:eastAsia="Times New Roman" w:hAnsi="Arial" w:cs="Arial"/>
          <w:color w:val="3F3C30"/>
          <w:sz w:val="18"/>
          <w:szCs w:val="18"/>
          <w:shd w:val="clear" w:color="auto" w:fill="FFFFFF"/>
          <w:lang w:eastAsia="en-PH"/>
        </w:rPr>
      </w:pPr>
      <w:r w:rsidRPr="001F239C">
        <w:rPr>
          <w:rFonts w:ascii="Arial" w:eastAsia="Times New Roman" w:hAnsi="Arial" w:cs="Arial"/>
          <w:color w:val="3F3C30"/>
          <w:sz w:val="18"/>
          <w:szCs w:val="18"/>
          <w:shd w:val="clear" w:color="auto" w:fill="FFFFFF"/>
          <w:lang w:eastAsia="en-PH"/>
        </w:rPr>
        <w:t> </w:t>
      </w:r>
    </w:p>
    <w:p w:rsidR="001F239C" w:rsidRPr="001F239C" w:rsidRDefault="001F239C" w:rsidP="001F239C">
      <w:pPr>
        <w:shd w:val="clear" w:color="auto" w:fill="FFFFFF"/>
        <w:spacing w:after="0" w:line="270" w:lineRule="atLeast"/>
        <w:textAlignment w:val="center"/>
        <w:rPr>
          <w:rFonts w:ascii="Berlin Sans FB" w:eastAsia="Times New Roman" w:hAnsi="Berlin Sans FB" w:cs="Times New Roman"/>
          <w:color w:val="09489B"/>
          <w:sz w:val="30"/>
          <w:szCs w:val="30"/>
          <w:lang w:eastAsia="en-PH"/>
        </w:rPr>
      </w:pPr>
      <w:r w:rsidRPr="001F239C">
        <w:rPr>
          <w:rFonts w:ascii="Berlin Sans FB" w:eastAsia="Times New Roman" w:hAnsi="Berlin Sans FB" w:cs="Times New Roman"/>
          <w:color w:val="09489B"/>
          <w:sz w:val="30"/>
          <w:szCs w:val="30"/>
          <w:lang w:eastAsia="en-PH"/>
        </w:rPr>
        <w:t>Graduate Courses</w:t>
      </w:r>
    </w:p>
    <w:tbl>
      <w:tblPr>
        <w:tblW w:w="0" w:type="auto"/>
        <w:tblCellSpacing w:w="15" w:type="dxa"/>
        <w:shd w:val="clear" w:color="auto" w:fill="FFFFFF"/>
        <w:tblCellMar>
          <w:left w:w="450" w:type="dxa"/>
          <w:right w:w="450" w:type="dxa"/>
        </w:tblCellMar>
        <w:tblLook w:val="04A0" w:firstRow="1" w:lastRow="0" w:firstColumn="1" w:lastColumn="0" w:noHBand="0" w:noVBand="1"/>
      </w:tblPr>
      <w:tblGrid>
        <w:gridCol w:w="5833"/>
      </w:tblGrid>
      <w:tr w:rsidR="001F239C" w:rsidRPr="001F239C" w:rsidTr="001F239C">
        <w:trPr>
          <w:tblCellSpacing w:w="15" w:type="dxa"/>
        </w:trPr>
        <w:tc>
          <w:tcPr>
            <w:tcW w:w="0" w:type="auto"/>
            <w:shd w:val="clear" w:color="auto" w:fill="FFFFFF"/>
            <w:hideMark/>
          </w:tcPr>
          <w:p w:rsidR="001F239C" w:rsidRPr="001F239C" w:rsidRDefault="001F239C" w:rsidP="001F239C">
            <w:pPr>
              <w:numPr>
                <w:ilvl w:val="0"/>
                <w:numId w:val="4"/>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Philosophy (MA PHILOS)</w:t>
            </w:r>
          </w:p>
          <w:p w:rsidR="001F239C" w:rsidRPr="001F239C" w:rsidRDefault="001F239C" w:rsidP="001F239C">
            <w:pPr>
              <w:numPr>
                <w:ilvl w:val="0"/>
                <w:numId w:val="4"/>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Arts in Religious Studies (MA RELG STDS)</w:t>
            </w:r>
          </w:p>
          <w:p w:rsidR="001F239C" w:rsidRPr="001F239C" w:rsidRDefault="001F239C" w:rsidP="001F239C">
            <w:pPr>
              <w:numPr>
                <w:ilvl w:val="0"/>
                <w:numId w:val="4"/>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 xml:space="preserve">Master of Science in Guidance and </w:t>
            </w:r>
            <w:proofErr w:type="spellStart"/>
            <w:r w:rsidRPr="001F239C">
              <w:rPr>
                <w:rFonts w:ascii="Arial" w:eastAsia="Times New Roman" w:hAnsi="Arial" w:cs="Arial"/>
                <w:color w:val="3F3C30"/>
                <w:sz w:val="18"/>
                <w:szCs w:val="18"/>
                <w:lang w:eastAsia="en-PH"/>
              </w:rPr>
              <w:t>Counseling</w:t>
            </w:r>
            <w:proofErr w:type="spellEnd"/>
            <w:r w:rsidRPr="001F239C">
              <w:rPr>
                <w:rFonts w:ascii="Arial" w:eastAsia="Times New Roman" w:hAnsi="Arial" w:cs="Arial"/>
                <w:color w:val="3F3C30"/>
                <w:sz w:val="18"/>
                <w:szCs w:val="18"/>
                <w:lang w:eastAsia="en-PH"/>
              </w:rPr>
              <w:t xml:space="preserve"> (MS GC)</w:t>
            </w:r>
          </w:p>
          <w:p w:rsidR="001F239C" w:rsidRPr="001F239C" w:rsidRDefault="001F239C" w:rsidP="001F239C">
            <w:pPr>
              <w:numPr>
                <w:ilvl w:val="0"/>
                <w:numId w:val="4"/>
              </w:numPr>
              <w:spacing w:after="0" w:line="270" w:lineRule="atLeast"/>
              <w:ind w:left="0"/>
              <w:rPr>
                <w:rFonts w:ascii="Arial" w:eastAsia="Times New Roman" w:hAnsi="Arial" w:cs="Arial"/>
                <w:color w:val="3F3C30"/>
                <w:sz w:val="18"/>
                <w:szCs w:val="18"/>
                <w:lang w:eastAsia="en-PH"/>
              </w:rPr>
            </w:pPr>
            <w:r w:rsidRPr="001F239C">
              <w:rPr>
                <w:rFonts w:ascii="Arial" w:eastAsia="Times New Roman" w:hAnsi="Arial" w:cs="Arial"/>
                <w:color w:val="3F3C30"/>
                <w:sz w:val="18"/>
                <w:szCs w:val="18"/>
                <w:lang w:eastAsia="en-PH"/>
              </w:rPr>
              <w:t>Master of Science in Psychology (MS PSYCH)</w:t>
            </w:r>
          </w:p>
        </w:tc>
      </w:tr>
    </w:tbl>
    <w:p w:rsidR="001F239C" w:rsidRDefault="001F239C">
      <w:pPr>
        <w:rPr>
          <w:rFonts w:ascii="Arial" w:eastAsia="Times New Roman" w:hAnsi="Arial" w:cs="Arial"/>
          <w:color w:val="3F3C30"/>
          <w:sz w:val="18"/>
          <w:szCs w:val="18"/>
          <w:shd w:val="clear" w:color="auto" w:fill="FFFFFF"/>
          <w:lang w:eastAsia="en-PH"/>
        </w:rPr>
      </w:pPr>
      <w:r w:rsidRPr="001F239C">
        <w:rPr>
          <w:rFonts w:ascii="Arial" w:eastAsia="Times New Roman" w:hAnsi="Arial" w:cs="Arial"/>
          <w:color w:val="3F3C30"/>
          <w:sz w:val="18"/>
          <w:szCs w:val="18"/>
          <w:shd w:val="clear" w:color="auto" w:fill="FFFFFF"/>
          <w:lang w:eastAsia="en-PH"/>
        </w:rPr>
        <w:t> </w:t>
      </w:r>
    </w:p>
    <w:p w:rsidR="001F239C" w:rsidRDefault="001F239C">
      <w:bookmarkStart w:id="0" w:name="_GoBack"/>
      <w:bookmarkEnd w:id="0"/>
    </w:p>
    <w:sectPr w:rsidR="001F2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3795D"/>
    <w:multiLevelType w:val="multilevel"/>
    <w:tmpl w:val="51A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0F1B04"/>
    <w:multiLevelType w:val="multilevel"/>
    <w:tmpl w:val="4956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B3694"/>
    <w:multiLevelType w:val="multilevel"/>
    <w:tmpl w:val="2E8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C605A8"/>
    <w:multiLevelType w:val="multilevel"/>
    <w:tmpl w:val="50B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9C"/>
    <w:rsid w:val="001F239C"/>
    <w:rsid w:val="00514CCF"/>
    <w:rsid w:val="00EE22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separator">
    <w:name w:val="article_separator"/>
    <w:basedOn w:val="DefaultParagraphFont"/>
    <w:rsid w:val="001F239C"/>
  </w:style>
  <w:style w:type="paragraph" w:styleId="NormalWeb">
    <w:name w:val="Normal (Web)"/>
    <w:basedOn w:val="Normal"/>
    <w:uiPriority w:val="99"/>
    <w:unhideWhenUsed/>
    <w:rsid w:val="001F239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separator">
    <w:name w:val="article_separator"/>
    <w:basedOn w:val="DefaultParagraphFont"/>
    <w:rsid w:val="001F239C"/>
  </w:style>
  <w:style w:type="paragraph" w:styleId="NormalWeb">
    <w:name w:val="Normal (Web)"/>
    <w:basedOn w:val="Normal"/>
    <w:uiPriority w:val="99"/>
    <w:unhideWhenUsed/>
    <w:rsid w:val="001F239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3407">
      <w:bodyDiv w:val="1"/>
      <w:marLeft w:val="0"/>
      <w:marRight w:val="0"/>
      <w:marTop w:val="0"/>
      <w:marBottom w:val="0"/>
      <w:divBdr>
        <w:top w:val="none" w:sz="0" w:space="0" w:color="auto"/>
        <w:left w:val="none" w:sz="0" w:space="0" w:color="auto"/>
        <w:bottom w:val="none" w:sz="0" w:space="0" w:color="auto"/>
        <w:right w:val="none" w:sz="0" w:space="0" w:color="auto"/>
      </w:divBdr>
    </w:div>
    <w:div w:id="208415389">
      <w:bodyDiv w:val="1"/>
      <w:marLeft w:val="0"/>
      <w:marRight w:val="0"/>
      <w:marTop w:val="0"/>
      <w:marBottom w:val="0"/>
      <w:divBdr>
        <w:top w:val="none" w:sz="0" w:space="0" w:color="auto"/>
        <w:left w:val="none" w:sz="0" w:space="0" w:color="auto"/>
        <w:bottom w:val="none" w:sz="0" w:space="0" w:color="auto"/>
        <w:right w:val="none" w:sz="0" w:space="0" w:color="auto"/>
      </w:divBdr>
    </w:div>
    <w:div w:id="282155851">
      <w:bodyDiv w:val="1"/>
      <w:marLeft w:val="0"/>
      <w:marRight w:val="0"/>
      <w:marTop w:val="0"/>
      <w:marBottom w:val="0"/>
      <w:divBdr>
        <w:top w:val="none" w:sz="0" w:space="0" w:color="auto"/>
        <w:left w:val="none" w:sz="0" w:space="0" w:color="auto"/>
        <w:bottom w:val="none" w:sz="0" w:space="0" w:color="auto"/>
        <w:right w:val="none" w:sz="0" w:space="0" w:color="auto"/>
      </w:divBdr>
    </w:div>
    <w:div w:id="835608681">
      <w:bodyDiv w:val="1"/>
      <w:marLeft w:val="0"/>
      <w:marRight w:val="0"/>
      <w:marTop w:val="0"/>
      <w:marBottom w:val="0"/>
      <w:divBdr>
        <w:top w:val="none" w:sz="0" w:space="0" w:color="auto"/>
        <w:left w:val="none" w:sz="0" w:space="0" w:color="auto"/>
        <w:bottom w:val="none" w:sz="0" w:space="0" w:color="auto"/>
        <w:right w:val="none" w:sz="0" w:space="0" w:color="auto"/>
      </w:divBdr>
    </w:div>
    <w:div w:id="1018124485">
      <w:bodyDiv w:val="1"/>
      <w:marLeft w:val="0"/>
      <w:marRight w:val="0"/>
      <w:marTop w:val="0"/>
      <w:marBottom w:val="0"/>
      <w:divBdr>
        <w:top w:val="none" w:sz="0" w:space="0" w:color="auto"/>
        <w:left w:val="none" w:sz="0" w:space="0" w:color="auto"/>
        <w:bottom w:val="none" w:sz="0" w:space="0" w:color="auto"/>
        <w:right w:val="none" w:sz="0" w:space="0" w:color="auto"/>
      </w:divBdr>
    </w:div>
    <w:div w:id="112859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s326lab</dc:creator>
  <cp:lastModifiedBy>s326lab</cp:lastModifiedBy>
  <cp:revision>1</cp:revision>
  <dcterms:created xsi:type="dcterms:W3CDTF">2017-03-16T03:01:00Z</dcterms:created>
  <dcterms:modified xsi:type="dcterms:W3CDTF">2017-03-16T03:29:00Z</dcterms:modified>
</cp:coreProperties>
</file>