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4D43"/>
          <w:sz w:val="56"/>
        </w:rPr>
        <w:t>ICBB AMR Surveillance System</w:t>
      </w:r>
    </w:p>
    <w:p>
      <w:pPr>
        <w:jc w:val="center"/>
      </w:pPr>
      <w:r>
        <w:rPr>
          <w:i/>
          <w:color w:val="B18A3A"/>
          <w:sz w:val="26"/>
        </w:rPr>
        <w:t>Exhibition Walkthrough · A Plain-Language Guide for Visitors, Decision-Makers and Investors</w:t>
      </w:r>
    </w:p>
    <w:p>
      <w:r>
        <w:rPr>
          <w:b w:val="0"/>
          <w:i w:val="0"/>
          <w:color w:val="1A170E"/>
          <w:sz w:val="22"/>
        </w:rPr>
      </w:r>
    </w:p>
    <w:p>
      <w:r>
        <w:rPr>
          <w:b w:val="0"/>
          <w:i/>
          <w:color w:val="1A170E"/>
          <w:sz w:val="20"/>
        </w:rPr>
        <w:t>Prepared for the National AMR Exhibition · Ghana</w:t>
      </w:r>
    </w:p>
    <w:p>
      <w:r>
        <w:rPr>
          <w:b w:val="0"/>
          <w:i/>
          <w:color w:val="1A170E"/>
          <w:sz w:val="22"/>
        </w:rPr>
        <w:t>A unified, One-Health digital platform for tracking antimicrobial resistance across the environment, food, human, animal and aquaculture sectors.</w:t>
      </w:r>
    </w:p>
    <w:p>
      <w:r>
        <w:br w:type="page"/>
      </w:r>
    </w:p>
    <w:p>
      <w:pPr>
        <w:pStyle w:val="Heading1"/>
      </w:pPr>
      <w:r>
        <w:rPr>
          <w:rFonts w:ascii="Calibri" w:hAnsi="Calibri"/>
          <w:color w:val="1D4D43"/>
        </w:rPr>
        <w:t>1. The Big Picture — What This System Is</w:t>
      </w:r>
    </w:p>
    <w:p>
      <w:r>
        <w:rPr>
          <w:b w:val="0"/>
          <w:i w:val="0"/>
          <w:color w:val="1A170E"/>
          <w:sz w:val="22"/>
        </w:rPr>
        <w:t>The ICBB AMR Surveillance System is Ghana’s national digital platform for tracking antimicrobial resistance (AMR). In simple terms, it is a website that any approved laboratory in Ghana can log into to upload its laboratory test results, and that public-health officials, veterinarians, food-safety officers and policy-makers can use to see — in real time — where drug-resistant infections are spreading, which medicines are still working, and which are no longer effective.</w:t>
      </w:r>
    </w:p>
    <w:p>
      <w:r>
        <w:rPr>
          <w:b w:val="0"/>
          <w:i w:val="0"/>
          <w:color w:val="1A170E"/>
          <w:sz w:val="22"/>
        </w:rPr>
        <w:t>It brings together five worlds that have always been managed separately:</w:t>
      </w:r>
    </w:p>
    <w:p>
      <w:pPr>
        <w:pStyle w:val="ListBullet"/>
      </w:pPr>
      <w:r>
        <w:rPr>
          <w:color w:val="1A170E"/>
          <w:sz w:val="22"/>
        </w:rPr>
        <w:t>Human health (hospitals, clinics)</w:t>
      </w:r>
    </w:p>
    <w:p>
      <w:pPr>
        <w:pStyle w:val="ListBullet"/>
      </w:pPr>
      <w:r>
        <w:rPr>
          <w:color w:val="1A170E"/>
          <w:sz w:val="22"/>
        </w:rPr>
        <w:t>Animal health (veterinary laboratories, farms)</w:t>
      </w:r>
    </w:p>
    <w:p>
      <w:pPr>
        <w:pStyle w:val="ListBullet"/>
      </w:pPr>
      <w:r>
        <w:rPr>
          <w:color w:val="1A170E"/>
          <w:sz w:val="22"/>
        </w:rPr>
        <w:t>Food (slaughterhouses, markets, processors)</w:t>
      </w:r>
    </w:p>
    <w:p>
      <w:pPr>
        <w:pStyle w:val="ListBullet"/>
      </w:pPr>
      <w:r>
        <w:rPr>
          <w:color w:val="1A170E"/>
          <w:sz w:val="22"/>
        </w:rPr>
        <w:t>Environment (rivers, wastewater, soil)</w:t>
      </w:r>
    </w:p>
    <w:p>
      <w:pPr>
        <w:pStyle w:val="ListBullet"/>
      </w:pPr>
      <w:r>
        <w:rPr>
          <w:color w:val="1A170E"/>
          <w:sz w:val="22"/>
        </w:rPr>
        <w:t>Aquaculture (fish farms, ponds)</w:t>
      </w:r>
    </w:p>
    <w:p>
      <w:r>
        <w:rPr>
          <w:b w:val="0"/>
          <w:i w:val="0"/>
          <w:color w:val="1A170E"/>
          <w:sz w:val="22"/>
        </w:rPr>
        <w:t>This is the One-Health approach: bacteria do not respect the boundary between a hospital ward and a chicken farm, so the surveillance has to look at all five worlds at the same time.</w:t>
      </w:r>
    </w:p>
    <w:p>
      <w:pPr>
        <w:pStyle w:val="Heading1"/>
      </w:pPr>
      <w:r>
        <w:rPr>
          <w:rFonts w:ascii="Calibri" w:hAnsi="Calibri"/>
          <w:color w:val="1D4D43"/>
        </w:rPr>
        <w:t>2. What Is Antimicrobial Resistance, in One Paragraph?</w:t>
      </w:r>
    </w:p>
    <w:p>
      <w:r>
        <w:rPr>
          <w:b w:val="0"/>
          <w:i w:val="0"/>
          <w:color w:val="1A170E"/>
          <w:sz w:val="22"/>
        </w:rPr>
        <w:t>When a person, animal or fish is treated repeatedly with antibiotics, the bacteria that survive the treatment learn to defend themselves. Over time, those bacteria multiply, spread to other people, animals and into the environment, and the antibiotic stops working. A simple wound infection or a urinary tract infection can then become deadly because none of the available drugs can kill the bacteria. AMR is already estimated to kill more people each year than malaria and HIV combined, and Ghana — like every other country — has no choice but to monitor it carefully and act early.</w:t>
      </w:r>
    </w:p>
    <w:p>
      <w:pPr>
        <w:pStyle w:val="Heading1"/>
      </w:pPr>
      <w:r>
        <w:rPr>
          <w:rFonts w:ascii="Calibri" w:hAnsi="Calibri"/>
          <w:color w:val="1D4D43"/>
        </w:rPr>
        <w:t>3. Live Walkthrough — A Page-by-Page Tour</w:t>
      </w:r>
    </w:p>
    <w:p>
      <w:r>
        <w:rPr>
          <w:b w:val="0"/>
          <w:i w:val="0"/>
          <w:color w:val="1A170E"/>
          <w:sz w:val="22"/>
        </w:rPr>
        <w:t>The system has 21 working pages grouped into seven simple zones. As you walk visitors through the demonstration, follow this order — it tells a complete story from raw data to national decision-making.</w:t>
      </w:r>
    </w:p>
    <w:p>
      <w:pPr>
        <w:pStyle w:val="Heading2"/>
      </w:pPr>
      <w:r>
        <w:rPr>
          <w:rFonts w:ascii="Calibri" w:hAnsi="Calibri"/>
          <w:color w:val="1D4D43"/>
        </w:rPr>
        <w:t>3.1 Secure Login</w:t>
      </w:r>
    </w:p>
    <w:p>
      <w:r>
        <w:rPr>
          <w:b w:val="0"/>
          <w:i w:val="0"/>
          <w:color w:val="1A170E"/>
          <w:sz w:val="22"/>
        </w:rPr>
        <w:t>Every visitor sees a clean two-pane login screen. On the left is the national branding; on the right, an email and password field. Only the 19 approved sentinel laboratories and the national administrator can sign in. Passwords are stored using bcrypt encryption (the same standard banks use), and the session times out automatically when idle. The login also decides what the user is allowed to see: a hospital lab will only see its own data, while the national administrator sees everything.</w:t>
      </w:r>
    </w:p>
    <w:p>
      <w:pPr>
        <w:ind w:left="576" w:right="576"/>
      </w:pPr>
      <w:r>
        <w:rPr>
          <w:i/>
          <w:color w:val="1D4D43"/>
          <w:sz w:val="22"/>
        </w:rPr>
        <w:t>Key message for visitors: ‘The system protects each laboratory’s data while still letting the country see the national picture.’</w:t>
      </w:r>
    </w:p>
    <w:p>
      <w:pPr>
        <w:pStyle w:val="Heading2"/>
      </w:pPr>
      <w:r>
        <w:rPr>
          <w:rFonts w:ascii="Calibri" w:hAnsi="Calibri"/>
          <w:color w:val="1D4D43"/>
        </w:rPr>
        <w:t>3.2 Zone A — Data In (Upload &amp; Quality)</w:t>
      </w:r>
    </w:p>
    <w:p>
      <w:r>
        <w:rPr>
          <w:b w:val="0"/>
          <w:i w:val="0"/>
          <w:color w:val="1A170E"/>
          <w:sz w:val="22"/>
        </w:rPr>
        <w:t>Laboratories enter their data into the system in one of two equally supported ways. The choice is the lab’s — nothing on the analysis side changes.</w:t>
      </w:r>
    </w:p>
    <w:p>
      <w:r>
        <w:rPr>
          <w:b/>
          <w:color w:val="1D4D43"/>
        </w:rPr>
        <w:t xml:space="preserve">Option 1 — KoboToolbox form (recommended) — </w:t>
      </w:r>
      <w:r>
        <w:rPr>
          <w:color w:val="1A170E"/>
        </w:rPr>
        <w:t>The national programme has published a single standard AMR data-collection form on KoboToolbox. Each sentinel laboratory fills it in on a phone, tablet or laptop — online or offline — and submits. The dashboard then pulls every new submission into the national database simply by knowing the form’s ID. No file handling, no email attachments, no version-control problems.</w:t>
      </w:r>
    </w:p>
    <w:p>
      <w:r>
        <w:rPr>
          <w:b/>
          <w:color w:val="1D4D43"/>
        </w:rPr>
        <w:t xml:space="preserve">Option 2 — Excel upload — </w:t>
      </w:r>
      <w:r>
        <w:rPr>
          <w:color w:val="1A170E"/>
        </w:rPr>
        <w:t>Labs that already keep their records in Excel can upload the workbook directly — useful for legacy data and for partners who are not yet on KoboToolbox.</w:t>
      </w:r>
    </w:p>
    <w:p>
      <w:r>
        <w:rPr>
          <w:b/>
          <w:color w:val="1D4D43"/>
        </w:rPr>
        <w:t xml:space="preserve">Data Management — </w:t>
      </w:r>
      <w:r>
        <w:rPr>
          <w:color w:val="1A170E"/>
        </w:rPr>
        <w:t>Lets each lab review, rename or delete its own datasets. The administrator can additionally promote one dataset to be the ‘National Main Dataset’ — that is the one used in all the national charts.</w:t>
      </w:r>
    </w:p>
    <w:p>
      <w:r>
        <w:rPr>
          <w:b w:val="0"/>
          <w:i w:val="0"/>
          <w:color w:val="1A170E"/>
          <w:sz w:val="22"/>
        </w:rPr>
        <w:t>Behind the scenes, whichever route is used, the system standardises pathogen names, antibiotic codes and specimen types using internationally accepted look-up tables, so that a laboratory in Tamale and one in Cape Coast can be compared on equal terms. WHONET appears later in the workflow only as an export format — the system can re-emit cleaned data in WHONET form so it can be shared with WHO GLASS or re-imported into the desktop WHONET software.</w:t>
      </w:r>
    </w:p>
    <w:p>
      <w:pPr>
        <w:pStyle w:val="Heading2"/>
      </w:pPr>
      <w:r>
        <w:rPr>
          <w:rFonts w:ascii="Calibri" w:hAnsi="Calibri"/>
          <w:color w:val="1D4D43"/>
        </w:rPr>
        <w:t>3.3 Zone B — Surveillance Dashboards (the heart of the demo)</w:t>
      </w:r>
    </w:p>
    <w:p>
      <w:r>
        <w:rPr>
          <w:b/>
          <w:color w:val="1D4D43"/>
        </w:rPr>
        <w:t xml:space="preserve">Resistance Overview — </w:t>
      </w:r>
      <w:r>
        <w:rPr>
          <w:color w:val="1A170E"/>
        </w:rPr>
        <w:t>The headline page. Big number cards show: total isolates, % multi-drug-resistant (MDR), top 5 priority pathogens, and the share of last-line antibiotics that have already failed. Visitors instantly grasp the scale.</w:t>
      </w:r>
    </w:p>
    <w:p>
      <w:r>
        <w:rPr>
          <w:b/>
          <w:color w:val="1D4D43"/>
        </w:rPr>
        <w:t xml:space="preserve">Resistance Heat Map — </w:t>
      </w:r>
      <w:r>
        <w:rPr>
          <w:color w:val="1A170E"/>
        </w:rPr>
        <w:t>A coloured grid where each row is a bacterium and each column is an antibiotic. Green = the drug still works, red = it has failed. One glance tells a clinician what to prescribe.</w:t>
      </w:r>
    </w:p>
    <w:p>
      <w:r>
        <w:rPr>
          <w:b/>
          <w:color w:val="1D4D43"/>
        </w:rPr>
        <w:t xml:space="preserve">Pathogen Profile — </w:t>
      </w:r>
      <w:r>
        <w:rPr>
          <w:color w:val="1A170E"/>
        </w:rPr>
        <w:t>Pick any organism (e.g. E. coli) and see its full resistance fingerprint, where it has been found in the country, in which sector, and how its resistance has changed over time.</w:t>
      </w:r>
    </w:p>
    <w:p>
      <w:r>
        <w:rPr>
          <w:b/>
          <w:color w:val="1D4D43"/>
        </w:rPr>
        <w:t xml:space="preserve">HAI Profile — </w:t>
      </w:r>
      <w:r>
        <w:rPr>
          <w:color w:val="1A170E"/>
        </w:rPr>
        <w:t>Healthcare-Associated Infections: focuses on the bacteria patients catch inside the hospital itself — a leading cause of preventable death.</w:t>
      </w:r>
    </w:p>
    <w:p>
      <w:r>
        <w:rPr>
          <w:b/>
          <w:color w:val="1D4D43"/>
        </w:rPr>
        <w:t xml:space="preserve">Trends — </w:t>
      </w:r>
      <w:r>
        <w:rPr>
          <w:color w:val="1A170E"/>
        </w:rPr>
        <w:t>Time-series line charts showing whether resistance to each antibiotic is rising, falling or stable, with monthly / quarterly / yearly aggregation and earliest / latest test markers.</w:t>
      </w:r>
    </w:p>
    <w:p>
      <w:r>
        <w:rPr>
          <w:b/>
          <w:color w:val="1D4D43"/>
        </w:rPr>
        <w:t xml:space="preserve">Antibiogram Matrix — </w:t>
      </w:r>
      <w:r>
        <w:rPr>
          <w:color w:val="1A170E"/>
        </w:rPr>
        <w:t>The clinician’s cheat-sheet: a table of % susceptibility for every pathogen-antibiotic pair, colour-coded:</w:t>
      </w:r>
    </w:p>
    <w:p>
      <w:pPr>
        <w:pStyle w:val="ListBullet"/>
      </w:pPr>
      <w:r>
        <w:rPr>
          <w:color w:val="1A170E"/>
          <w:sz w:val="22"/>
        </w:rPr>
        <w:t>Green ≥ 90 %  — drug still highly effective</w:t>
      </w:r>
    </w:p>
    <w:p>
      <w:pPr>
        <w:pStyle w:val="ListBullet"/>
      </w:pPr>
      <w:r>
        <w:rPr>
          <w:color w:val="1A170E"/>
          <w:sz w:val="22"/>
        </w:rPr>
        <w:t>Lime 70–89 % — usually effective</w:t>
      </w:r>
    </w:p>
    <w:p>
      <w:pPr>
        <w:pStyle w:val="ListBullet"/>
      </w:pPr>
      <w:r>
        <w:rPr>
          <w:color w:val="1A170E"/>
          <w:sz w:val="22"/>
        </w:rPr>
        <w:t>Yellow 50–69 % — caution; consider alternatives</w:t>
      </w:r>
    </w:p>
    <w:p>
      <w:pPr>
        <w:pStyle w:val="ListBullet"/>
      </w:pPr>
      <w:r>
        <w:rPr>
          <w:color w:val="1A170E"/>
          <w:sz w:val="22"/>
        </w:rPr>
        <w:t>Orange 30–49 % — likely to fail</w:t>
      </w:r>
    </w:p>
    <w:p>
      <w:pPr>
        <w:pStyle w:val="ListBullet"/>
      </w:pPr>
      <w:r>
        <w:rPr>
          <w:color w:val="1A170E"/>
          <w:sz w:val="22"/>
        </w:rPr>
        <w:t>Red &lt; 30 % — do not use empirically</w:t>
      </w:r>
    </w:p>
    <w:p>
      <w:r>
        <w:rPr>
          <w:b w:val="0"/>
          <w:i w:val="0"/>
          <w:color w:val="1A170E"/>
          <w:sz w:val="22"/>
        </w:rPr>
        <w:t>An asterisk (*) marks pathogen-drug pairs with fewer than the minimum CLSI-recommended 30 isolates — a built-in honesty signal so clinicians know when to interpret the cell with caution.</w:t>
      </w:r>
    </w:p>
    <w:p>
      <w:pPr>
        <w:pStyle w:val="Heading2"/>
      </w:pPr>
      <w:r>
        <w:rPr>
          <w:rFonts w:ascii="Calibri" w:hAnsi="Calibri"/>
          <w:color w:val="1D4D43"/>
        </w:rPr>
        <w:t>3.4 Zone C — Geography (where is the problem?)</w:t>
      </w:r>
    </w:p>
    <w:p>
      <w:r>
        <w:rPr>
          <w:b/>
          <w:color w:val="1D4D43"/>
        </w:rPr>
        <w:t xml:space="preserve">Map Hotspots — </w:t>
      </w:r>
      <w:r>
        <w:rPr>
          <w:color w:val="1A170E"/>
        </w:rPr>
        <w:t>An interactive map of Ghana. Each region or sentinel site is plotted with a coloured circle whose size = number of isolates and whose colour = resistance rate. Visitors can filter by sector, year and pathogen and immediately see, for example, that carbapenem-resistant E. coli is concentrated in two specific districts.</w:t>
      </w:r>
    </w:p>
    <w:p>
      <w:pPr>
        <w:pStyle w:val="Heading2"/>
      </w:pPr>
      <w:r>
        <w:rPr>
          <w:rFonts w:ascii="Calibri" w:hAnsi="Calibri"/>
          <w:color w:val="1D4D43"/>
        </w:rPr>
        <w:t>3.5 Zone D — Intelligence (what is going to happen?)</w:t>
      </w:r>
    </w:p>
    <w:p>
      <w:r>
        <w:rPr>
          <w:b/>
          <w:color w:val="1D4D43"/>
        </w:rPr>
        <w:t xml:space="preserve">Advanced Analytics — </w:t>
      </w:r>
      <w:r>
        <w:rPr>
          <w:color w:val="1A170E"/>
        </w:rPr>
        <w:t>Statistical breakdowns: resistance by age group, sex, ward, animal species, water source, etc. Helps researchers find risk factors.</w:t>
      </w:r>
    </w:p>
    <w:p>
      <w:r>
        <w:rPr>
          <w:b/>
          <w:color w:val="1D4D43"/>
        </w:rPr>
        <w:t xml:space="preserve">Risk Assessment — </w:t>
      </w:r>
      <w:r>
        <w:rPr>
          <w:color w:val="1A170E"/>
        </w:rPr>
        <w:t>A scoring engine that combines pathogen virulence, current resistance rate, spread potential and clinical impact into a single 0–100 risk score per pathogen-region pair, then ranks them from highest to lowest priority.</w:t>
      </w:r>
    </w:p>
    <w:p>
      <w:r>
        <w:rPr>
          <w:b/>
          <w:color w:val="1D4D43"/>
        </w:rPr>
        <w:t xml:space="preserve">Comparative Analysis — </w:t>
      </w:r>
      <w:r>
        <w:rPr>
          <w:color w:val="1A170E"/>
        </w:rPr>
        <w:t>Side-by-side comparison of any two regions, two laboratories, two years or two sectors. Used to answer questions like ‘Has resistance in poultry farms gotten worse than in hospitals over the last 3 years?’</w:t>
      </w:r>
    </w:p>
    <w:p>
      <w:r>
        <w:rPr>
          <w:b/>
          <w:color w:val="1D4D43"/>
        </w:rPr>
        <w:t xml:space="preserve">Alerts Dashboard — </w:t>
      </w:r>
      <w:r>
        <w:rPr>
          <w:color w:val="1A170E"/>
        </w:rPr>
        <w:t>Scans the latest data against user-configurable severity thresholds (Critical / High / Medium / Low) and displays a colour-coded summary plus a list of every flagged event — for example, three or more carbapenem-resistant isolates from the same hospital in one week. The alert is shown in the dashboard whenever a user opens this page; automatic email/SMS delivery is on the funded roadmap (see §11).</w:t>
      </w:r>
    </w:p>
    <w:p>
      <w:pPr>
        <w:pStyle w:val="Heading2"/>
      </w:pPr>
      <w:r>
        <w:rPr>
          <w:rFonts w:ascii="Calibri" w:hAnsi="Calibri"/>
          <w:color w:val="1D4D43"/>
        </w:rPr>
        <w:t>3.6 Zone E — Use &amp; Consumption (the other half of AMR)</w:t>
      </w:r>
    </w:p>
    <w:p>
      <w:r>
        <w:rPr>
          <w:b w:val="0"/>
          <w:i w:val="0"/>
          <w:color w:val="1A170E"/>
          <w:sz w:val="22"/>
        </w:rPr>
        <w:t>Resistance is only half the story. The other half is how much antibiotic is being used. The system tracks this in three dedicated dashboards:</w:t>
      </w:r>
    </w:p>
    <w:p>
      <w:r>
        <w:rPr>
          <w:b/>
          <w:color w:val="1D4D43"/>
        </w:rPr>
        <w:t xml:space="preserve">PPS Dashboard — </w:t>
      </w:r>
      <w:r>
        <w:rPr>
          <w:color w:val="1A170E"/>
        </w:rPr>
        <w:t>Point-Prevalence Surveys done in hospitals on a chosen day, recording every patient currently on an antibiotic — the gold-standard method for measuring hospital prescribing patterns.</w:t>
      </w:r>
    </w:p>
    <w:p>
      <w:r>
        <w:rPr>
          <w:b/>
          <w:color w:val="1D4D43"/>
        </w:rPr>
        <w:t xml:space="preserve">AMU Dashboard — </w:t>
      </w:r>
      <w:r>
        <w:rPr>
          <w:color w:val="1A170E"/>
        </w:rPr>
        <w:t>Antimicrobial Use, expressed in DDD (Defined Daily Doses) per 1,000 patient-days. DDD is the WHO’s international yard-stick that lets you compare a 200-bed district hospital with a 1,500-bed teaching hospital fairly.</w:t>
      </w:r>
    </w:p>
    <w:p>
      <w:r>
        <w:rPr>
          <w:b/>
          <w:color w:val="1D4D43"/>
        </w:rPr>
        <w:t xml:space="preserve">AMC Dashboard — </w:t>
      </w:r>
      <w:r>
        <w:rPr>
          <w:color w:val="1A170E"/>
        </w:rPr>
        <w:t>Antimicrobial Consumption — measured at the country level using import, manufacturing and sales data, expressed in DDD per 1,000 inhabitants per day. This is the figure Ghana reports to the WHO GLASS programme.</w:t>
      </w:r>
    </w:p>
    <w:p>
      <w:pPr>
        <w:pStyle w:val="Heading2"/>
      </w:pPr>
      <w:r>
        <w:rPr>
          <w:rFonts w:ascii="Calibri" w:hAnsi="Calibri"/>
          <w:color w:val="1D4D43"/>
        </w:rPr>
        <w:t>3.7 Zone F — Reporting &amp; Export</w:t>
      </w:r>
    </w:p>
    <w:p>
      <w:r>
        <w:rPr>
          <w:b/>
          <w:color w:val="1D4D43"/>
        </w:rPr>
        <w:t xml:space="preserve">Antibiogram (PDF/Word) — </w:t>
      </w:r>
      <w:r>
        <w:rPr>
          <w:color w:val="1A170E"/>
        </w:rPr>
        <w:t>Generates a print-ready antibiogram for any laboratory or for the country, ready to post on a hospital ward or to ship to WHO.</w:t>
      </w:r>
    </w:p>
    <w:p>
      <w:r>
        <w:rPr>
          <w:b/>
          <w:color w:val="1D4D43"/>
        </w:rPr>
        <w:t xml:space="preserve">WHONET Export — </w:t>
      </w:r>
      <w:r>
        <w:rPr>
          <w:color w:val="1A170E"/>
        </w:rPr>
        <w:t>Re-exports the cleaned data in WHONET format so it can be shared with international partners or re-imported into the desktop WHONET software.</w:t>
      </w:r>
    </w:p>
    <w:p>
      <w:r>
        <w:rPr>
          <w:b/>
          <w:color w:val="1D4D43"/>
        </w:rPr>
        <w:t xml:space="preserve">Report Export — </w:t>
      </w:r>
      <w:r>
        <w:rPr>
          <w:color w:val="1A170E"/>
        </w:rPr>
        <w:t>One-click national technical surveillance report (PDF or DOCX) with an executive summary, every chart, every table and a list of recommended actions — what would normally take a team of analysts three weeks is produced in 90 seconds.</w:t>
      </w:r>
    </w:p>
    <w:p>
      <w:pPr>
        <w:pStyle w:val="Heading2"/>
      </w:pPr>
      <w:r>
        <w:rPr>
          <w:rFonts w:ascii="Calibri" w:hAnsi="Calibri"/>
          <w:color w:val="1D4D43"/>
        </w:rPr>
        <w:t>3.8 Zone G — Administration (national focal point only)</w:t>
      </w:r>
    </w:p>
    <w:p>
      <w:pPr>
        <w:pStyle w:val="ListBullet"/>
      </w:pPr>
      <w:r>
        <w:rPr>
          <w:color w:val="1A170E"/>
          <w:sz w:val="22"/>
        </w:rPr>
        <w:t>Admin – Datasets: choose the National Main Dataset, archive obsolete uploads.</w:t>
      </w:r>
    </w:p>
    <w:p>
      <w:pPr>
        <w:pStyle w:val="ListBullet"/>
      </w:pPr>
      <w:r>
        <w:rPr>
          <w:color w:val="1A170E"/>
          <w:sz w:val="22"/>
        </w:rPr>
        <w:t>Admin – Users: approve new laboratories, reset passwords, deactivate leavers.</w:t>
      </w:r>
    </w:p>
    <w:p>
      <w:pPr>
        <w:pStyle w:val="Heading1"/>
      </w:pPr>
      <w:r>
        <w:rPr>
          <w:rFonts w:ascii="Calibri" w:hAnsi="Calibri"/>
          <w:color w:val="1D4D43"/>
        </w:rPr>
        <w:t>4. The Numbers Explained — Every Variable in Plain Language</w:t>
      </w:r>
    </w:p>
    <w:p>
      <w:r>
        <w:rPr>
          <w:b w:val="0"/>
          <w:i w:val="0"/>
          <w:color w:val="1A170E"/>
          <w:sz w:val="22"/>
        </w:rPr>
        <w:t>Below is a glossary of every metric a visitor will see on screen. Use it as your cheat-sheet during the demo.</w:t>
      </w:r>
    </w:p>
    <w:p>
      <w:r>
        <w:rPr>
          <w:b/>
          <w:color w:val="1D4D43"/>
        </w:rPr>
        <w:t xml:space="preserve">Isolate — </w:t>
      </w:r>
      <w:r>
        <w:rPr>
          <w:color w:val="1A170E"/>
        </w:rPr>
        <w:t>One bacterium grown from one specimen from one patient/animal/sample. The basic unit of counting.</w:t>
      </w:r>
    </w:p>
    <w:p>
      <w:r>
        <w:rPr>
          <w:b/>
          <w:color w:val="1D4D43"/>
        </w:rPr>
        <w:t xml:space="preserve">Sample / Specimen — </w:t>
      </w:r>
      <w:r>
        <w:rPr>
          <w:color w:val="1A170E"/>
        </w:rPr>
        <w:t>The clinical material the bacterium came from — urine, blood, stool, wound swab, milk, carcass swab, water, etc.</w:t>
      </w:r>
    </w:p>
    <w:p>
      <w:r>
        <w:rPr>
          <w:b/>
          <w:color w:val="1D4D43"/>
        </w:rPr>
        <w:t xml:space="preserve">AST (Antibiotic Susceptibility Test) — </w:t>
      </w:r>
      <w:r>
        <w:rPr>
          <w:color w:val="1A170E"/>
        </w:rPr>
        <w:t>The lab test that exposes a bacterium to an antibiotic and reports whether it is Susceptible (S), Intermediate (I) or Resistant (R).</w:t>
      </w:r>
    </w:p>
    <w:p>
      <w:r>
        <w:rPr>
          <w:b/>
          <w:color w:val="1D4D43"/>
        </w:rPr>
        <w:t xml:space="preserve">% Susceptible — </w:t>
      </w:r>
      <w:r>
        <w:rPr>
          <w:color w:val="1A170E"/>
        </w:rPr>
        <w:t>Of all isolates of a given bacterium tested against a given antibiotic, the share that were S. Calculated as: (S ÷ (S + I + R)) × 100. Higher = the drug still works.</w:t>
      </w:r>
    </w:p>
    <w:p>
      <w:r>
        <w:rPr>
          <w:b/>
          <w:color w:val="1D4D43"/>
        </w:rPr>
        <w:t xml:space="preserve">% Resistant — </w:t>
      </w:r>
      <w:r>
        <w:rPr>
          <w:color w:val="1A170E"/>
        </w:rPr>
        <w:t>The opposite of % Susceptible: (R ÷ (S + I + R)) × 100. This is the headline AMR figure.</w:t>
      </w:r>
    </w:p>
    <w:p>
      <w:r>
        <w:rPr>
          <w:b/>
          <w:color w:val="1D4D43"/>
        </w:rPr>
        <w:t xml:space="preserve">MDR (Multi-Drug-Resistant) — </w:t>
      </w:r>
      <w:r>
        <w:rPr>
          <w:color w:val="1A170E"/>
        </w:rPr>
        <w:t>An isolate that is non-susceptible to at least one agent in three or more antibiotic classes — the international Magiorakos definition.</w:t>
      </w:r>
    </w:p>
    <w:p>
      <w:r>
        <w:rPr>
          <w:b/>
          <w:color w:val="1D4D43"/>
        </w:rPr>
        <w:t xml:space="preserve">XDR (Extensively Drug-Resistant) — </w:t>
      </w:r>
      <w:r>
        <w:rPr>
          <w:color w:val="1A170E"/>
        </w:rPr>
        <w:t>Non-susceptible to all but two or fewer classes — only a handful of treatment options remain.</w:t>
      </w:r>
    </w:p>
    <w:p>
      <w:r>
        <w:rPr>
          <w:b/>
          <w:color w:val="1D4D43"/>
        </w:rPr>
        <w:t xml:space="preserve">PDR (Pan-Drug-Resistant) — </w:t>
      </w:r>
      <w:r>
        <w:rPr>
          <w:color w:val="1A170E"/>
        </w:rPr>
        <w:t>Resistant to every antibiotic tested — effectively untreatable with current drugs.</w:t>
      </w:r>
    </w:p>
    <w:p>
      <w:r>
        <w:rPr>
          <w:b/>
          <w:color w:val="1D4D43"/>
        </w:rPr>
        <w:t xml:space="preserve">Priority Pathogens — </w:t>
      </w:r>
      <w:r>
        <w:rPr>
          <w:color w:val="1A170E"/>
        </w:rPr>
        <w:t>The WHO list of bacteria of greatest public-health concern: Critical (e.g. carbapenem-resistant Acinetobacter, E. coli, Klebsiella), High (e.g. methicillin-resistant Staphylococcus aureus / MRSA, vancomycin-resistant Enterococci), Medium.</w:t>
      </w:r>
    </w:p>
    <w:p>
      <w:r>
        <w:rPr>
          <w:b/>
          <w:color w:val="1D4D43"/>
        </w:rPr>
        <w:t xml:space="preserve">ESBL — </w:t>
      </w:r>
      <w:r>
        <w:rPr>
          <w:color w:val="1A170E"/>
        </w:rPr>
        <w:t>Extended-Spectrum Beta-Lactamase: an enzyme some bacteria make that destroys most penicillins and cephalosporins. The system flags ESBL-producers automatically.</w:t>
      </w:r>
    </w:p>
    <w:p>
      <w:r>
        <w:rPr>
          <w:b/>
          <w:color w:val="1D4D43"/>
        </w:rPr>
        <w:t xml:space="preserve">CRE / CRAB — </w:t>
      </w:r>
      <w:r>
        <w:rPr>
          <w:color w:val="1A170E"/>
        </w:rPr>
        <w:t>Carbapenem-Resistant Enterobacterales / Carbapenem-Resistant Acinetobacter baumannii — WHO Critical-priority threats. When the dashboard shows even a single CRE in a sentinel site, it is treated as a red-alert event.</w:t>
      </w:r>
    </w:p>
    <w:p>
      <w:r>
        <w:rPr>
          <w:b/>
          <w:color w:val="1D4D43"/>
        </w:rPr>
        <w:t xml:space="preserve">DDD (Defined Daily Dose) — </w:t>
      </w:r>
      <w:r>
        <w:rPr>
          <w:color w:val="1A170E"/>
        </w:rPr>
        <w:t>The WHO-assigned average maintenance dose per day for a drug used for its main indication in adults. Lets us compare a 250 mg tablet of ciprofloxacin with a 1 g vial of ceftriaxone fairly.</w:t>
      </w:r>
    </w:p>
    <w:p>
      <w:r>
        <w:rPr>
          <w:b/>
          <w:color w:val="1D4D43"/>
        </w:rPr>
        <w:t xml:space="preserve">DDD per 1,000 inhabitants per day — </w:t>
      </w:r>
      <w:r>
        <w:rPr>
          <w:color w:val="1A170E"/>
        </w:rPr>
        <w:t>The standard national antibiotic-consumption metric used by GLASS and ESAC-Net. A figure of ‘15 DDD/1000/day’ means that on any given day, 15 out of every 1,000 Ghanaians is taking a defined daily dose of antibiotics.</w:t>
      </w:r>
    </w:p>
    <w:p>
      <w:r>
        <w:rPr>
          <w:b/>
          <w:color w:val="1D4D43"/>
        </w:rPr>
        <w:t xml:space="preserve">DDD per 100 patient-days — </w:t>
      </w:r>
      <w:r>
        <w:rPr>
          <w:color w:val="1A170E"/>
        </w:rPr>
        <w:t>The hospital-level use metric. Independent of bed size, so a small district hospital and a teaching hospital can be compared.</w:t>
      </w:r>
    </w:p>
    <w:p>
      <w:r>
        <w:rPr>
          <w:b/>
          <w:color w:val="1D4D43"/>
        </w:rPr>
        <w:t xml:space="preserve">Point-Prevalence (PPS) — </w:t>
      </w:r>
      <w:r>
        <w:rPr>
          <w:color w:val="1A170E"/>
        </w:rPr>
        <w:t>A snapshot survey done on one day: the % of patients in the hospital who are on at least one antibiotic at that moment.</w:t>
      </w:r>
    </w:p>
    <w:p>
      <w:r>
        <w:rPr>
          <w:b/>
          <w:color w:val="1D4D43"/>
        </w:rPr>
        <w:t xml:space="preserve">AWaRe Categories — </w:t>
      </w:r>
      <w:r>
        <w:rPr>
          <w:color w:val="1A170E"/>
        </w:rPr>
        <w:t>WHO’s classification of antibiotics into Access (first-line, low resistance risk), Watch (higher risk, use sparingly) and Reserve (last-line, only when nothing else works). The national target is ≥ 60 % of all use coming from the Access group.</w:t>
      </w:r>
    </w:p>
    <w:p>
      <w:r>
        <w:rPr>
          <w:b/>
          <w:color w:val="1D4D43"/>
        </w:rPr>
        <w:t xml:space="preserve">Sector — </w:t>
      </w:r>
      <w:r>
        <w:rPr>
          <w:color w:val="1A170E"/>
        </w:rPr>
        <w:t>Human / Animal / Food / Environment / Aquaculture. Every isolate carries its sector tag, which is what makes One-Health analytics possible.</w:t>
      </w:r>
    </w:p>
    <w:p>
      <w:r>
        <w:rPr>
          <w:b/>
          <w:color w:val="1D4D43"/>
        </w:rPr>
        <w:t xml:space="preserve">Sentinel Site — </w:t>
      </w:r>
      <w:r>
        <w:rPr>
          <w:color w:val="1A170E"/>
        </w:rPr>
        <w:t>An approved laboratory that has been trained, audited and connected to the national system. Currently 19 sites across all 16 regions of Ghana.</w:t>
      </w:r>
    </w:p>
    <w:p>
      <w:r>
        <w:rPr>
          <w:b/>
          <w:color w:val="1D4D43"/>
        </w:rPr>
        <w:t xml:space="preserve">Confidence Interval — </w:t>
      </w:r>
      <w:r>
        <w:rPr>
          <w:color w:val="1A170E"/>
        </w:rPr>
        <w:t>A statistical range expressing how reliable a percentage is given the number of isolates behind it. The current system enforces this honestly through the CLSI minimum-isolate rule (cells based on fewer than the threshold are flagged with an asterisk); displaying explicit numerical CI bands on the on-screen Trends chart is on the roadmap (§11).</w:t>
      </w:r>
    </w:p>
    <w:p>
      <w:r>
        <w:rPr>
          <w:b/>
          <w:color w:val="1D4D43"/>
        </w:rPr>
        <w:t xml:space="preserve">Risk Score (0–100) — </w:t>
      </w:r>
      <w:r>
        <w:rPr>
          <w:color w:val="1A170E"/>
        </w:rPr>
        <w:t>Composite indicator combining (a) current resistance rate, (b) trend slope, (c) WHO priority class, (d) sample volume, (e) clinical impact. Used to rank where intervention money will save the most lives.</w:t>
      </w:r>
    </w:p>
    <w:p>
      <w:pPr>
        <w:pStyle w:val="Heading1"/>
      </w:pPr>
      <w:r>
        <w:rPr>
          <w:rFonts w:ascii="Calibri" w:hAnsi="Calibri"/>
          <w:color w:val="1D4D43"/>
        </w:rPr>
        <w:t>5. How It Works Under the Hood (in non-technical terms)</w:t>
      </w:r>
    </w:p>
    <w:p>
      <w:pPr>
        <w:pStyle w:val="ListNumber"/>
      </w:pPr>
      <w:r>
        <w:rPr>
          <w:color w:val="1A170E"/>
          <w:sz w:val="22"/>
        </w:rPr>
        <w:t>A laboratory either fills the standard KoboToolbox AMR form on a phone / tablet / computer (online or offline), or prepares an Excel workbook in the agreed template.</w:t>
      </w:r>
    </w:p>
    <w:p>
      <w:pPr>
        <w:pStyle w:val="ListNumber"/>
      </w:pPr>
      <w:r>
        <w:rPr>
          <w:color w:val="1A170E"/>
          <w:sz w:val="22"/>
        </w:rPr>
        <w:t>For KoboToolbox: the national dashboard pulls every new submission automatically by the form’s ID. For Excel: the lab signs in to the website and uploads the workbook. Nothing is installed; any computer or tablet works.</w:t>
      </w:r>
    </w:p>
    <w:p>
      <w:pPr>
        <w:pStyle w:val="ListNumber"/>
      </w:pPr>
      <w:r>
        <w:rPr>
          <w:color w:val="1A170E"/>
          <w:sz w:val="22"/>
        </w:rPr>
        <w:t>An automatic quality-control engine cleans the data: it harmonises pathogen names, drops duplicate isolates from the same patient, flags impossible values and assigns a data-quality score.</w:t>
      </w:r>
    </w:p>
    <w:p>
      <w:pPr>
        <w:pStyle w:val="ListNumber"/>
      </w:pPr>
      <w:r>
        <w:rPr>
          <w:color w:val="1A170E"/>
          <w:sz w:val="22"/>
        </w:rPr>
        <w:t>Clean data flows into a secure cloud database (PostgreSQL on Supabase, hosted in EU data-centres with daily back-ups and TLS encryption end-to-end).</w:t>
      </w:r>
    </w:p>
    <w:p>
      <w:pPr>
        <w:pStyle w:val="ListNumber"/>
      </w:pPr>
      <w:r>
        <w:rPr>
          <w:color w:val="1A170E"/>
          <w:sz w:val="22"/>
        </w:rPr>
        <w:t>Every dashboard re-reads the data on demand, applies the filters the user has chosen, computes the resistance percentages, MDR rates, DDDs and risk scores, and renders interactive charts.</w:t>
      </w:r>
    </w:p>
    <w:p>
      <w:pPr>
        <w:pStyle w:val="ListNumber"/>
      </w:pPr>
      <w:r>
        <w:rPr>
          <w:color w:val="1A170E"/>
          <w:sz w:val="22"/>
        </w:rPr>
        <w:t>The Alerts Dashboard generates threshold-breach events whenever a user opens it. Automatic 24/7 monitoring with email/SMS notification is implemented in code but currently switched off pending funded re-deployment.</w:t>
      </w:r>
    </w:p>
    <w:p>
      <w:pPr>
        <w:pStyle w:val="ListNumber"/>
      </w:pPr>
      <w:r>
        <w:rPr>
          <w:color w:val="1A170E"/>
          <w:sz w:val="22"/>
        </w:rPr>
        <w:t>National technical surveillance reports can be generated on demand at any time; automatic monthly/quarterly scheduling is on the roadmap.</w:t>
      </w:r>
    </w:p>
    <w:p>
      <w:r>
        <w:rPr>
          <w:b w:val="0"/>
          <w:i w:val="0"/>
          <w:color w:val="1A170E"/>
          <w:sz w:val="22"/>
        </w:rPr>
        <w:t>The platform is built with open, free-to-use technology (Python, Streamlit, PostgreSQL, Plotly, Folium) — no licence fees, no vendor lock-in. Source code is version-controlled on GitHub and the running app is hosted on Streamlit Community Cloud, meaning the marginal cost of adding one more sentinel site is essentially zero.</w:t>
      </w:r>
    </w:p>
    <w:p>
      <w:pPr>
        <w:pStyle w:val="Heading1"/>
      </w:pPr>
      <w:r>
        <w:rPr>
          <w:rFonts w:ascii="Calibri" w:hAnsi="Calibri"/>
          <w:color w:val="1D4D43"/>
        </w:rPr>
        <w:t>6. Who Benefits, and How</w:t>
      </w:r>
    </w:p>
    <w:p>
      <w:r>
        <w:rPr>
          <w:b/>
          <w:color w:val="1D4D43"/>
        </w:rPr>
        <w:t xml:space="preserve">Clinicians — </w:t>
      </w:r>
      <w:r>
        <w:rPr>
          <w:color w:val="1A170E"/>
        </w:rPr>
        <w:t>Get a live, evidence-based antibiogram so they stop prescribing drugs that have already failed in their region.</w:t>
      </w:r>
    </w:p>
    <w:p>
      <w:r>
        <w:rPr>
          <w:b/>
          <w:color w:val="1D4D43"/>
        </w:rPr>
        <w:t xml:space="preserve">Hospital pharmacists — </w:t>
      </w:r>
      <w:r>
        <w:rPr>
          <w:color w:val="1A170E"/>
        </w:rPr>
        <w:t>See real-time consumption vs. resistance — the basis of every Antimicrobial Stewardship Programme.</w:t>
      </w:r>
    </w:p>
    <w:p>
      <w:r>
        <w:rPr>
          <w:b/>
          <w:color w:val="1D4D43"/>
        </w:rPr>
        <w:t xml:space="preserve">Veterinarians &amp; farmers — </w:t>
      </w:r>
      <w:r>
        <w:rPr>
          <w:color w:val="1A170E"/>
        </w:rPr>
        <w:t>Discover which farms are amplifying resistance and can adjust husbandry, vaccination and antibiotic use accordingly.</w:t>
      </w:r>
    </w:p>
    <w:p>
      <w:r>
        <w:rPr>
          <w:b/>
          <w:color w:val="1D4D43"/>
        </w:rPr>
        <w:t xml:space="preserve">Food-safety inspectors — </w:t>
      </w:r>
      <w:r>
        <w:rPr>
          <w:color w:val="1A170E"/>
        </w:rPr>
        <w:t>Trace resistant strains from the farm to the market to the kitchen.</w:t>
      </w:r>
    </w:p>
    <w:p>
      <w:r>
        <w:rPr>
          <w:b/>
          <w:color w:val="1D4D43"/>
        </w:rPr>
        <w:t xml:space="preserve">Environmental scientists — </w:t>
      </w:r>
      <w:r>
        <w:rPr>
          <w:color w:val="1A170E"/>
        </w:rPr>
        <w:t>Map resistance hotspots in rivers and wastewater and link them to upstream sources.</w:t>
      </w:r>
    </w:p>
    <w:p>
      <w:r>
        <w:rPr>
          <w:b/>
          <w:color w:val="1D4D43"/>
        </w:rPr>
        <w:t xml:space="preserve">Policy-makers &amp; MoH/MoFA — </w:t>
      </w:r>
      <w:r>
        <w:rPr>
          <w:color w:val="1A170E"/>
        </w:rPr>
        <w:t>Get a single, credible national figure for international reporting (WHO GLASS, OIE, FAO, WOAH) and for budget allocation.</w:t>
      </w:r>
    </w:p>
    <w:p>
      <w:r>
        <w:rPr>
          <w:b/>
          <w:color w:val="1D4D43"/>
        </w:rPr>
        <w:t xml:space="preserve">The general public — </w:t>
      </w:r>
      <w:r>
        <w:rPr>
          <w:color w:val="1A170E"/>
        </w:rPr>
        <w:t>Lower risk of dying from a treatable infection; cheaper drugs because we keep the older ones working; safer food, water and meat.</w:t>
      </w:r>
    </w:p>
    <w:p>
      <w:pPr>
        <w:pStyle w:val="Heading1"/>
      </w:pPr>
      <w:r>
        <w:rPr>
          <w:rFonts w:ascii="Calibri" w:hAnsi="Calibri"/>
          <w:color w:val="1D4D43"/>
        </w:rPr>
        <w:t>7. The Investment Case — Why Ghana Should Fund This System</w:t>
      </w:r>
    </w:p>
    <w:p>
      <w:r>
        <w:rPr>
          <w:b w:val="0"/>
          <w:i/>
          <w:color w:val="1A170E"/>
          <w:sz w:val="22"/>
        </w:rPr>
        <w:t>Antimicrobial resistance is projected by the World Bank to push 28 million more Africans into extreme poverty by 2050 and to cost the continent up to 5 % of its GDP every year if left unchecked. Ghana cannot afford either of those numbers.</w:t>
      </w:r>
    </w:p>
    <w:p>
      <w:r>
        <w:rPr>
          <w:b w:val="0"/>
          <w:i w:val="0"/>
          <w:color w:val="1A170E"/>
          <w:sz w:val="22"/>
        </w:rPr>
        <w:t>The ICBB AMR Surveillance System is the cheapest insurance policy the country can buy, for five reasons:</w:t>
      </w:r>
    </w:p>
    <w:p>
      <w:pPr>
        <w:pStyle w:val="ListNumber"/>
      </w:pPr>
      <w:r>
        <w:rPr>
          <w:color w:val="1A170E"/>
          <w:sz w:val="22"/>
        </w:rPr>
        <w:t>It already exists and already works. Investment is needed to scale it, not to build it from scratch — the highest-risk and most expensive phase is behind us.</w:t>
      </w:r>
    </w:p>
    <w:p>
      <w:pPr>
        <w:pStyle w:val="ListNumber"/>
      </w:pPr>
      <w:r>
        <w:rPr>
          <w:color w:val="1A170E"/>
          <w:sz w:val="22"/>
        </w:rPr>
        <w:t>It uses entirely open-source technology, so 100 % of every cedi invested goes into people, training, sentinel sites and data quality — none into software licences.</w:t>
      </w:r>
    </w:p>
    <w:p>
      <w:pPr>
        <w:pStyle w:val="ListNumber"/>
      </w:pPr>
      <w:r>
        <w:rPr>
          <w:color w:val="1A170E"/>
          <w:sz w:val="22"/>
        </w:rPr>
        <w:t>One national platform replaces 19 separate Excel-based reports and several donor-funded parallel systems. The savings in duplicated effort alone pay for the running cost.</w:t>
      </w:r>
    </w:p>
    <w:p>
      <w:pPr>
        <w:pStyle w:val="ListNumber"/>
      </w:pPr>
      <w:r>
        <w:rPr>
          <w:color w:val="1A170E"/>
          <w:sz w:val="22"/>
        </w:rPr>
        <w:t>It produces the exact indicators required by WHO GLASS, the African Union AMR framework and the Tripartite (WHO/FAO/WOAH) One-Health agenda — so each report Ghana submits is automatically generated, audit-ready and internationally comparable.</w:t>
      </w:r>
    </w:p>
    <w:p>
      <w:pPr>
        <w:pStyle w:val="ListNumber"/>
      </w:pPr>
      <w:r>
        <w:rPr>
          <w:color w:val="1A170E"/>
          <w:sz w:val="22"/>
        </w:rPr>
        <w:t>Every cedi spent on AMR surveillance has been estimated by the World Bank and the O’Neill Review on AMR (2016) to return many times its value in averted treatment costs, shorter hospital stays and avoided deaths. A Ghana-specific cost-benefit study is one of the deliverables of the next funding phase.</w:t>
      </w:r>
    </w:p>
    <w:p>
      <w:r>
        <w:rPr>
          <w:b/>
          <w:i w:val="0"/>
          <w:color w:val="1A170E"/>
          <w:sz w:val="22"/>
        </w:rPr>
        <w:t>What investment unlocks:</w:t>
      </w:r>
    </w:p>
    <w:p>
      <w:pPr>
        <w:pStyle w:val="ListBullet"/>
      </w:pPr>
      <w:r>
        <w:rPr>
          <w:color w:val="1A170E"/>
          <w:sz w:val="22"/>
        </w:rPr>
        <w:t>Expansion from 19 to 50+ sentinel sites covering every district capital.</w:t>
      </w:r>
    </w:p>
    <w:p>
      <w:pPr>
        <w:pStyle w:val="ListBullet"/>
      </w:pPr>
      <w:r>
        <w:rPr>
          <w:color w:val="1A170E"/>
          <w:sz w:val="22"/>
        </w:rPr>
        <w:t>On-site WHONET training and data-quality auditing for every site, every year.</w:t>
      </w:r>
    </w:p>
    <w:p>
      <w:pPr>
        <w:pStyle w:val="ListBullet"/>
      </w:pPr>
      <w:r>
        <w:rPr>
          <w:color w:val="1A170E"/>
          <w:sz w:val="22"/>
        </w:rPr>
        <w:t>Integration with veterinary, food and environmental laboratories that are not yet connected.</w:t>
      </w:r>
    </w:p>
    <w:p>
      <w:pPr>
        <w:pStyle w:val="ListBullet"/>
      </w:pPr>
      <w:r>
        <w:rPr>
          <w:color w:val="1A170E"/>
          <w:sz w:val="22"/>
        </w:rPr>
        <w:t>An SMS / mobile interface so rural health workers can submit data from a basic phone.</w:t>
      </w:r>
    </w:p>
    <w:p>
      <w:pPr>
        <w:pStyle w:val="ListBullet"/>
      </w:pPr>
      <w:r>
        <w:rPr>
          <w:color w:val="1A170E"/>
          <w:sz w:val="22"/>
        </w:rPr>
        <w:t>A national AMR data warehouse that researchers and African partners can query (with appropriate governance).</w:t>
      </w:r>
    </w:p>
    <w:p>
      <w:pPr>
        <w:pStyle w:val="ListBullet"/>
      </w:pPr>
      <w:r>
        <w:rPr>
          <w:color w:val="1A170E"/>
          <w:sz w:val="22"/>
        </w:rPr>
        <w:t>Long-term cloud hosting on a sovereign Ghanaian data centre.</w:t>
      </w:r>
    </w:p>
    <w:p>
      <w:r>
        <w:rPr>
          <w:b/>
          <w:i w:val="0"/>
          <w:color w:val="1A170E"/>
          <w:sz w:val="22"/>
        </w:rPr>
        <w:t>Funding the ICBB AMR Surveillance System is not just funding an IT platform — it is funding the country’s ability to keep antibiotics working for our children. The drugs we are losing today took the world 70 years to discover. Without surveillance we will lose them silently. With surveillance we can fight back.</w:t>
      </w:r>
    </w:p>
    <w:p>
      <w:pPr>
        <w:pStyle w:val="Heading1"/>
      </w:pPr>
      <w:r>
        <w:rPr>
          <w:rFonts w:ascii="Calibri" w:hAnsi="Calibri"/>
          <w:color w:val="1D4D43"/>
        </w:rPr>
        <w:t>8. A Voice to the Public</w:t>
      </w:r>
    </w:p>
    <w:p>
      <w:pPr>
        <w:ind w:left="576" w:right="576"/>
      </w:pPr>
      <w:r>
        <w:rPr>
          <w:i/>
          <w:color w:val="1D4D43"/>
          <w:sz w:val="22"/>
        </w:rPr>
        <w:t>Antibiotics are a shared inheritance. Every time one of us takes them when we don’t need to, or stops them too soon, or buys them without prescription, we use up a little of that inheritance for everyone. The ICBB AMR Surveillance System is Ghana’s way of measuring how much of the inheritance is left — and of giving it back to our children.</w:t>
      </w:r>
    </w:p>
    <w:p>
      <w:r>
        <w:rPr>
          <w:b w:val="0"/>
          <w:i w:val="0"/>
          <w:color w:val="1A170E"/>
          <w:sz w:val="22"/>
        </w:rPr>
        <w:t>Three things every Ghanaian can do today:</w:t>
      </w:r>
    </w:p>
    <w:p>
      <w:pPr>
        <w:pStyle w:val="ListNumber"/>
      </w:pPr>
      <w:r>
        <w:rPr>
          <w:color w:val="1A170E"/>
          <w:sz w:val="22"/>
        </w:rPr>
        <w:t>Only take antibiotics when prescribed by a qualified health worker — and finish the full course.</w:t>
      </w:r>
    </w:p>
    <w:p>
      <w:pPr>
        <w:pStyle w:val="ListNumber"/>
      </w:pPr>
      <w:r>
        <w:rPr>
          <w:color w:val="1A170E"/>
          <w:sz w:val="22"/>
        </w:rPr>
        <w:t>Never share leftover antibiotics, and never buy them ‘over the counter’ from unlicensed sellers.</w:t>
      </w:r>
    </w:p>
    <w:p>
      <w:pPr>
        <w:pStyle w:val="ListNumber"/>
      </w:pPr>
      <w:r>
        <w:rPr>
          <w:color w:val="1A170E"/>
          <w:sz w:val="22"/>
        </w:rPr>
        <w:t>Vaccinate yourself, your children and your animals — every infection prevented is an antibiotic course saved.</w:t>
      </w:r>
    </w:p>
    <w:p>
      <w:pPr>
        <w:pStyle w:val="Heading1"/>
      </w:pPr>
      <w:r>
        <w:rPr>
          <w:rFonts w:ascii="Calibri" w:hAnsi="Calibri"/>
          <w:color w:val="1D4D43"/>
        </w:rPr>
        <w:t>9. A 5-Minute Demo Script for the Booth</w:t>
      </w:r>
    </w:p>
    <w:p>
      <w:pPr>
        <w:pStyle w:val="ListNumber"/>
      </w:pPr>
      <w:r>
        <w:rPr>
          <w:color w:val="1A170E"/>
          <w:sz w:val="22"/>
        </w:rPr>
        <w:t>‘This is Ghana’s national AMR surveillance platform. Let me sign in as a hospital lab.’ — show login.</w:t>
      </w:r>
    </w:p>
    <w:p>
      <w:pPr>
        <w:pStyle w:val="ListNumber"/>
      </w:pPr>
      <w:r>
        <w:rPr>
          <w:color w:val="1A170E"/>
          <w:sz w:val="22"/>
        </w:rPr>
        <w:t>‘Here we’ve uploaded last quarter’s WHONET file. The system flagged 3 % of rows as questionable — those are highlighted.’ — Upload page.</w:t>
      </w:r>
    </w:p>
    <w:p>
      <w:pPr>
        <w:pStyle w:val="ListNumber"/>
      </w:pPr>
      <w:r>
        <w:rPr>
          <w:color w:val="1A170E"/>
          <w:sz w:val="22"/>
        </w:rPr>
        <w:t>‘Now let’s switch to the national view.’ — Resistance Overview: read out total isolates, % MDR, top 3 pathogens.</w:t>
      </w:r>
    </w:p>
    <w:p>
      <w:pPr>
        <w:pStyle w:val="ListNumber"/>
      </w:pPr>
      <w:r>
        <w:rPr>
          <w:color w:val="1A170E"/>
          <w:sz w:val="22"/>
        </w:rPr>
        <w:t>‘This heat-map is what every clinician really wants.’ — Heat Map: point at one red cell. ‘That drug is finished for that bug in this country.’</w:t>
      </w:r>
    </w:p>
    <w:p>
      <w:pPr>
        <w:pStyle w:val="ListNumber"/>
      </w:pPr>
      <w:r>
        <w:rPr>
          <w:color w:val="1A170E"/>
          <w:sz w:val="22"/>
        </w:rPr>
        <w:t>‘And this is where it’s happening.’ — Map Hotspots: zoom into one region.</w:t>
      </w:r>
    </w:p>
    <w:p>
      <w:pPr>
        <w:pStyle w:val="ListNumber"/>
      </w:pPr>
      <w:r>
        <w:rPr>
          <w:color w:val="1A170E"/>
          <w:sz w:val="22"/>
        </w:rPr>
        <w:t>‘The system is also watching for outbreaks.’ — Alerts Dashboard: show one open alert.</w:t>
      </w:r>
    </w:p>
    <w:p>
      <w:pPr>
        <w:pStyle w:val="ListNumber"/>
      </w:pPr>
      <w:r>
        <w:rPr>
          <w:color w:val="1A170E"/>
          <w:sz w:val="22"/>
        </w:rPr>
        <w:t>‘When the Minister asks for the quarterly report, this is what used to take three weeks.’ — Report Export, click, show the generated PDF.</w:t>
      </w:r>
    </w:p>
    <w:p>
      <w:pPr>
        <w:pStyle w:val="ListNumber"/>
      </w:pPr>
      <w:r>
        <w:rPr>
          <w:color w:val="1A170E"/>
          <w:sz w:val="22"/>
        </w:rPr>
        <w:t>Close with the investment ask: ‘We have built it; we now need to scale it. Will you help us reach all 50 districts?’</w:t>
      </w:r>
    </w:p>
    <w:p>
      <w:pPr>
        <w:pStyle w:val="Heading1"/>
      </w:pPr>
      <w:r>
        <w:rPr>
          <w:rFonts w:ascii="Calibri" w:hAnsi="Calibri"/>
          <w:color w:val="1D4D43"/>
        </w:rPr>
        <w:t>10. Anticipated Questions &amp; Short Answers</w:t>
      </w:r>
    </w:p>
    <w:p>
      <w:r>
        <w:rPr>
          <w:b/>
          <w:color w:val="1D4D43"/>
        </w:rPr>
        <w:t xml:space="preserve">Is patient data safe? — </w:t>
      </w:r>
      <w:r>
        <w:rPr>
          <w:color w:val="1A170E"/>
        </w:rPr>
        <w:t>Yes. We never store patient names, addresses or NHIS numbers. Only de-identified isolate-level data, encrypted in transit and at rest. Each lab can only see its own patients.</w:t>
      </w:r>
    </w:p>
    <w:p>
      <w:r>
        <w:rPr>
          <w:b/>
          <w:color w:val="1D4D43"/>
        </w:rPr>
        <w:t xml:space="preserve">What if a lab has no internet? — </w:t>
      </w:r>
      <w:r>
        <w:rPr>
          <w:color w:val="1A170E"/>
        </w:rPr>
        <w:t>Labs can prepare WHONET files offline and upload in batches when connectivity is available. An SMS submission gateway is on the roadmap.</w:t>
      </w:r>
    </w:p>
    <w:p>
      <w:r>
        <w:rPr>
          <w:b/>
          <w:color w:val="1D4D43"/>
        </w:rPr>
        <w:t xml:space="preserve">How is this different from the WHO GLASS portal? — </w:t>
      </w:r>
      <w:r>
        <w:rPr>
          <w:color w:val="1A170E"/>
        </w:rPr>
        <w:t>GLASS is the global aggregator. This system is what feeds GLASS — and adds the veterinary, food and environmental sectors that GLASS does not yet cover.</w:t>
      </w:r>
    </w:p>
    <w:p>
      <w:r>
        <w:rPr>
          <w:b/>
          <w:color w:val="1D4D43"/>
        </w:rPr>
        <w:t xml:space="preserve">Who owns the data? — </w:t>
      </w:r>
      <w:r>
        <w:rPr>
          <w:color w:val="1A170E"/>
        </w:rPr>
        <w:t>The Government of Ghana, through the ICBB programme. Sentinel laboratories own their submissions and decide on data-sharing agreements.</w:t>
      </w:r>
    </w:p>
    <w:p>
      <w:r>
        <w:rPr>
          <w:b/>
          <w:color w:val="1D4D43"/>
        </w:rPr>
        <w:t xml:space="preserve">How accurate are the percentages? — </w:t>
      </w:r>
      <w:r>
        <w:rPr>
          <w:color w:val="1A170E"/>
        </w:rPr>
        <w:t>Every figure comes with an isolate count and the CLSI minimum-isolate rule is enforced. Cells based on fewer than 30 isolates are flagged with an asterisk so no one over-interprets a small sample. Explicit numerical confidence-interval bands on screen are on the roadmap (§11).</w:t>
      </w:r>
    </w:p>
    <w:p>
      <w:pPr>
        <w:pStyle w:val="Heading1"/>
      </w:pPr>
      <w:r>
        <w:rPr>
          <w:rFonts w:ascii="Calibri" w:hAnsi="Calibri"/>
          <w:color w:val="1D4D43"/>
        </w:rPr>
        <w:t>11. Roadmap — What the Next Funded Phase Will Add</w:t>
      </w:r>
    </w:p>
    <w:p>
      <w:r>
        <w:rPr>
          <w:b w:val="0"/>
          <w:i w:val="0"/>
          <w:color w:val="1A170E"/>
          <w:sz w:val="22"/>
        </w:rPr>
        <w:t>The platform shown today is the working core. The features below are designed, partially implemented or in code but switched off, and will be activated as the next funding phase lands. They are listed here so investors can see exactly what their support will unlock.</w:t>
      </w:r>
    </w:p>
    <w:p>
      <w:r>
        <w:rPr>
          <w:b/>
          <w:color w:val="1D4D43"/>
        </w:rPr>
        <w:t xml:space="preserve">Automated email &amp; SMS alerts — </w:t>
      </w:r>
      <w:r>
        <w:rPr>
          <w:color w:val="1A170E"/>
        </w:rPr>
        <w:t>The Alerts Dashboard already detects threshold breaches in-app. The notification layer (SMTP / SendGrid / SMS gateway) was built and is preserved in the code base but is currently disconnected. Re-enabling it will mean the National Focal Point and the responsible lab receive an email or SMS within minutes of a Critical or High-priority event.</w:t>
      </w:r>
    </w:p>
    <w:p>
      <w:r>
        <w:rPr>
          <w:b/>
          <w:color w:val="1D4D43"/>
        </w:rPr>
        <w:t xml:space="preserve">24/7 background alert watcher — </w:t>
      </w:r>
      <w:r>
        <w:rPr>
          <w:color w:val="1A170E"/>
        </w:rPr>
        <w:t>Today, alerts are computed when a user opens the Alerts page. A scheduled background worker will scan the incoming data continuously so events are detected even when nobody is logged in.</w:t>
      </w:r>
    </w:p>
    <w:p>
      <w:r>
        <w:rPr>
          <w:b/>
          <w:color w:val="1D4D43"/>
        </w:rPr>
        <w:t xml:space="preserve">Scheduled automatic national reports — </w:t>
      </w:r>
      <w:r>
        <w:rPr>
          <w:color w:val="1A170E"/>
        </w:rPr>
        <w:t>Reports are currently generated on demand (one click → PDF/Word in ~90 seconds). The next phase will add a scheduler that produces and emails the monthly and quarterly national surveillance reports automatically to a configured distribution list.</w:t>
      </w:r>
    </w:p>
    <w:p>
      <w:r>
        <w:rPr>
          <w:b/>
          <w:color w:val="1D4D43"/>
        </w:rPr>
        <w:t xml:space="preserve">Confidence-interval bands on Trends charts — </w:t>
      </w:r>
      <w:r>
        <w:rPr>
          <w:color w:val="1A170E"/>
        </w:rPr>
        <w:t>The Trends page currently shows the resistance trajectory; explicit numerical 95 % confidence-interval bands (e.g. Wilson or Clopper–Pearson) will be added so users can see at a glance whether a change is statistically real.</w:t>
      </w:r>
    </w:p>
    <w:p>
      <w:r>
        <w:rPr>
          <w:b/>
          <w:color w:val="1D4D43"/>
        </w:rPr>
        <w:t xml:space="preserve">Forecasting on every dashboard — </w:t>
      </w:r>
      <w:r>
        <w:rPr>
          <w:color w:val="1A170E"/>
        </w:rPr>
        <w:t>A short-horizon forecast engine already exists in the report module; surfacing it as an on-screen 6-month projection on the Pathogen and Trends pages is the next step.</w:t>
      </w:r>
    </w:p>
    <w:p>
      <w:r>
        <w:rPr>
          <w:b/>
          <w:color w:val="1D4D43"/>
        </w:rPr>
        <w:t xml:space="preserve">Mobile / SMS data submission for low-bandwidth sites — </w:t>
      </w:r>
      <w:r>
        <w:rPr>
          <w:color w:val="1A170E"/>
        </w:rPr>
        <w:t>An SMS-to-database gateway so rural health workers can submit isolate counts from a basic phone when KoboToolbox or web upload is impractical.</w:t>
      </w:r>
    </w:p>
    <w:p>
      <w:r>
        <w:rPr>
          <w:b/>
          <w:color w:val="1D4D43"/>
        </w:rPr>
        <w:t xml:space="preserve">Direct LIS integration — </w:t>
      </w:r>
      <w:r>
        <w:rPr>
          <w:color w:val="1A170E"/>
        </w:rPr>
        <w:t>Live, automated pull from hospital Laboratory Information Systems (where they exist), removing the manual step of filling the KoboToolbox form.</w:t>
      </w:r>
    </w:p>
    <w:p>
      <w:r>
        <w:rPr>
          <w:b/>
          <w:color w:val="1D4D43"/>
        </w:rPr>
        <w:t xml:space="preserve">Sentinel-site expansion (19 → 50+) — </w:t>
      </w:r>
      <w:r>
        <w:rPr>
          <w:color w:val="1A170E"/>
        </w:rPr>
        <w:t>On-site WHONET / KoboToolbox training and data-quality auditing for every additional district hospital and reference laboratory.</w:t>
      </w:r>
    </w:p>
    <w:p>
      <w:r>
        <w:rPr>
          <w:b/>
          <w:color w:val="1D4D43"/>
        </w:rPr>
        <w:t xml:space="preserve">Veterinary, food and environmental sector deepening — </w:t>
      </w:r>
      <w:r>
        <w:rPr>
          <w:color w:val="1A170E"/>
        </w:rPr>
        <w:t>More routine sampling streams from poultry, livestock, aquaculture, slaughterhouses, rivers and wastewater to make the One-Health picture truly representative.</w:t>
      </w:r>
    </w:p>
    <w:p>
      <w:r>
        <w:rPr>
          <w:b/>
          <w:color w:val="1D4D43"/>
        </w:rPr>
        <w:t xml:space="preserve">Sovereign Ghanaian hosting — </w:t>
      </w:r>
      <w:r>
        <w:rPr>
          <w:color w:val="1A170E"/>
        </w:rPr>
        <w:t>Migration from the current EU-region cloud provider to a Ghana-based government data centre once one is procured, for full data sovereignty.</w:t>
      </w:r>
    </w:p>
    <w:p>
      <w:r>
        <w:rPr>
          <w:b/>
          <w:color w:val="1D4D43"/>
        </w:rPr>
        <w:t xml:space="preserve">Public dashboard — </w:t>
      </w:r>
      <w:r>
        <w:rPr>
          <w:color w:val="1A170E"/>
        </w:rPr>
        <w:t>A read-only, aggregated public view of national resistance trends and AWaRe consumption, accessible to journalists, schools and the general public without exposing any patient or isolate-level data.</w:t>
      </w:r>
    </w:p>
    <w:p>
      <w:r>
        <w:rPr>
          <w:b/>
          <w:color w:val="1D4D43"/>
        </w:rPr>
        <w:t xml:space="preserve">Ghana-specific cost-benefit evaluation — </w:t>
      </w:r>
      <w:r>
        <w:rPr>
          <w:color w:val="1A170E"/>
        </w:rPr>
        <w:t>An independent study quantifying the cedi-for-cedi return on investment in AMR surveillance under Ghanaian unit costs, to complement the global O’Neill estimates.</w:t>
      </w:r>
    </w:p>
    <w:p>
      <w:r>
        <w:rPr>
          <w:b w:val="0"/>
          <w:i w:val="0"/>
          <w:color w:val="1A170E"/>
          <w:sz w:val="22"/>
        </w:rPr>
      </w:r>
    </w:p>
    <w:p>
      <w:r>
        <w:rPr>
          <w:b w:val="0"/>
          <w:i/>
          <w:color w:val="1A170E"/>
          <w:sz w:val="20"/>
        </w:rPr>
        <w:t>— End of Walkthrough —</w:t>
      </w:r>
    </w:p>
    <w:p>
      <w:r>
        <w:rPr>
          <w:b w:val="0"/>
          <w:i/>
          <w:color w:val="1A170E"/>
          <w:sz w:val="18"/>
        </w:rPr>
        <w:t>Prepared by the ICBB AMR Surveillance Team. For more information, contact the National AMR Focal Point. © ICBB · National AMR Surveillance Programme.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70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