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777777" w:rsidR="00472314" w:rsidRPr="00894DC6" w:rsidRDefault="00472314" w:rsidP="00472314">
      <w:pPr>
        <w:jc w:val="center"/>
        <w:rPr>
          <w:b/>
          <w:bCs/>
        </w:rPr>
      </w:pPr>
      <w:proofErr w:type="gramStart"/>
      <w:r w:rsidRPr="00894DC6">
        <w:rPr>
          <w:b/>
          <w:bCs/>
        </w:rPr>
        <w:t>JANUARY,</w:t>
      </w:r>
      <w:proofErr w:type="gramEnd"/>
      <w:r w:rsidRPr="00894DC6">
        <w:rPr>
          <w:b/>
          <w:bCs/>
        </w:rPr>
        <w:t xml:space="preserve">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B6665E" w:rsidRDefault="00472314" w:rsidP="00472314">
      <w:pPr>
        <w:pStyle w:val="Default"/>
        <w:spacing w:line="360" w:lineRule="auto"/>
        <w:jc w:val="center"/>
      </w:pPr>
      <w:r w:rsidRPr="00B6665E">
        <w:rPr>
          <w:b/>
          <w:bCs/>
        </w:rPr>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w:t>
      </w:r>
      <w:proofErr w:type="spellStart"/>
      <w:r w:rsidRPr="007724FD">
        <w:t>Osemwegie</w:t>
      </w:r>
      <w:proofErr w:type="spellEnd"/>
      <w:r w:rsidRPr="007724FD">
        <w:t xml:space="preserv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472314">
      <w:pPr>
        <w:jc w:val="center"/>
        <w:rPr>
          <w:sz w:val="23"/>
          <w:szCs w:val="23"/>
        </w:rPr>
      </w:pPr>
      <w:r>
        <w:rPr>
          <w:b/>
          <w:bCs/>
          <w:sz w:val="27"/>
          <w:szCs w:val="27"/>
        </w:rPr>
        <w:lastRenderedPageBreak/>
        <w:t>CERTIFICATION</w:t>
      </w:r>
    </w:p>
    <w:p w14:paraId="7952C451" w14:textId="77777777" w:rsidR="00472314" w:rsidRDefault="00472314" w:rsidP="00472314">
      <w:pPr>
        <w:rPr>
          <w:sz w:val="23"/>
          <w:szCs w:val="23"/>
        </w:rPr>
      </w:pPr>
      <w:r>
        <w:rPr>
          <w:sz w:val="23"/>
          <w:szCs w:val="23"/>
        </w:rPr>
        <w:t xml:space="preserve">This is to certify that the project titled "Design and Implementation of a Web-based Radio Audience Measurement System” by AYEGBA JESSE-JOSEPH, </w:t>
      </w:r>
      <w:proofErr w:type="gramStart"/>
      <w:r>
        <w:rPr>
          <w:sz w:val="23"/>
          <w:szCs w:val="23"/>
        </w:rPr>
        <w:t>ANIBE ,</w:t>
      </w:r>
      <w:proofErr w:type="gramEnd"/>
      <w:r>
        <w:rPr>
          <w:sz w:val="23"/>
          <w:szCs w:val="23"/>
        </w:rPr>
        <w:t xml:space="preserv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w:t>
            </w:r>
            <w:proofErr w:type="spellStart"/>
            <w:r>
              <w:rPr>
                <w:sz w:val="23"/>
                <w:szCs w:val="23"/>
              </w:rPr>
              <w:t>Osemwegie</w:t>
            </w:r>
            <w:proofErr w:type="spellEnd"/>
            <w:r>
              <w:rPr>
                <w:sz w:val="23"/>
                <w:szCs w:val="23"/>
              </w:rPr>
              <w:t xml:space="preserv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 xml:space="preserve">Name: Prof. Emmanuel </w:t>
            </w:r>
            <w:proofErr w:type="spellStart"/>
            <w:r>
              <w:rPr>
                <w:sz w:val="23"/>
                <w:szCs w:val="23"/>
              </w:rPr>
              <w:t>Adetiba</w:t>
            </w:r>
            <w:proofErr w:type="spellEnd"/>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472314">
      <w:pPr>
        <w:jc w:val="center"/>
        <w:rPr>
          <w:b/>
          <w:bCs/>
        </w:rPr>
      </w:pPr>
      <w:r>
        <w:br w:type="page"/>
      </w:r>
      <w:r w:rsidRPr="00894DC6">
        <w:rPr>
          <w:b/>
          <w:bCs/>
        </w:rPr>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w:t>
      </w:r>
      <w:proofErr w:type="gramStart"/>
      <w:r w:rsidRPr="00571CFA">
        <w:t>arms</w:t>
      </w:r>
      <w:proofErr w:type="gramEnd"/>
      <w:r w:rsidRPr="00571CFA">
        <w:t xml:space="preserve">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472314">
      <w:pPr>
        <w:jc w:val="center"/>
        <w:rPr>
          <w:b/>
          <w:bCs/>
        </w:rPr>
      </w:pPr>
      <w:r w:rsidRPr="00FF5756">
        <w:rPr>
          <w:b/>
          <w:bCs/>
        </w:rPr>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 xml:space="preserve">Engr. Omoruyi </w:t>
      </w:r>
      <w:proofErr w:type="spellStart"/>
      <w:r w:rsidRPr="007724FD">
        <w:t>Osemwegie</w:t>
      </w:r>
      <w:proofErr w:type="spellEnd"/>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r w:rsidRPr="00F26112">
        <w:lastRenderedPageBreak/>
        <w:t>INTRODUCTION</w:t>
      </w:r>
    </w:p>
    <w:p w14:paraId="2F9A7B35" w14:textId="77777777" w:rsidR="00472314" w:rsidRDefault="00472314" w:rsidP="00472314">
      <w:pPr>
        <w:pStyle w:val="Heading2"/>
      </w:pPr>
      <w:r>
        <w:t>BACKGROUND OF THE STUDY</w:t>
      </w:r>
    </w:p>
    <w:p w14:paraId="5475790B" w14:textId="77777777" w:rsidR="00472314" w:rsidRDefault="00472314" w:rsidP="00472314">
      <w:r>
        <w:t xml:space="preserve">The classical view of audience measurement is the estimation of the number of viewers who are tuned to a particular TV program or channel, or the number of listeners who are tuned to a particular radio program or channel. Audience measurement takes into account, the </w:t>
      </w:r>
      <w:proofErr w:type="spellStart"/>
      <w:r>
        <w:t>behaviour</w:t>
      </w:r>
      <w:proofErr w:type="spellEnd"/>
      <w:r>
        <w:t xml:space="preserve"> of  the audience as well as its demographics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00281C">
        <w:rPr>
          <w:noProof/>
        </w:rPr>
        <w:t>[1]</w:t>
      </w:r>
      <w:r>
        <w:fldChar w:fldCharType="end"/>
      </w:r>
      <w:r>
        <w:t xml:space="preserve">. Direct and indirect methods of measurement are used and, usually, results from a carefully chosen sample are extrapolated to produce figures for the whole population.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fldChar w:fldCharType="begin" w:fldLock="1"/>
      </w:r>
      <w: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00281C">
        <w:rPr>
          <w:noProof/>
        </w:rPr>
        <w:t>[2]</w:t>
      </w:r>
      <w:r>
        <w:fldChar w:fldCharType="end"/>
      </w:r>
      <w:r>
        <w:t>.</w:t>
      </w:r>
    </w:p>
    <w:p w14:paraId="39B17E34" w14:textId="77777777" w:rsidR="00472314" w:rsidRDefault="00472314" w:rsidP="00472314">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6943573F" w14:textId="77777777" w:rsidR="00472314" w:rsidRDefault="00472314" w:rsidP="00472314">
      <w:pPr>
        <w:pStyle w:val="Heading3"/>
      </w:pPr>
      <w:r>
        <w:t>BRIEF HISTORY OF AUDIENCE MEASUREMENT</w:t>
      </w:r>
    </w:p>
    <w:p w14:paraId="5776FB3B" w14:textId="77777777"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Pr="00B80840">
        <w:lastRenderedPageBreak/>
        <w:t>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r>
        <w:t xml:space="preserve">AUDIENCE MEASUREMENT IN DIGITAL </w:t>
      </w:r>
      <w:r w:rsidRPr="00700BF9">
        <w:t>SIGNAGE</w:t>
      </w:r>
    </w:p>
    <w:p w14:paraId="727FF488" w14:textId="73AEC3D8" w:rsidR="00472314" w:rsidRDefault="00472314" w:rsidP="00472314">
      <w:r w:rsidRPr="003C1A84">
        <w:t xml:space="preserve">Digital signage service provides advertisements and useful information using terminal equipped with electronic displays, and it is also possible to aggregate information using various kinds of sensors including camera. </w:t>
      </w:r>
      <w:r>
        <w:t>I</w:t>
      </w:r>
      <w:r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t>. D</w:t>
      </w:r>
      <w:r w:rsidRPr="003C1A84">
        <w:t>igital signage services are becoming more popular these days for a variety of reasons allowing for increased contact and intelligence services especially now that digital signage devices are being put in a variety of locations</w:t>
      </w:r>
      <w:r>
        <w:t xml:space="preserve"> including public spaces </w:t>
      </w:r>
      <w:r>
        <w:fldChar w:fldCharType="begin" w:fldLock="1"/>
      </w:r>
      <w:r>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00281C">
        <w:rPr>
          <w:noProof/>
        </w:rPr>
        <w:t>[3]</w:t>
      </w:r>
      <w:r>
        <w:fldChar w:fldCharType="end"/>
      </w:r>
      <w:r w:rsidRPr="003C1A84">
        <w:t>. Bus stops, hallways, and shopping malls are examples of public spaces.</w:t>
      </w:r>
      <w:r>
        <w:t xml:space="preserve"> </w:t>
      </w:r>
      <w:r w:rsidRPr="00D85255">
        <w:t xml:space="preserve">Static signs are losing their impact, but digital signage, on the other hand, </w:t>
      </w:r>
      <w:r>
        <w:t>are</w:t>
      </w:r>
      <w:r w:rsidRPr="00D85255">
        <w:t xml:space="preserve"> designed to capture consumers' attention and convey messages that are tailored to improve their </w:t>
      </w:r>
      <w:r>
        <w:t>experience. It is</w:t>
      </w:r>
      <w:r w:rsidRPr="003C1A84">
        <w:t xml:space="preserve"> useful for obtaining audience and environmental data</w:t>
      </w:r>
      <w:r>
        <w:t xml:space="preserve"> to aid the kind of content to present to then</w:t>
      </w:r>
      <w:r w:rsidRPr="003C1A84">
        <w:t xml:space="preserve">. This </w:t>
      </w:r>
      <w:r>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15AC33A6" w:rsidR="00291B86" w:rsidRPr="00291B86" w:rsidRDefault="00291B86" w:rsidP="00291B86">
      <w:pPr>
        <w:jc w:val="center"/>
      </w:pPr>
      <w:r>
        <w:t xml:space="preserve">Generic digital signage architecture with audience measurement </w:t>
      </w:r>
      <w:r>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291B86">
        <w:rPr>
          <w:noProof/>
        </w:rPr>
        <w:t>[3]</w:t>
      </w:r>
      <w:r>
        <w:fldChar w:fldCharType="end"/>
      </w:r>
      <w:r>
        <w:t>.</w:t>
      </w:r>
    </w:p>
    <w:p w14:paraId="31D4F26E" w14:textId="77777777" w:rsidR="00472314" w:rsidRDefault="00472314" w:rsidP="00472314">
      <w:pPr>
        <w:pStyle w:val="Heading2"/>
      </w:pPr>
      <w:r>
        <w:lastRenderedPageBreak/>
        <w:t>PROBLEM STATEMENT</w:t>
      </w:r>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r>
        <w:t>AIMS AND OBJECTIVES</w:t>
      </w:r>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 xml:space="preserve">To design a mobile and web application using </w:t>
      </w:r>
      <w:proofErr w:type="spellStart"/>
      <w:r w:rsidRPr="007A5F52">
        <w:t>figma</w:t>
      </w:r>
      <w:proofErr w:type="spellEnd"/>
      <w:r w:rsidRPr="007A5F52">
        <w:t>.</w:t>
      </w:r>
    </w:p>
    <w:p w14:paraId="628C9B31" w14:textId="77777777" w:rsidR="00472314" w:rsidRPr="007A5F52" w:rsidRDefault="00472314" w:rsidP="00472314">
      <w:pPr>
        <w:pStyle w:val="ListParagraph"/>
        <w:numPr>
          <w:ilvl w:val="0"/>
          <w:numId w:val="2"/>
        </w:numPr>
        <w:spacing w:line="360" w:lineRule="auto"/>
      </w:pPr>
      <w:r w:rsidRPr="007A5F52">
        <w:t xml:space="preserve">To build out the mobile and web application using </w:t>
      </w:r>
      <w:proofErr w:type="spellStart"/>
      <w:r w:rsidRPr="007A5F52">
        <w:t>javascript</w:t>
      </w:r>
      <w:proofErr w:type="spellEnd"/>
      <w:r w:rsidRPr="007A5F52">
        <w:t xml:space="preserve">, with frameworks like React native and </w:t>
      </w:r>
      <w:proofErr w:type="gramStart"/>
      <w:r w:rsidRPr="007A5F52">
        <w:t>React</w:t>
      </w:r>
      <w:proofErr w:type="gramEnd"/>
      <w:r w:rsidRPr="007A5F52">
        <w:t xml:space="preserve"> </w:t>
      </w:r>
      <w:proofErr w:type="spellStart"/>
      <w:r w:rsidRPr="007A5F52">
        <w:t>js</w:t>
      </w:r>
      <w:proofErr w:type="spellEnd"/>
      <w:r w:rsidRPr="007A5F52">
        <w:t xml:space="preserve"> respe</w:t>
      </w:r>
      <w:r>
        <w:t>c</w:t>
      </w:r>
      <w:r w:rsidRPr="007A5F52">
        <w:t>tively.</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r>
        <w:t>SIGNIFICANCE OF THE PROJECT</w:t>
      </w:r>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 xml:space="preserve">The implementation of this project will also be inline with the sustainable development </w:t>
      </w:r>
      <w:proofErr w:type="gramStart"/>
      <w:r>
        <w:t>goal(</w:t>
      </w:r>
      <w:proofErr w:type="gramEnd"/>
      <w:r>
        <w:t>SDG)  9. Which is to “build resilient infrastructure, promote inclusive and sustainable industrialization and foster innovation”.</w:t>
      </w:r>
    </w:p>
    <w:p w14:paraId="15631CFA" w14:textId="77777777" w:rsidR="00472314" w:rsidRDefault="00472314" w:rsidP="00472314">
      <w:pPr>
        <w:pStyle w:val="Heading2"/>
      </w:pPr>
      <w:r>
        <w:t>MOTIVATION FOR THE STUDY</w:t>
      </w:r>
    </w:p>
    <w:p w14:paraId="165B6848" w14:textId="2DEF03D3" w:rsidR="00472314" w:rsidRDefault="00472314" w:rsidP="00472314">
      <w:r>
        <w:t xml:space="preserve">With the rapid increase in the population of the world today, there is also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A46A6A">
        <w:t>are not</w:t>
      </w:r>
      <w:r>
        <w:t xml:space="preserve"> what they are interested in listening to these days. Thus, the need for some way to accurately determine what people are really interested in listening to. This project tries to measure the listening patterns of radio audiences and predict people are interested in listening to. </w:t>
      </w:r>
    </w:p>
    <w:p w14:paraId="4BBC543E" w14:textId="77777777" w:rsidR="00472314" w:rsidRDefault="00472314" w:rsidP="00472314">
      <w:pPr>
        <w:pStyle w:val="Heading2"/>
      </w:pPr>
      <w:r>
        <w:t>METHODOLOGY</w:t>
      </w:r>
    </w:p>
    <w:p w14:paraId="12F8B04F" w14:textId="77777777" w:rsidR="00472314" w:rsidRPr="003A3FE8" w:rsidRDefault="00472314" w:rsidP="00472314">
      <w:r>
        <w:t xml:space="preserve">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w:t>
      </w:r>
      <w:proofErr w:type="spellStart"/>
      <w:r>
        <w:t>javascript</w:t>
      </w:r>
      <w:proofErr w:type="spellEnd"/>
      <w:r>
        <w:t xml:space="preserve"> with frameworks like React native and </w:t>
      </w:r>
      <w:proofErr w:type="gramStart"/>
      <w:r>
        <w:t>React</w:t>
      </w:r>
      <w:proofErr w:type="gramEnd"/>
      <w:r>
        <w:t xml:space="preserve"> </w:t>
      </w:r>
      <w:proofErr w:type="spellStart"/>
      <w:r>
        <w:t>js</w:t>
      </w:r>
      <w:proofErr w:type="spellEnd"/>
      <w:r>
        <w:t xml:space="preserve"> respectively. A </w:t>
      </w:r>
      <w:proofErr w:type="spellStart"/>
      <w:r>
        <w:t>javascript</w:t>
      </w:r>
      <w:proofErr w:type="spellEnd"/>
      <w:r>
        <w:t xml:space="preserve"> library called ml5 </w:t>
      </w:r>
      <w:proofErr w:type="spellStart"/>
      <w:r>
        <w:t>js</w:t>
      </w:r>
      <w:proofErr w:type="spellEnd"/>
      <w:r>
        <w:t xml:space="preserve">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r>
        <w:lastRenderedPageBreak/>
        <w:t xml:space="preserve">PROJECT </w:t>
      </w:r>
      <w:r w:rsidRPr="00733196">
        <w:t>ORGANISATION</w:t>
      </w:r>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102601D5" w:rsidR="00733196" w:rsidRDefault="00733196" w:rsidP="00472314"/>
    <w:p w14:paraId="1D210BD1" w14:textId="17CF16B0" w:rsidR="00733196" w:rsidRDefault="00733196" w:rsidP="00472314"/>
    <w:p w14:paraId="7EA61588" w14:textId="77777777" w:rsidR="00733196" w:rsidRPr="00ED74C5" w:rsidRDefault="00733196" w:rsidP="00472314"/>
    <w:p w14:paraId="0F9395B0" w14:textId="77777777" w:rsidR="00472314" w:rsidRDefault="00472314" w:rsidP="00472314">
      <w:pPr>
        <w:pStyle w:val="Heading1"/>
      </w:pPr>
      <w:r>
        <w:lastRenderedPageBreak/>
        <w:t>LITERATURE REVIEW</w:t>
      </w:r>
    </w:p>
    <w:p w14:paraId="2BE243DA" w14:textId="77777777" w:rsidR="00472314" w:rsidRDefault="00472314" w:rsidP="00472314">
      <w:pPr>
        <w:pStyle w:val="Heading2"/>
      </w:pPr>
      <w:r>
        <w:t>INTRODUCTION</w:t>
      </w:r>
    </w:p>
    <w:p w14:paraId="2251BD8A" w14:textId="77777777"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3D519B71" w14:textId="77777777" w:rsidR="00472314" w:rsidRDefault="00472314" w:rsidP="00472314">
      <w:pPr>
        <w:pStyle w:val="headings2"/>
        <w:numPr>
          <w:ilvl w:val="1"/>
          <w:numId w:val="4"/>
        </w:numPr>
        <w:tabs>
          <w:tab w:val="num" w:pos="360"/>
        </w:tabs>
        <w:ind w:left="0" w:firstLine="0"/>
        <w:rPr>
          <w:color w:val="auto"/>
        </w:rPr>
      </w:pPr>
      <w:bookmarkStart w:id="0" w:name="_Toc46833251"/>
      <w:r>
        <w:rPr>
          <w:color w:val="auto"/>
        </w:rPr>
        <w:t>definItion of key terms</w:t>
      </w:r>
      <w:bookmarkEnd w:id="0"/>
    </w:p>
    <w:p w14:paraId="7EC50D3F" w14:textId="58BB1AD3"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52660C47" w:rsidR="00472314" w:rsidRPr="008B7476"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2FF1EF24" w14:textId="084B8AE3" w:rsidR="008B7476" w:rsidRPr="00A46332" w:rsidRDefault="008B7476" w:rsidP="004D33A2">
      <w:pPr>
        <w:pStyle w:val="ListParagraph"/>
        <w:numPr>
          <w:ilvl w:val="0"/>
          <w:numId w:val="5"/>
        </w:numPr>
        <w:spacing w:line="360" w:lineRule="auto"/>
        <w:rPr>
          <w:b/>
          <w:bCs/>
          <w:lang w:val="en"/>
        </w:rPr>
      </w:pPr>
      <w:r>
        <w:rPr>
          <w:b/>
          <w:bCs/>
          <w:lang w:val="en"/>
        </w:rPr>
        <w:t>Sampling:</w:t>
      </w:r>
      <w:r w:rsidR="00D507EC">
        <w:rPr>
          <w:b/>
          <w:bCs/>
          <w:lang w:val="en"/>
        </w:rPr>
        <w:t xml:space="preserve"> </w:t>
      </w:r>
      <w:r w:rsidR="00301E1E">
        <w:rPr>
          <w:lang w:val="en"/>
        </w:rPr>
        <w:t xml:space="preserve">sampling </w:t>
      </w:r>
      <w:r w:rsidR="00301E1E" w:rsidRPr="00301E1E">
        <w:rPr>
          <w:lang w:val="en"/>
        </w:rPr>
        <w:t>is the process of selecting a sample of people who are representative of the overall population.</w:t>
      </w:r>
    </w:p>
    <w:p w14:paraId="629E4E31" w14:textId="380ED5EF" w:rsidR="004D33A2" w:rsidRDefault="00472314" w:rsidP="004D33A2">
      <w:pPr>
        <w:pStyle w:val="ListParagraph"/>
        <w:numPr>
          <w:ilvl w:val="0"/>
          <w:numId w:val="5"/>
        </w:numPr>
        <w:spacing w:line="360" w:lineRule="auto"/>
        <w:rPr>
          <w:lang w:val="en"/>
        </w:rPr>
      </w:pPr>
      <w:r>
        <w:rPr>
          <w:b/>
          <w:bCs/>
          <w:lang w:val="en"/>
        </w:rPr>
        <w:lastRenderedPageBreak/>
        <w:t>Radio</w:t>
      </w:r>
      <w:r w:rsidRPr="00D507EC">
        <w:rPr>
          <w:b/>
          <w:bCs/>
        </w:rPr>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3C43506E" w:rsidR="004D33A2" w:rsidRDefault="004D33A2" w:rsidP="00ED2BB8">
      <w:pPr>
        <w:pStyle w:val="ListParagraph"/>
        <w:numPr>
          <w:ilvl w:val="0"/>
          <w:numId w:val="5"/>
        </w:numPr>
        <w:spacing w:line="360" w:lineRule="auto"/>
        <w:rPr>
          <w:lang w:val="en"/>
        </w:rPr>
      </w:pPr>
      <w:r>
        <w:rPr>
          <w:b/>
          <w:bCs/>
          <w:lang w:val="en"/>
        </w:rPr>
        <w:t>Machine Learning</w:t>
      </w:r>
      <w:r w:rsidRPr="00D507EC">
        <w:rPr>
          <w:b/>
          <w:bCs/>
          <w:lang w:val="en"/>
        </w:rPr>
        <w:t>:</w:t>
      </w:r>
      <w:r>
        <w:rPr>
          <w:lang w:val="en"/>
        </w:rPr>
        <w:t xml:space="preserve"> </w:t>
      </w:r>
      <w:r w:rsidR="00ED2BB8" w:rsidRPr="00ED2BB8">
        <w:rPr>
          <w:lang w:val="en"/>
        </w:rPr>
        <w:t>Machine Learning is a sub-discipline of artificial intelligence that refers to the ability of computer systems to find solutions to problems on their own by recognizing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7D7166B2" w14:textId="328939B9" w:rsidR="009A78DE" w:rsidRDefault="009A78DE" w:rsidP="00F25D8E">
      <w:pPr>
        <w:pStyle w:val="Heading3"/>
        <w:rPr>
          <w:lang w:val="en"/>
        </w:rPr>
      </w:pPr>
      <w:r>
        <w:rPr>
          <w:lang w:val="en"/>
        </w:rPr>
        <w:t xml:space="preserve">Problems facing the wide adoption of web-based audience measurement </w:t>
      </w:r>
      <w:proofErr w:type="gramStart"/>
      <w:r>
        <w:rPr>
          <w:lang w:val="en"/>
        </w:rPr>
        <w:t>systems</w:t>
      </w:r>
      <w:proofErr w:type="gramEnd"/>
    </w:p>
    <w:p w14:paraId="55784F50" w14:textId="77777777" w:rsidR="00F25D8E" w:rsidRPr="00F25D8E" w:rsidRDefault="00F25D8E" w:rsidP="00F25D8E">
      <w:pPr>
        <w:rPr>
          <w:lang w:val="en"/>
        </w:rPr>
      </w:pPr>
    </w:p>
    <w:p w14:paraId="0D221598" w14:textId="77777777" w:rsidR="00472314" w:rsidRDefault="00472314" w:rsidP="00472314">
      <w:pPr>
        <w:rPr>
          <w:sz w:val="23"/>
          <w:szCs w:val="23"/>
        </w:rPr>
      </w:pPr>
    </w:p>
    <w:p w14:paraId="6FA3261B" w14:textId="77777777" w:rsidR="00472314" w:rsidRDefault="00472314" w:rsidP="00472314">
      <w:pPr>
        <w:pStyle w:val="Heading2"/>
      </w:pPr>
      <w:r>
        <w:t>HISTORY AND EVOLUTION OF AUDIENCE MEASUREMENT</w:t>
      </w:r>
    </w:p>
    <w:p w14:paraId="60F9DB5C" w14:textId="77777777" w:rsidR="00472314" w:rsidRDefault="00472314" w:rsidP="00472314">
      <w:pPr>
        <w:pStyle w:val="Heading3"/>
      </w:pPr>
      <w:r w:rsidRPr="00200943">
        <w:t>Birth (1950): phone surveys</w:t>
      </w:r>
    </w:p>
    <w:p w14:paraId="6C613482" w14:textId="14AD3444"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These ratings systems relied heavily on phone calls to the public and used methodology designed for measuring radio audiences. By developing a survey methodology that asked only what listeners were tuned into at the time they received the call, plus demographic information about who was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Clark Hooper eliminated bias and problems with earlier random survey methods that had respondents recall what they had listened to.</w:t>
      </w:r>
      <w:r>
        <w:t xml:space="preserve"> </w:t>
      </w:r>
      <w:r w:rsidRPr="00200943">
        <w:t xml:space="preserve">Many of the standard statistics used by television ratings businesses, like as audience shares, were created as a result of these calls, which are known as telephone </w:t>
      </w:r>
      <w:proofErr w:type="spellStart"/>
      <w:r w:rsidRPr="00200943">
        <w:t>coincidentals</w:t>
      </w:r>
      <w:proofErr w:type="spellEnd"/>
      <w:r w:rsidRPr="00200943">
        <w:t xml:space="preserve">.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77777777" w:rsidR="00472314" w:rsidRDefault="00472314" w:rsidP="00472314">
      <w:pPr>
        <w:pStyle w:val="Heading3"/>
      </w:pPr>
      <w:r>
        <w:t>Infancy (1953): meters and diaries</w:t>
      </w:r>
    </w:p>
    <w:p w14:paraId="6B7DE332" w14:textId="18E4A9AF" w:rsidR="00472314" w:rsidRDefault="00472314" w:rsidP="00472314">
      <w:r>
        <w:t xml:space="preserve">Nielsen largely used metering devices to monitor audiences, which is a technique for tracking radio listeners that was created by Nielsen. These </w:t>
      </w:r>
      <w:proofErr w:type="spellStart"/>
      <w:r>
        <w:t>audimeters</w:t>
      </w:r>
      <w:proofErr w:type="spellEnd"/>
      <w:r>
        <w:t xml:space="preserve"> were used to measure what was being listened to on radio. This system reduced reliance on frequently faulty and untrustworthy </w:t>
      </w:r>
      <w:r>
        <w:lastRenderedPageBreak/>
        <w:t>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xml:space="preserve">, but the system merely gathered data about what was on the radio, not who was listening. To close this gap, Nielsen began collecting more precise data. thanks to a subgroup of the individuals in the sample who Nielsen Diaries maintained track on listening patterns. The data is demographic. As a result, the data collected by the </w:t>
      </w:r>
      <w:proofErr w:type="spellStart"/>
      <w:r>
        <w:t>audimeter</w:t>
      </w:r>
      <w:proofErr w:type="spellEnd"/>
      <w:r>
        <w:t xml:space="preserve"> was supplemented. Nielsen released their rendition of an American in 1971. Data from a Research Bureau meter could be obtained via phone lines, reducing the time it took to prepare data for the market. This storage instantaneous </w:t>
      </w:r>
      <w:proofErr w:type="spellStart"/>
      <w:r>
        <w:t>audimeter</w:t>
      </w:r>
      <w:proofErr w:type="spellEnd"/>
      <w:r>
        <w:t xml:space="preserve"> stored data during the day, and ensured they were transmitted overnight</w:t>
      </w:r>
      <w:r w:rsidR="008C6F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w:t>
      </w:r>
      <w:proofErr w:type="spellStart"/>
      <w:r>
        <w:t>peoplemeter</w:t>
      </w:r>
      <w:proofErr w:type="spellEnd"/>
      <w:r>
        <w:t xml:space="preserve">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w:t>
      </w:r>
      <w:proofErr w:type="spellStart"/>
      <w:r w:rsidRPr="004A0C83">
        <w:t>than</w:t>
      </w:r>
      <w:proofErr w:type="spellEnd"/>
      <w:r w:rsidRPr="004A0C83">
        <w:t xml:space="preserve"> had previously been available. Companies </w:t>
      </w:r>
      <w:r>
        <w:t>could</w:t>
      </w:r>
      <w:r w:rsidRPr="004A0C83">
        <w:t xml:space="preserve"> now target their advertising messages more precisely.</w:t>
      </w:r>
    </w:p>
    <w:p w14:paraId="5781F4FE" w14:textId="77777777" w:rsidR="00472314" w:rsidRDefault="00472314" w:rsidP="00472314">
      <w:pPr>
        <w:pStyle w:val="Heading3"/>
      </w:pPr>
      <w:r>
        <w:t>Childhood (1986): cable TV and VCRs</w:t>
      </w:r>
    </w:p>
    <w:p w14:paraId="2FA0899E" w14:textId="77777777" w:rsidR="00472314" w:rsidRDefault="00472314" w:rsidP="00472314">
      <w:r>
        <w:t>With the rise of cable television, the types of data collected for audience measurement and how they were used changed even more.</w:t>
      </w:r>
    </w:p>
    <w:p w14:paraId="3CCC47F8" w14:textId="77777777" w:rsidR="00472314" w:rsidRDefault="00472314" w:rsidP="00472314">
      <w:r>
        <w:t xml:space="preserve">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 In 2011, there were around 5300 systems in operation in the United States, with around 60 million members. The ability of the </w:t>
      </w:r>
      <w:proofErr w:type="spellStart"/>
      <w:r>
        <w:t>peoplemeter</w:t>
      </w:r>
      <w:proofErr w:type="spellEnd"/>
      <w:r>
        <w:t xml:space="preserve">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lastRenderedPageBreak/>
        <w:t>stop catering to the lowest common denominator and focus on the groups most likely to be interested in their products.</w:t>
      </w:r>
    </w:p>
    <w:p w14:paraId="6B5ADE00" w14:textId="77777777" w:rsidR="00472314" w:rsidRDefault="00472314" w:rsidP="00472314">
      <w:r w:rsidRPr="00487C51">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2B55A208" w:rsidR="00472314" w:rsidRDefault="00472314" w:rsidP="00472314">
      <w:pPr>
        <w:pStyle w:val="Heading3"/>
      </w:pPr>
      <w:r>
        <w:t xml:space="preserve">Adolescence (2000–2010): the </w:t>
      </w:r>
      <w:r w:rsidR="005F0393">
        <w:t>i</w:t>
      </w:r>
      <w:r>
        <w:t>nternet and social media</w:t>
      </w:r>
    </w:p>
    <w:p w14:paraId="5A1B238A" w14:textId="4328E9CD"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w:t>
      </w:r>
      <w:proofErr w:type="gramStart"/>
      <w:r w:rsidRPr="00487C51">
        <w:t>Despite the fact that</w:t>
      </w:r>
      <w:proofErr w:type="gramEnd"/>
      <w:r w:rsidRPr="00487C51">
        <w:t xml:space="preserve">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 This is no longer the case. Since the establishment of a chat site for discussing the show The Prisoner in 199512, a slew of social </w:t>
      </w:r>
      <w:r>
        <w:t>radio</w:t>
      </w:r>
      <w:r w:rsidRPr="00487C51">
        <w:t xml:space="preserve"> platforms </w:t>
      </w:r>
      <w:proofErr w:type="gramStart"/>
      <w:r w:rsidRPr="00487C51">
        <w:t>have</w:t>
      </w:r>
      <w:proofErr w:type="gramEnd"/>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8384A38" w:rsidR="00472314" w:rsidRDefault="00472314" w:rsidP="00472314">
      <w:pPr>
        <w:pStyle w:val="Heading2"/>
      </w:pPr>
      <w:r>
        <w:t>REVIEW OF RELATED WORKS</w:t>
      </w:r>
    </w:p>
    <w:p w14:paraId="62842A25" w14:textId="68EE6ED1" w:rsidR="00A0607C" w:rsidRDefault="00A0607C" w:rsidP="00DC1EF4">
      <w:pPr>
        <w:pStyle w:val="Heading3"/>
      </w:pPr>
      <w:r>
        <w:t>Review o</w:t>
      </w:r>
      <w:r w:rsidR="00B979FE">
        <w:t xml:space="preserve">n </w:t>
      </w:r>
      <w:r>
        <w:t>An Architecture for Real Time Television Audience Measurement</w:t>
      </w:r>
    </w:p>
    <w:p w14:paraId="267D1960" w14:textId="661EAF9C" w:rsidR="00DC1EF4" w:rsidRDefault="00DC1EF4" w:rsidP="00DC1EF4">
      <w:r w:rsidRPr="00DC1EF4">
        <w:t>Currently, television audience measurement reports are only available after a long length of time, such as a daily report</w:t>
      </w:r>
      <w:r>
        <w:t xml:space="preserve"> </w:t>
      </w:r>
      <w:r>
        <w:fldChar w:fldCharType="begin" w:fldLock="1"/>
      </w:r>
      <w:r w:rsidR="00C16315">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[10]","plainTextFormattedCitation":"[10]","previouslyFormattedCitation":"[10]"},"properties":{"noteIndex":0},"schema":"https://github.com/citation-style-language/schema/raw/master/csl-citation.json"}</w:instrText>
      </w:r>
      <w:r>
        <w:fldChar w:fldCharType="separate"/>
      </w:r>
      <w:r w:rsidR="00372F0D" w:rsidRPr="00372F0D">
        <w:rPr>
          <w:noProof/>
        </w:rPr>
        <w:t>[10]</w:t>
      </w:r>
      <w:r>
        <w:fldChar w:fldCharType="end"/>
      </w:r>
      <w:r w:rsidRPr="00DC1EF4">
        <w:t>. This study presents a system for measuring television audience in real time. Real-time measurement can provide channel owners and advertisers with valuable data that can help them grow their businesses</w:t>
      </w:r>
      <w:r>
        <w:t xml:space="preserve"> </w:t>
      </w:r>
      <w:r>
        <w:fldChar w:fldCharType="begin" w:fldLock="1"/>
      </w:r>
      <w:r w:rsidR="00C16315">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[10]","plainTextFormattedCitation":"[10]","previouslyFormattedCitation":"[10]"},"properties":{"noteIndex":0},"schema":"https://github.com/citation-style-language/schema/raw/master/csl-citation.json"}</w:instrText>
      </w:r>
      <w:r>
        <w:fldChar w:fldCharType="separate"/>
      </w:r>
      <w:r w:rsidR="00372F0D" w:rsidRPr="00372F0D">
        <w:rPr>
          <w:noProof/>
        </w:rPr>
        <w:t>[10]</w:t>
      </w:r>
      <w:r>
        <w:fldChar w:fldCharType="end"/>
      </w:r>
      <w:r w:rsidRPr="00DC1EF4">
        <w:t>.</w:t>
      </w:r>
    </w:p>
    <w:p w14:paraId="13D93A14" w14:textId="13085EE0" w:rsidR="00DC1EF4" w:rsidRDefault="00DC1EF4" w:rsidP="00DC1EF4">
      <w:r w:rsidRPr="00DC1EF4">
        <w:lastRenderedPageBreak/>
        <w:t>This study demonstrates how set-top box devices that identify the channel logo and transfer viewership statistics to a server via the internet can record television viewing. The viewership data is processed by the server and shown in real time on a web-based dashboard. It also offers the ability to provide hourly and location-based viewership trends as well as TRP (Television Rating Points) reports online. In-memory databases, reporting and graphing libraries, and a J2EE-based application server make up the server infrastructure.</w:t>
      </w:r>
    </w:p>
    <w:p w14:paraId="490431CB" w14:textId="1E84EB46" w:rsidR="004B60D7" w:rsidRDefault="004B60D7" w:rsidP="004B60D7">
      <w:r>
        <w:t>The popularity of a television channel or program is measured in Television Rating Points (TRP). TRP is a figure between 1 and 100, with one rating point equaling 1% of the population of a target television audience. TRPs are measured from a target population utilizing statistical sampling procedures</w:t>
      </w:r>
      <w:r>
        <w:t xml:space="preserve"> </w:t>
      </w:r>
      <w:r>
        <w:fldChar w:fldCharType="begin" w:fldLock="1"/>
      </w:r>
      <w:r w:rsidR="00C16315">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[10]","plainTextFormattedCitation":"[10]","previouslyFormattedCitation":"[10]"},"properties":{"noteIndex":0},"schema":"https://github.com/citation-style-language/schema/raw/master/csl-citation.json"}</w:instrText>
      </w:r>
      <w:r>
        <w:fldChar w:fldCharType="separate"/>
      </w:r>
      <w:r w:rsidR="00372F0D" w:rsidRPr="00372F0D">
        <w:rPr>
          <w:noProof/>
        </w:rPr>
        <w:t>[10]</w:t>
      </w:r>
      <w:r>
        <w:fldChar w:fldCharType="end"/>
      </w:r>
      <w:r>
        <w:t>.</w:t>
      </w:r>
    </w:p>
    <w:p w14:paraId="432C7797" w14:textId="5CAED410" w:rsidR="004B60D7" w:rsidRDefault="004B60D7" w:rsidP="004B60D7">
      <w:r>
        <w:t xml:space="preserve">Television broadcasters, media companies, advertising agencies, and advertisers all value TRP ratings. It has a significant impact on ad spending and television show scheduling. Each year, media firms and organizations buy and sell hundreds of billions of </w:t>
      </w:r>
      <w:proofErr w:type="spellStart"/>
      <w:r>
        <w:t>dollars worth</w:t>
      </w:r>
      <w:proofErr w:type="spellEnd"/>
      <w:r>
        <w:t xml:space="preserve"> of </w:t>
      </w:r>
      <w:proofErr w:type="gramStart"/>
      <w:r>
        <w:t>air time</w:t>
      </w:r>
      <w:proofErr w:type="gramEnd"/>
      <w:r>
        <w:t>.</w:t>
      </w:r>
    </w:p>
    <w:p w14:paraId="3A0A581C" w14:textId="3A1A9412" w:rsidR="004B60D7" w:rsidRDefault="004B60D7" w:rsidP="004B60D7">
      <w:r w:rsidRPr="004B60D7">
        <w:t>Current automated TRP measurement methods rely on the placement of “People Meters” in the houses of the sample population. These are connected devices that track viewing patterns and provide reports to a backend system on a regular basis. The following are the current methodologies employed by "People Meters."</w:t>
      </w:r>
    </w:p>
    <w:p w14:paraId="29B938A9" w14:textId="680D320D" w:rsidR="004B60D7" w:rsidRDefault="004B60D7" w:rsidP="004C7E99">
      <w:pPr>
        <w:pStyle w:val="ListParagraph"/>
        <w:numPr>
          <w:ilvl w:val="0"/>
          <w:numId w:val="6"/>
        </w:numPr>
        <w:spacing w:line="360" w:lineRule="auto"/>
      </w:pPr>
      <w:r w:rsidRPr="004C7E99">
        <w:rPr>
          <w:b/>
          <w:bCs/>
        </w:rPr>
        <w:t>Audio Matching</w:t>
      </w:r>
      <w:r>
        <w:t xml:space="preserve"> - In this example, the People Meter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46BEE3E6" w:rsidR="004B60D7" w:rsidRDefault="004B60D7" w:rsidP="004C7E99">
      <w:pPr>
        <w:pStyle w:val="ListParagraph"/>
        <w:numPr>
          <w:ilvl w:val="0"/>
          <w:numId w:val="6"/>
        </w:numPr>
        <w:spacing w:line="360" w:lineRule="auto"/>
      </w:pPr>
      <w:r w:rsidRPr="004C7E99">
        <w:rPr>
          <w:b/>
          <w:bCs/>
        </w:rPr>
        <w:t>Frequency Measurement</w:t>
      </w:r>
      <w:r>
        <w:t xml:space="preserve"> – This is used with analog transmission systems, where the People Meter monitors the frequency of the tuned TV channel and communicates the data to the backend. The backend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0A7E20A9" w:rsidR="004B60D7" w:rsidRDefault="004B60D7" w:rsidP="004C7E99">
      <w:pPr>
        <w:pStyle w:val="ListParagraph"/>
        <w:numPr>
          <w:ilvl w:val="0"/>
          <w:numId w:val="6"/>
        </w:numPr>
        <w:spacing w:line="360" w:lineRule="auto"/>
      </w:pPr>
      <w:r w:rsidRPr="004C7E99">
        <w:rPr>
          <w:b/>
          <w:bCs/>
        </w:rPr>
        <w:lastRenderedPageBreak/>
        <w:t>Watermarking</w:t>
      </w:r>
      <w:r>
        <w:t xml:space="preserve"> — Watermarks are added in the program feed at the broadcaster's end, and the People Meter detects them. The discovered watermark and timestamp are subsequently sent to the backend by the people Meters. This method has the disadvantage of requiring each program aired to be watermarked and active cooperation from all broadcasters.</w:t>
      </w:r>
    </w:p>
    <w:p w14:paraId="28AF3DB9" w14:textId="34EA8646" w:rsidR="004B60D7" w:rsidRDefault="004B60D7" w:rsidP="004C7E99">
      <w:pPr>
        <w:pStyle w:val="ListParagraph"/>
        <w:numPr>
          <w:ilvl w:val="0"/>
          <w:numId w:val="6"/>
        </w:numPr>
        <w:spacing w:line="360" w:lineRule="auto"/>
      </w:pPr>
      <w:r w:rsidRPr="004C7E99">
        <w:rPr>
          <w:b/>
          <w:bCs/>
        </w:rPr>
        <w:t>Visual recognition</w:t>
      </w:r>
      <w:r>
        <w:t xml:space="preserve"> - In this situation, the People Meters examines the displayed screen for visual patterns and images in order to determine the program being viewed. This approach is used in the suggested system.</w:t>
      </w:r>
    </w:p>
    <w:p w14:paraId="242E0C2A" w14:textId="49B055F3" w:rsidR="00EE7F2A" w:rsidRDefault="005E7D47" w:rsidP="005E7D47">
      <w:r w:rsidRPr="005E7D47">
        <w:t xml:space="preserve">Some software, such as </w:t>
      </w:r>
      <w:proofErr w:type="spellStart"/>
      <w:r w:rsidRPr="005E7D47">
        <w:t>Trumedia</w:t>
      </w:r>
      <w:proofErr w:type="spellEnd"/>
      <w:r w:rsidRPr="005E7D47">
        <w:t xml:space="preserve"> </w:t>
      </w:r>
      <w:r>
        <w:fldChar w:fldCharType="begin" w:fldLock="1"/>
      </w:r>
      <w:r w:rsidR="00C16315">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[11]","plainTextFormattedCitation":"[11]","previouslyFormattedCitation":"[11]"},"properties":{"noteIndex":0},"schema":"https://github.com/citation-style-language/schema/raw/master/csl-citation.json"}</w:instrText>
      </w:r>
      <w:r>
        <w:fldChar w:fldCharType="separate"/>
      </w:r>
      <w:r w:rsidR="00372F0D" w:rsidRPr="00372F0D">
        <w:rPr>
          <w:noProof/>
        </w:rPr>
        <w:t>[11]</w:t>
      </w:r>
      <w:r>
        <w:fldChar w:fldCharType="end"/>
      </w:r>
      <w:r w:rsidRPr="005E7D47">
        <w:t xml:space="preserve">, assists advertisers in providing tailored adverts by assessing the present audience using video analytics on the faces of the audience taken by a camera, for example. The audience data is delivered back to a backend server, which aids in the display of current audience reports. The real-time information about the audience can be utilized to pick the next message to play via </w:t>
      </w:r>
      <w:proofErr w:type="spellStart"/>
      <w:r w:rsidRPr="005E7D47">
        <w:t>TruMedia's</w:t>
      </w:r>
      <w:proofErr w:type="spellEnd"/>
      <w:r w:rsidRPr="005E7D47">
        <w:t xml:space="preserve"> interface with Cisco Digital Media Player, providing tailored advertising. Other participants in this industry include </w:t>
      </w:r>
      <w:proofErr w:type="spellStart"/>
      <w:r w:rsidRPr="005E7D47">
        <w:t>Quividi</w:t>
      </w:r>
      <w:proofErr w:type="spellEnd"/>
      <w:r w:rsidRPr="005E7D47">
        <w:t xml:space="preserve"> </w:t>
      </w:r>
      <w:r>
        <w:fldChar w:fldCharType="begin" w:fldLock="1"/>
      </w:r>
      <w:r w:rsidR="00C16315">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[12]","plainTextFormattedCitation":"[12]","previouslyFormattedCitation":"[12]"},"properties":{"noteIndex":0},"schema":"https://github.com/citation-style-language/schema/raw/master/csl-citation.json"}</w:instrText>
      </w:r>
      <w:r>
        <w:fldChar w:fldCharType="separate"/>
      </w:r>
      <w:r w:rsidR="00372F0D" w:rsidRPr="00372F0D">
        <w:rPr>
          <w:noProof/>
        </w:rPr>
        <w:t>[12]</w:t>
      </w:r>
      <w:r>
        <w:fldChar w:fldCharType="end"/>
      </w:r>
      <w:r>
        <w:t xml:space="preserve"> </w:t>
      </w:r>
      <w:r w:rsidRPr="005E7D47">
        <w:t xml:space="preserve">and </w:t>
      </w:r>
      <w:proofErr w:type="spellStart"/>
      <w:r w:rsidRPr="005E7D47">
        <w:t>CognoVision</w:t>
      </w:r>
      <w:proofErr w:type="spellEnd"/>
      <w:r w:rsidRPr="005E7D47">
        <w:t xml:space="preserve"> </w:t>
      </w:r>
      <w:r>
        <w:fldChar w:fldCharType="begin" w:fldLock="1"/>
      </w:r>
      <w:r w:rsidR="00C16315">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[13]","plainTextFormattedCitation":"[13]","previouslyFormattedCitation":"[13]"},"properties":{"noteIndex":0},"schema":"https://github.com/citation-style-language/schema/raw/master/csl-citation.json"}</w:instrText>
      </w:r>
      <w:r>
        <w:fldChar w:fldCharType="separate"/>
      </w:r>
      <w:r w:rsidR="00372F0D" w:rsidRPr="00372F0D">
        <w:rPr>
          <w:noProof/>
        </w:rPr>
        <w:t>[13]</w:t>
      </w:r>
      <w:r>
        <w:fldChar w:fldCharType="end"/>
      </w:r>
      <w:r w:rsidRPr="005E7D47">
        <w:t>.</w:t>
      </w:r>
    </w:p>
    <w:p w14:paraId="73D84A51" w14:textId="0B3B693C" w:rsidR="005E7D47" w:rsidRDefault="005E7D47" w:rsidP="00B979FE">
      <w:pPr>
        <w:pStyle w:val="Heading3"/>
      </w:pPr>
      <w:r>
        <w:t xml:space="preserve">Review </w:t>
      </w:r>
      <w:r w:rsidR="00B979FE">
        <w:t>on Audience Measurement Technologies for user Centric Media</w:t>
      </w:r>
    </w:p>
    <w:p w14:paraId="0140C87D" w14:textId="6CF45380" w:rsidR="00B979FE" w:rsidRDefault="00B979FE" w:rsidP="00B979FE">
      <w:r w:rsidRPr="00B979FE">
        <w:t>When compared to traditional media, how can you tell which is the consumption and which is the generation of content in a new media world where the user can be a consumer or a creator/distributor? How appealing is it to the end users? Which new viable business models may be found in this scenario, and what is the market and technology's potential evolution? Perhaps it will never be possible to adequately answer these questions, but the development of new audience measurement reference models for the new media world</w:t>
      </w:r>
      <w:r w:rsidR="00C16315">
        <w:t xml:space="preserve"> </w:t>
      </w:r>
      <w:r w:rsidR="00C16315">
        <w:fldChar w:fldCharType="begin" w:fldLock="1"/>
      </w:r>
      <w:r w:rsidR="00201C80">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[14]","plainTextFormattedCitation":"[14]","previouslyFormattedCitation":"[14]"},"properties":{"noteIndex":0},"schema":"https://github.com/citation-style-language/schema/raw/master/csl-citation.json"}</w:instrText>
      </w:r>
      <w:r w:rsidR="00C16315">
        <w:fldChar w:fldCharType="separate"/>
      </w:r>
      <w:r w:rsidR="00C16315" w:rsidRPr="00C16315">
        <w:rPr>
          <w:noProof/>
        </w:rPr>
        <w:t>[14]</w:t>
      </w:r>
      <w:r w:rsidR="00C16315">
        <w:fldChar w:fldCharType="end"/>
      </w:r>
      <w:r w:rsidRPr="00B979FE">
        <w:t>, and their adaptation to user-centric media using combined metrics, are the most promising ways of achieving these goals. This paper outlines an end-to-end system proposal based on the afore</w:t>
      </w:r>
      <w:r>
        <w:t xml:space="preserve"> </w:t>
      </w:r>
      <w:r w:rsidRPr="00B979FE">
        <w:t>mentioned reference model for the new media world, which is then applied to user-centric media to answer some of the above questions and generate the necessary figures</w:t>
      </w:r>
      <w:r w:rsidR="00C16315">
        <w:t xml:space="preserve"> </w:t>
      </w:r>
      <w:r w:rsidR="00C16315">
        <w:fldChar w:fldCharType="begin" w:fldLock="1"/>
      </w:r>
      <w:r w:rsidR="00C16315">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[14]","plainTextFormattedCitation":"[14]","previouslyFormattedCitation":"[14]"},"properties":{"noteIndex":0},"schema":"https://github.com/citation-style-language/schema/raw/master/csl-citation.json"}</w:instrText>
      </w:r>
      <w:r w:rsidR="00C16315">
        <w:fldChar w:fldCharType="separate"/>
      </w:r>
      <w:r w:rsidR="00C16315" w:rsidRPr="00C16315">
        <w:rPr>
          <w:noProof/>
        </w:rPr>
        <w:t>[14]</w:t>
      </w:r>
      <w:r w:rsidR="00C16315">
        <w:fldChar w:fldCharType="end"/>
      </w:r>
      <w:r w:rsidRPr="00B979FE">
        <w:t>.</w:t>
      </w:r>
    </w:p>
    <w:p w14:paraId="38172555" w14:textId="68B595F3" w:rsidR="008F5E88" w:rsidRDefault="00201C80" w:rsidP="00B979FE">
      <w:r w:rsidRPr="00201C80">
        <w:t xml:space="preserve">The collection of the necessary figures using testbeds or complete panels of households/individuals to obtain reliable figures of media consumption is a necessary mechanism in the media industry, particularly in the user-centric media, to validate the impact and interest of service offerings, new technology developments, or even to predict new viable </w:t>
      </w:r>
      <w:r w:rsidRPr="00201C80">
        <w:lastRenderedPageBreak/>
        <w:t>business models. Many firms may be hesitant to engage in new platforms without trustworthy consumption data, stifling the development of new media technologies or services</w:t>
      </w:r>
      <w:r>
        <w:t xml:space="preserve"> </w:t>
      </w:r>
      <w:r>
        <w:fldChar w:fldCharType="begin" w:fldLock="1"/>
      </w:r>
      <w:r w:rsidR="00F564A2">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[14]","plainTextFormattedCitation":"[14]","previouslyFormattedCitation":"[14]"},"properties":{"noteIndex":0},"schema":"https://github.com/citation-style-language/schema/raw/master/csl-citation.json"}</w:instrText>
      </w:r>
      <w:r>
        <w:fldChar w:fldCharType="separate"/>
      </w:r>
      <w:r w:rsidRPr="00201C80">
        <w:rPr>
          <w:noProof/>
        </w:rPr>
        <w:t>[14]</w:t>
      </w:r>
      <w:r>
        <w:fldChar w:fldCharType="end"/>
      </w:r>
      <w:r w:rsidRPr="00201C80">
        <w:t xml:space="preserve">. Not </w:t>
      </w:r>
      <w:proofErr w:type="gramStart"/>
      <w:r w:rsidRPr="00201C80">
        <w:t>all of</w:t>
      </w:r>
      <w:proofErr w:type="gramEnd"/>
      <w:r w:rsidRPr="00201C80">
        <w:t xml:space="preserve"> the characteristics of audience measurement for traditional media can be applied to the user-centric media paradigm, where the user has the ability to create-distribute-consume audiovisual content, and the situation becomes increasingly complicated when consumption or creation occurs in user communities, where not only individual consumption but also collective consumption is important. This study proposes an end-to-end system for acquiring the afore</w:t>
      </w:r>
      <w:r>
        <w:t xml:space="preserve"> </w:t>
      </w:r>
      <w:r w:rsidRPr="00201C80">
        <w:t xml:space="preserve">mentioned figures on both traditional and user-centric media channels. The following are the components of the system: </w:t>
      </w:r>
    </w:p>
    <w:p w14:paraId="3F7E0B27" w14:textId="77777777" w:rsidR="008F5E88" w:rsidRDefault="00201C80" w:rsidP="008F5E88">
      <w:pPr>
        <w:pStyle w:val="ListParagraph"/>
        <w:numPr>
          <w:ilvl w:val="0"/>
          <w:numId w:val="7"/>
        </w:numPr>
        <w:spacing w:line="360" w:lineRule="auto"/>
      </w:pPr>
      <w:r w:rsidRPr="00201C80">
        <w:t xml:space="preserve">To begin, a model for convergent media consumption in a range of terminals and networks, such as broadcasting to Set-Top-Boxes, mobile and portable devices, or broadband IPTV distribution, will be presented. </w:t>
      </w:r>
    </w:p>
    <w:p w14:paraId="5539A14F" w14:textId="77777777" w:rsidR="008F5E88" w:rsidRDefault="00201C80" w:rsidP="008F5E88">
      <w:pPr>
        <w:pStyle w:val="ListParagraph"/>
        <w:numPr>
          <w:ilvl w:val="0"/>
          <w:numId w:val="7"/>
        </w:numPr>
        <w:spacing w:line="360" w:lineRule="auto"/>
      </w:pPr>
      <w:r w:rsidRPr="00201C80">
        <w:t xml:space="preserve">Second, the model's adaptation to user-centric media and collective consumption is discussed. </w:t>
      </w:r>
    </w:p>
    <w:p w14:paraId="6A8A2052" w14:textId="3DC3B563" w:rsidR="00C16315" w:rsidRDefault="00201C80" w:rsidP="008F5E88">
      <w:pPr>
        <w:pStyle w:val="ListParagraph"/>
        <w:numPr>
          <w:ilvl w:val="0"/>
          <w:numId w:val="7"/>
        </w:numPr>
        <w:spacing w:line="360" w:lineRule="auto"/>
      </w:pPr>
      <w:r w:rsidRPr="00201C80">
        <w:t xml:space="preserve">Then, to integrate the results, a set of metrics </w:t>
      </w:r>
      <w:r w:rsidR="008F5E88">
        <w:t>is</w:t>
      </w:r>
      <w:r w:rsidRPr="00201C80">
        <w:t xml:space="preserve"> formalized.</w:t>
      </w:r>
    </w:p>
    <w:p w14:paraId="53576149" w14:textId="7E18A7D8" w:rsidR="008F5E88" w:rsidRDefault="008F5E88" w:rsidP="00B979FE">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users</w:t>
      </w:r>
      <w:r w:rsidR="00AB374F">
        <w:t xml:space="preserve"> </w:t>
      </w:r>
      <w:r w:rsidR="00AB374F">
        <w:fldChar w:fldCharType="begin" w:fldLock="1"/>
      </w:r>
      <w:r w:rsidR="004B78FE">
        <w:instrText>ADDIN CSL_CITATION {"citationItems":[{"id":"ITEM-1","itemData":{"DOI":"10.1109/TMM.2007.911226","author":[{"dropping-particle":"","family":"Ziou","given":"Djemel","non-dropping-particle":"","parse-names":false,"suffix":""}],"id":"ITEM-1","issue":"April","issued":{"date-parts":[["2015"]]},"title":"A Graphical Model for Context-Aware Visual Content Recommendation","type":"article-journal"},"uris":["http://www.mendeley.com/documents/?uuid=6e81f72f-ed17-4d4a-a784-59f6a6b50898"]}],"mendeley":{"formattedCitation":"[15]","plainTextFormattedCitation":"[15]","previouslyFormattedCitation":"[15]"},"properties":{"noteIndex":0},"schema":"https://github.com/citation-style-language/schema/raw/master/csl-citation.json"}</w:instrText>
      </w:r>
      <w:r w:rsidR="00AB374F">
        <w:fldChar w:fldCharType="separate"/>
      </w:r>
      <w:r w:rsidR="00AB374F" w:rsidRPr="00AB374F">
        <w:rPr>
          <w:noProof/>
        </w:rPr>
        <w:t>[15]</w:t>
      </w:r>
      <w:r w:rsidR="00AB374F">
        <w:fldChar w:fldCharType="end"/>
      </w:r>
      <w:r w:rsidRPr="008F5E88">
        <w:t>. However, when users are linked in communities, one of the primary issues is the adaption of metrics for measuring audience interest and impact.</w:t>
      </w:r>
    </w:p>
    <w:p w14:paraId="599F2D6B" w14:textId="5526BA8E" w:rsidR="00201C80" w:rsidRDefault="00902EA5" w:rsidP="00B979FE">
      <w:pPr>
        <w:pStyle w:val="Heading3"/>
      </w:pPr>
      <w:r>
        <w:t xml:space="preserve">Review on </w:t>
      </w:r>
      <w:r>
        <w:t>Investigation of Spectral Centroid Magnitude and Frequency for Speaker</w:t>
      </w:r>
      <w:r>
        <w:t xml:space="preserve"> </w:t>
      </w:r>
      <w:r>
        <w:t>Recognition</w:t>
      </w:r>
    </w:p>
    <w:p w14:paraId="62F4769A" w14:textId="02315532" w:rsidR="00C16315" w:rsidRDefault="00902EA5" w:rsidP="00B979FE">
      <w:r w:rsidRPr="00902EA5">
        <w:t xml:space="preserve">Mel-scale filter bank </w:t>
      </w:r>
      <w:proofErr w:type="spellStart"/>
      <w:r w:rsidRPr="00902EA5">
        <w:t>cepstrum</w:t>
      </w:r>
      <w:proofErr w:type="spellEnd"/>
      <w:r w:rsidRPr="00902EA5">
        <w:t xml:space="preserve"> coefficients (MFCC), Linear Prediction </w:t>
      </w:r>
      <w:proofErr w:type="spellStart"/>
      <w:r w:rsidRPr="00902EA5">
        <w:t>Cepstrum</w:t>
      </w:r>
      <w:proofErr w:type="spellEnd"/>
      <w:r w:rsidRPr="00902EA5">
        <w:t xml:space="preserve"> Coefficient (LPCC), and Perceptual Linear Prediction are some of the most common spectral envelope characterizations used in speaker recognition (PLP). Because of its popularity, the MFCC has become a de facto standard feature for speaker recognition. Alternative features, such as frequency modulation (FM) and </w:t>
      </w:r>
      <w:proofErr w:type="spellStart"/>
      <w:r w:rsidRPr="00902EA5">
        <w:t>su</w:t>
      </w:r>
      <w:r w:rsidR="00DB22C1">
        <w:t>b</w:t>
      </w:r>
      <w:r w:rsidRPr="00902EA5">
        <w:t>band</w:t>
      </w:r>
      <w:proofErr w:type="spellEnd"/>
      <w:r w:rsidRPr="00902EA5">
        <w:t xml:space="preserve"> spectral centroid characteristics, have been proposed to transmit information other than the average </w:t>
      </w:r>
      <w:proofErr w:type="spellStart"/>
      <w:r w:rsidRPr="00902EA5">
        <w:t>subband</w:t>
      </w:r>
      <w:proofErr w:type="spellEnd"/>
      <w:r w:rsidRPr="00902EA5">
        <w:t xml:space="preserve"> energy</w:t>
      </w:r>
      <w:r w:rsidR="00F564A2">
        <w:t xml:space="preserve"> </w:t>
      </w:r>
      <w:r w:rsidR="00F564A2">
        <w:fldChar w:fldCharType="begin" w:fldLock="1"/>
      </w:r>
      <w:r w:rsidR="004B78FE">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[16]","plainTextFormattedCitation":"[16]","previouslyFormattedCitation":"[16]"},"properties":{"noteIndex":0},"schema":"https://github.com/citation-style-language/schema/raw/master/csl-citation.json"}</w:instrText>
      </w:r>
      <w:r w:rsidR="00F564A2">
        <w:fldChar w:fldCharType="separate"/>
      </w:r>
      <w:r w:rsidR="00AB374F" w:rsidRPr="00AB374F">
        <w:rPr>
          <w:noProof/>
        </w:rPr>
        <w:t>[16]</w:t>
      </w:r>
      <w:r w:rsidR="00F564A2">
        <w:fldChar w:fldCharType="end"/>
      </w:r>
      <w:r w:rsidRPr="00902EA5">
        <w:t xml:space="preserve">. The characterization of </w:t>
      </w:r>
      <w:proofErr w:type="spellStart"/>
      <w:r w:rsidRPr="00902EA5">
        <w:t>subband</w:t>
      </w:r>
      <w:proofErr w:type="spellEnd"/>
      <w:r w:rsidRPr="00902EA5">
        <w:t xml:space="preserve"> energy as a two-dimensional feature, consisting of Spectral Centroid Magnitude (SCM) and Spectral Centroid Frequency (SCF), is investigated in this paper (SCF). Empirical investigations utilizing SCF, SCM, and their fusion on the NIST 2001 and NIST 2006 databases reveal that the combination of SCM and SCF is somewhat more accurate than traditional MFCC, </w:t>
      </w:r>
      <w:r w:rsidRPr="00902EA5">
        <w:lastRenderedPageBreak/>
        <w:t xml:space="preserve">and that both </w:t>
      </w:r>
      <w:proofErr w:type="gramStart"/>
      <w:r w:rsidRPr="00902EA5">
        <w:t>fuse</w:t>
      </w:r>
      <w:proofErr w:type="gramEnd"/>
      <w:r w:rsidRPr="00902EA5">
        <w:t xml:space="preserve"> efficiently with MFCCs. We also show that frame-averaged FM features are fundamentally centroid features, and we present a SCF implementation that enhances both </w:t>
      </w:r>
      <w:proofErr w:type="spellStart"/>
      <w:r w:rsidRPr="00902EA5">
        <w:t>subband</w:t>
      </w:r>
      <w:proofErr w:type="spellEnd"/>
      <w:r w:rsidRPr="00902EA5">
        <w:t xml:space="preserve"> spectral centroid and FM feature speaker recognition performance</w:t>
      </w:r>
      <w:r w:rsidR="00F564A2">
        <w:t xml:space="preserve"> </w:t>
      </w:r>
      <w:r w:rsidR="00F564A2">
        <w:fldChar w:fldCharType="begin" w:fldLock="1"/>
      </w:r>
      <w:r w:rsidR="004B78FE">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[16]","plainTextFormattedCitation":"[16]","previouslyFormattedCitation":"[16]"},"properties":{"noteIndex":0},"schema":"https://github.com/citation-style-language/schema/raw/master/csl-citation.json"}</w:instrText>
      </w:r>
      <w:r w:rsidR="00F564A2">
        <w:fldChar w:fldCharType="separate"/>
      </w:r>
      <w:r w:rsidR="00AB374F" w:rsidRPr="00AB374F">
        <w:rPr>
          <w:noProof/>
        </w:rPr>
        <w:t>[16]</w:t>
      </w:r>
      <w:r w:rsidR="00F564A2">
        <w:fldChar w:fldCharType="end"/>
      </w:r>
      <w:r w:rsidRPr="00902EA5">
        <w:t>.</w:t>
      </w:r>
    </w:p>
    <w:p w14:paraId="42A9F12C" w14:textId="5A2D0CC6" w:rsidR="00902EA5" w:rsidRDefault="00902EA5" w:rsidP="00B979FE">
      <w:r w:rsidRPr="00902EA5">
        <w:t>Speaker recognition relies on the separation of speaker</w:t>
      </w:r>
      <w:r w:rsidR="00DB22C1">
        <w:t xml:space="preserve"> </w:t>
      </w:r>
      <w:r w:rsidRPr="00902EA5">
        <w:t xml:space="preserve">dependent properties from speech signals, and because of anatomical and behavioral differences between participants, the speaker's vocal tract configuration has been found to be very speaker-dependent </w:t>
      </w:r>
      <w:r w:rsidR="004B78FE">
        <w:fldChar w:fldCharType="begin" w:fldLock="1"/>
      </w:r>
      <w:r w:rsidR="004B78FE">
        <w:instrText>ADDIN CSL_CITATION {"citationItems":[{"id":"ITEM-1","itemData":{"DOI":"10.1155/2008/258184","author":[{"dropping-particle":"","family":"Hosseinzadeh","given":"Danoush","non-dropping-particle":"","parse-names":false,"suffix":""},{"dropping-particle":"","family":"Krishnan","given":"Sridhar","non-dropping-particle":"","parse-names":false,"suffix":""}],"id":"ITEM-1","issue":"December 2007","issued":{"date-parts":[["2014"]]},"title":"On the Use of Complementary Spectral Features","type":"article-journal"},"uris":["http://www.mendeley.com/documents/?uuid=5ad3bef5-0637-48a5-bc68-b167f49b02fd"]}],"mendeley":{"formattedCitation":"[17]","plainTextFormattedCitation":"[17]","previouslyFormattedCitation":"[17]"},"properties":{"noteIndex":0},"schema":"https://github.com/citation-style-language/schema/raw/master/csl-citation.json"}</w:instrText>
      </w:r>
      <w:r w:rsidR="004B78FE">
        <w:fldChar w:fldCharType="separate"/>
      </w:r>
      <w:r w:rsidR="004B78FE" w:rsidRPr="004B78FE">
        <w:rPr>
          <w:noProof/>
        </w:rPr>
        <w:t>[17]</w:t>
      </w:r>
      <w:r w:rsidR="004B78FE">
        <w:fldChar w:fldCharType="end"/>
      </w:r>
      <w:r w:rsidRPr="00902EA5">
        <w:t xml:space="preserve">. Mel-frequency cepstral coefficients are the most successful vocal tract-related acoustic characteristic (MFCC). However, information on the distribution of energy across the band is not efficiently captured during the MFCC extraction procedure. MFCC conveys the average energy of the </w:t>
      </w:r>
      <w:proofErr w:type="spellStart"/>
      <w:r w:rsidRPr="00902EA5">
        <w:t>subband</w:t>
      </w:r>
      <w:proofErr w:type="spellEnd"/>
      <w:r w:rsidRPr="00902EA5">
        <w:t xml:space="preserve"> as a single dimension for a </w:t>
      </w:r>
      <w:proofErr w:type="spellStart"/>
      <w:r w:rsidRPr="00902EA5">
        <w:t>subband</w:t>
      </w:r>
      <w:proofErr w:type="spellEnd"/>
      <w:r w:rsidRPr="00902EA5">
        <w:t xml:space="preserve"> speech stream (the overlapped triangular filters capture some information from </w:t>
      </w:r>
      <w:proofErr w:type="spellStart"/>
      <w:r w:rsidRPr="00902EA5">
        <w:t>neighbouring</w:t>
      </w:r>
      <w:proofErr w:type="spellEnd"/>
      <w:r w:rsidRPr="00902EA5">
        <w:t xml:space="preserve"> bands, but this can be considered an inter-band rather than an intra-band information). In this study, we look at how to turn this one-dimensional data into two-dimensional data that includes both the average energy and additional information on the energy distribution inside each </w:t>
      </w:r>
      <w:proofErr w:type="spellStart"/>
      <w:r w:rsidRPr="00902EA5">
        <w:t>subband</w:t>
      </w:r>
      <w:proofErr w:type="spellEnd"/>
      <w:r w:rsidRPr="00902EA5">
        <w:t>. Phase or frequency related properties may be complimentary to MFCCs, according to research published in</w:t>
      </w:r>
      <w:r w:rsidR="004B78FE">
        <w:t xml:space="preserve"> </w:t>
      </w:r>
      <w:r w:rsidR="004B78FE">
        <w:fldChar w:fldCharType="begin" w:fldLock="1"/>
      </w:r>
      <w:r w:rsidR="00D2785A">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model","type":"article-journal"},"uris":["http://www.mendeley.com/documents/?uuid=c93b6dc9-7c4c-45f3-b178-d540108f25b2"]},{"id":"ITEM-2","itemData":{"DOI":"10.1109/ICASSP.2009.4960563","ISBN":"9781424423545","ISSN":"15206149","abstract":"In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Proceedings","id":"ITEM-2","issue":"April","issued":{"date-parts":[["2009"]]},"page":"4233-4236","title":"Evaluation of a fused FM and Cepstral-based speaker recognition system on the NIST 2008 SRE","type":"article-journal"},"uris":["http://www.mendeley.com/documents/?uuid=2558d2ac-64bf-4abb-836f-ecda072d3a2c"]}],"mendeley":{"formattedCitation":"[18], [19]","plainTextFormattedCitation":"[18], [19]","previouslyFormattedCitation":"[18], [19]"},"properties":{"noteIndex":0},"schema":"https://github.com/citation-style-language/schema/raw/master/csl-citation.json"}</w:instrText>
      </w:r>
      <w:r w:rsidR="004B78FE">
        <w:fldChar w:fldCharType="separate"/>
      </w:r>
      <w:r w:rsidR="004B78FE" w:rsidRPr="004B78FE">
        <w:rPr>
          <w:noProof/>
        </w:rPr>
        <w:t>[18], [19]</w:t>
      </w:r>
      <w:r w:rsidR="004B78FE">
        <w:fldChar w:fldCharType="end"/>
      </w:r>
      <w:r w:rsidRPr="00902EA5">
        <w:t xml:space="preserve">. The computational cost of applying frequency modulation (FM) extraction in actual applications is one issue </w:t>
      </w:r>
      <w:r w:rsidR="00D2785A">
        <w:fldChar w:fldCharType="begin" w:fldLock="1"/>
      </w:r>
      <w:r w:rsidR="00D2785A">
        <w:instrText>ADDIN CSL_CITATION {"citationItems":[{"id":"ITEM-1","itemData":{"DOI":"10.1049/el.2009.0170","ISSN":"00135194","abstract":"Recently, subband frame-averaged frequency modulation (FM) as a complementary feature to amplitude-based features for several speech based classification problems including speaker recognition has shown promise. One problem with using FM extraction in practical implementations is computational complexity. Proposed is a computationally efficient method to estimate the frame-averaged FM component in a novel manner, using zero crossing counts and the zero crossing counts of the differentiated signal. FM components, extracted from subband speech signals using the proposed method, form a feature vector. Speaker recognition experiments conducted on the NIST 2008 telephone database show that the proposed method successfully augments mel frequency cepstrum coefficients (MFCCs) to improve performance, obtaining 17 relative reductions in equal error rates when compared with an MFCC-based system. © The Institution of Engineering and Technology 2009.","author":[{"dropping-particle":"","family":"Thiruvaran","given":"T.","non-dropping-particle":"","parse-names":false,"suffix":""},{"dropping-particle":"","family":"Nosratighods","given":"M.","non-dropping-particle":"","parse-names":false,"suffix":""},{"dropping-particle":"","family":"Ambikairajah","given":"E.","non-dropping-particle":"","parse-names":false,"suffix":""},{"dropping-particle":"","family":"Epps","given":"J.","non-dropping-particle":"","parse-names":false,"suffix":""}],"container-title":"Electronics Letters","id":"ITEM-1","issue":"6","issued":{"date-parts":[["2009"]]},"page":"335-337","title":"Computationally efficient frame-averaged FM feature extraction for speaker recognition","type":"article-journal","volume":"45"},"uris":["http://www.mendeley.com/documents/?uuid=3e1be010-9210-45ac-bcfa-2b98ba8f54d3"]}],"mendeley":{"formattedCitation":"[20]","plainTextFormattedCitation":"[20]","previouslyFormattedCitation":"[20]"},"properties":{"noteIndex":0},"schema":"https://github.com/citation-style-language/schema/raw/master/csl-citation.json"}</w:instrText>
      </w:r>
      <w:r w:rsidR="00D2785A">
        <w:fldChar w:fldCharType="separate"/>
      </w:r>
      <w:r w:rsidR="00D2785A" w:rsidRPr="00D2785A">
        <w:rPr>
          <w:noProof/>
        </w:rPr>
        <w:t>[20]</w:t>
      </w:r>
      <w:r w:rsidR="00D2785A">
        <w:fldChar w:fldCharType="end"/>
      </w:r>
      <w:r w:rsidRPr="00902EA5">
        <w:t xml:space="preserve">. The efficiency of frame-averaged FM components extracted using the second order all pole approach </w:t>
      </w:r>
      <w:r w:rsidR="00D2785A">
        <w:rPr>
          <w:noProof/>
        </w:rPr>
        <w:fldChar w:fldCharType="begin" w:fldLock="1"/>
      </w:r>
      <w:r w:rsidR="00D2785A">
        <w:rPr>
          <w:noProof/>
        </w:rPr>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mendeley":{"formattedCitation":"[18]","plainTextFormattedCitation":"[18]","previouslyFormattedCitation":"[18]"},"properties":{"noteIndex":0},"schema":"https://github.com/citation-style-language/schema/raw/master/csl-citation.json"}</w:instrText>
      </w:r>
      <w:r w:rsidR="00D2785A">
        <w:rPr>
          <w:noProof/>
        </w:rPr>
        <w:fldChar w:fldCharType="separate"/>
      </w:r>
      <w:r w:rsidR="00D2785A" w:rsidRPr="00D2785A">
        <w:rPr>
          <w:noProof/>
        </w:rPr>
        <w:t>[18]</w:t>
      </w:r>
      <w:r w:rsidR="00D2785A">
        <w:rPr>
          <w:noProof/>
        </w:rPr>
        <w:fldChar w:fldCharType="end"/>
      </w:r>
      <w:r w:rsidR="00D2785A">
        <w:rPr>
          <w:noProof/>
        </w:rPr>
        <w:t xml:space="preserve"> </w:t>
      </w:r>
      <w:r w:rsidRPr="00902EA5">
        <w:t xml:space="preserve">on speaker recognition, as well as their complimentary nature to magnitude-based information, has recently been established </w:t>
      </w:r>
      <w:r w:rsidR="00D2785A">
        <w:fldChar w:fldCharType="begin" w:fldLock="1"/>
      </w:r>
      <w:r w:rsidR="00192159">
        <w:instrText>ADDIN CSL_CITATION {"citationItems":[{"id":"ITEM-1","itemData":{"DOI":"10.1109/ICASSP.2009.4960563","ISBN":"9781424423545","ISSN":"15206149","abstract":"In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Proceedings","id":"ITEM-1","issue":"April","issued":{"date-parts":[["2009"]]},"page":"4233-4236","title":"Evaluation of a fused FM and Cepstral-based speaker recognition system on the NIST 2008 SRE","type":"article-journal"},"uris":["http://www.mendeley.com/documents/?uuid=2558d2ac-64bf-4abb-836f-ecda072d3a2c"]}],"mendeley":{"formattedCitation":"[19]","plainTextFormattedCitation":"[19]","previouslyFormattedCitation":"[19]"},"properties":{"noteIndex":0},"schema":"https://github.com/citation-style-language/schema/raw/master/csl-citation.json"}</w:instrText>
      </w:r>
      <w:r w:rsidR="00D2785A">
        <w:fldChar w:fldCharType="separate"/>
      </w:r>
      <w:r w:rsidR="00D2785A" w:rsidRPr="00D2785A">
        <w:rPr>
          <w:noProof/>
        </w:rPr>
        <w:t>[19]</w:t>
      </w:r>
      <w:r w:rsidR="00D2785A">
        <w:fldChar w:fldCharType="end"/>
      </w:r>
      <w:r w:rsidRPr="00902EA5">
        <w:t xml:space="preserve">. When these frame-averaged FM components are compared to the deviation of the </w:t>
      </w:r>
      <w:proofErr w:type="spellStart"/>
      <w:r w:rsidRPr="00902EA5">
        <w:t>subband</w:t>
      </w:r>
      <w:proofErr w:type="spellEnd"/>
      <w:r w:rsidRPr="00902EA5">
        <w:t xml:space="preserve"> spectral centroid </w:t>
      </w:r>
      <w:r w:rsidR="00192159">
        <w:fldChar w:fldCharType="begin" w:fldLock="1"/>
      </w:r>
      <w:r w:rsidR="00192159">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[21]","plainTextFormattedCitation":"[21]","previouslyFormattedCitation":"[21]"},"properties":{"noteIndex":0},"schema":"https://github.com/citation-style-language/schema/raw/master/csl-citation.json"}</w:instrText>
      </w:r>
      <w:r w:rsidR="00192159">
        <w:fldChar w:fldCharType="separate"/>
      </w:r>
      <w:r w:rsidR="00192159" w:rsidRPr="00192159">
        <w:rPr>
          <w:noProof/>
        </w:rPr>
        <w:t>[21]</w:t>
      </w:r>
      <w:r w:rsidR="00192159">
        <w:fldChar w:fldCharType="end"/>
      </w:r>
      <w:r w:rsidRPr="00902EA5">
        <w:t xml:space="preserve"> from the </w:t>
      </w:r>
      <w:proofErr w:type="spellStart"/>
      <w:r w:rsidRPr="00902EA5">
        <w:t>subband's</w:t>
      </w:r>
      <w:proofErr w:type="spellEnd"/>
      <w:r w:rsidRPr="00902EA5">
        <w:t xml:space="preserve"> center frequency, as illustrated in Figure 1, it is clear that both the </w:t>
      </w:r>
      <w:proofErr w:type="spellStart"/>
      <w:r w:rsidRPr="00902EA5">
        <w:t>subband</w:t>
      </w:r>
      <w:proofErr w:type="spellEnd"/>
      <w:r w:rsidRPr="00902EA5">
        <w:t xml:space="preserve"> spectral centroid and the frame-averaged FM components provide identical information. Estimating the </w:t>
      </w:r>
      <w:proofErr w:type="spellStart"/>
      <w:r w:rsidRPr="00902EA5">
        <w:t>subband</w:t>
      </w:r>
      <w:proofErr w:type="spellEnd"/>
      <w:r w:rsidRPr="00902EA5">
        <w:t xml:space="preserve"> spectral centroid, on the other hand, is more efficient than estimating </w:t>
      </w:r>
      <w:proofErr w:type="spellStart"/>
      <w:r w:rsidRPr="00902EA5">
        <w:t>frameaveraged</w:t>
      </w:r>
      <w:proofErr w:type="spellEnd"/>
      <w:r w:rsidRPr="00902EA5">
        <w:t xml:space="preserve"> FM components. </w:t>
      </w:r>
      <w:r w:rsidR="00192159">
        <w:fldChar w:fldCharType="begin" w:fldLock="1"/>
      </w:r>
      <w:r w:rsidR="00192159">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[21]","plainTextFormattedCitation":"[21]","previouslyFormattedCitation":"[21]"},"properties":{"noteIndex":0},"schema":"https://github.com/citation-style-language/schema/raw/master/csl-citation.json"}</w:instrText>
      </w:r>
      <w:r w:rsidR="00192159">
        <w:fldChar w:fldCharType="separate"/>
      </w:r>
      <w:r w:rsidR="00192159" w:rsidRPr="00192159">
        <w:rPr>
          <w:noProof/>
        </w:rPr>
        <w:t>[21]</w:t>
      </w:r>
      <w:r w:rsidR="00192159">
        <w:fldChar w:fldCharType="end"/>
      </w:r>
      <w:r w:rsidRPr="00902EA5">
        <w:t xml:space="preserve">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w:t>
      </w:r>
      <w:r w:rsidR="00192159">
        <w:fldChar w:fldCharType="begin" w:fldLock="1"/>
      </w:r>
      <w:r w:rsidR="00192159">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[21]","plainTextFormattedCitation":"[21]","previouslyFormattedCitation":"[21]"},"properties":{"noteIndex":0},"schema":"https://github.com/citation-style-language/schema/raw/master/csl-citation.json"}</w:instrText>
      </w:r>
      <w:r w:rsidR="00192159">
        <w:fldChar w:fldCharType="separate"/>
      </w:r>
      <w:r w:rsidR="00192159" w:rsidRPr="00192159">
        <w:rPr>
          <w:noProof/>
        </w:rPr>
        <w:t>[21]</w:t>
      </w:r>
      <w:r w:rsidR="00192159">
        <w:fldChar w:fldCharType="end"/>
      </w:r>
      <w:r w:rsidRPr="00902EA5">
        <w:t xml:space="preserve">. The use of </w:t>
      </w:r>
      <w:proofErr w:type="spellStart"/>
      <w:r w:rsidRPr="00902EA5">
        <w:t>subband</w:t>
      </w:r>
      <w:proofErr w:type="spellEnd"/>
      <w:r w:rsidRPr="00902EA5">
        <w:t xml:space="preserve"> spectral centroid in recent literature has demonstrated some success in noisy voice identification [. Spectral centroid frequency was previously employed in </w:t>
      </w:r>
      <w:r w:rsidR="00192159">
        <w:fldChar w:fldCharType="begin" w:fldLock="1"/>
      </w:r>
      <w:r w:rsidR="00F714C8">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[21]","plainTextFormattedCitation":"[21]","previouslyFormattedCitation":"[21]"},"properties":{"noteIndex":0},"schema":"https://github.com/citation-style-language/schema/raw/master/csl-citation.json"}</w:instrText>
      </w:r>
      <w:r w:rsidR="00192159">
        <w:fldChar w:fldCharType="separate"/>
      </w:r>
      <w:r w:rsidR="00192159" w:rsidRPr="00192159">
        <w:rPr>
          <w:noProof/>
        </w:rPr>
        <w:t>[21]</w:t>
      </w:r>
      <w:r w:rsidR="00192159">
        <w:fldChar w:fldCharType="end"/>
      </w:r>
      <w:r w:rsidRPr="00902EA5">
        <w:t xml:space="preserve"> for speech recognition. In contrast to FM features, spectral centroid frequency has recently been employed to enhance cepstral based features for speaker recognition </w:t>
      </w:r>
      <w:r w:rsidR="00F714C8">
        <w:lastRenderedPageBreak/>
        <w:fldChar w:fldCharType="begin" w:fldLock="1"/>
      </w:r>
      <w:r w:rsidR="00D507EC">
        <w:instrText>ADDIN CSL_CITATION {"citationItems":[{"id":"ITEM-1","itemData":{"DOI":"10.1007/978-3-540-25948-0_86","ISBN":"3540221468","ISSN":"16113349","abstract":"Most conventional features used in speaker authentication are based on estimation of spectral envelopes in one way or another, e.g., Mel-scale Filterbank Cepstrum Coefficients (MFCCs), Linear-scale Filterbank Cepstrum Coefficients (LFCCs) and Relative Spectral Perceptual Linear Prediction (RASTA-PLP). In this study, Spectral Subband Centroids (SSCs) are examined. These features are the centroid frequency in each subband. They have properties similar to formant frequencies but are limited to a given subband. Empirical experiments carried out on the NIST2001 database using SSCs, MFCCs, LFCCs and their combinations by concatenation suggest that SSCs are somewhat more robust compared to conventional MFCC and LFCC features as well as being partially complementary. © Springer-Verlag Berlin Heidelberg 2004.","author":[{"dropping-particle":"","family":"Thian","given":"Norman Poh Hoon","non-dropping-particle":"","parse-names":false,"suffix":""},{"dropping-particle":"","family":"Sanderson","given":"Conrad","non-dropping-particle":"","parse-names":false,"suffix":""},{"dropping-particle":"","family":"Bengio","given":"Samy","non-dropping-particle":"","parse-names":false,"suffix":""}],"container-title":"Lecture Notes in Computer Science (including subseries Lecture Notes in Artificial Intelligence and Lecture Notes in Bioinformatics)","id":"ITEM-1","issued":{"date-parts":[["2004"]]},"page":"631-639","title":"Spectral subband centroids as complementary features for speaker authentication","type":"article-journal","volume":"3072"},"uris":["http://www.mendeley.com/documents/?uuid=2f0e1a84-fd45-4492-a7d4-0b7cfc2e2380"]}],"mendeley":{"formattedCitation":"[22]","plainTextFormattedCitation":"[22]","previouslyFormattedCitation":"[22]"},"properties":{"noteIndex":0},"schema":"https://github.com/citation-style-language/schema/raw/master/csl-citation.json"}</w:instrText>
      </w:r>
      <w:r w:rsidR="00F714C8">
        <w:fldChar w:fldCharType="separate"/>
      </w:r>
      <w:r w:rsidR="00F714C8" w:rsidRPr="00F714C8">
        <w:rPr>
          <w:noProof/>
        </w:rPr>
        <w:t>[22]</w:t>
      </w:r>
      <w:r w:rsidR="00F714C8">
        <w:fldChar w:fldCharType="end"/>
      </w:r>
      <w:r w:rsidRPr="00902EA5">
        <w:t>. The minor advantages over MFCC in speech recognition applications appear to be an oddity, given the similarity with frame-</w:t>
      </w:r>
      <w:proofErr w:type="spellStart"/>
      <w:r w:rsidRPr="00902EA5">
        <w:t>averged</w:t>
      </w:r>
      <w:proofErr w:type="spellEnd"/>
      <w:r w:rsidRPr="00902EA5">
        <w:t xml:space="preserve"> FM. We study the efficiency of combining Spectral Centroid Frequency (SCF) and Spectral Centroid Magnitude (SCM) characteristics for speaker recognition in this </w:t>
      </w:r>
      <w:proofErr w:type="gramStart"/>
      <w:r w:rsidRPr="00902EA5">
        <w:t>paper, and</w:t>
      </w:r>
      <w:proofErr w:type="gramEnd"/>
      <w:r w:rsidRPr="00902EA5">
        <w:t xml:space="preserve"> show how </w:t>
      </w:r>
      <w:proofErr w:type="spellStart"/>
      <w:r w:rsidRPr="00902EA5">
        <w:t>subband</w:t>
      </w:r>
      <w:proofErr w:type="spellEnd"/>
      <w:r w:rsidRPr="00902EA5">
        <w:t xml:space="preserve"> spectral centroid can be enhanced. SCM, like MFCC, conveys magnitude-related information, but SCF carries the SCM's frequency bias. The NIST2001 and NIST2006 speaker recognition datasets will be used to test these functionalities.</w:t>
      </w:r>
    </w:p>
    <w:p w14:paraId="05A85646" w14:textId="6B1C8CCC" w:rsidR="008B7476" w:rsidRDefault="008B7476" w:rsidP="008B7476">
      <w:pPr>
        <w:pStyle w:val="Heading3"/>
      </w:pPr>
      <w:r>
        <w:t xml:space="preserve">Review on </w:t>
      </w:r>
      <w:r>
        <w:t>Estimating Audiences: Sampling in Television and Radio Audience Research</w:t>
      </w:r>
    </w:p>
    <w:p w14:paraId="54E4F191" w14:textId="7FC6AE20" w:rsidR="00D507EC" w:rsidRDefault="00D507EC" w:rsidP="00D507EC">
      <w:r>
        <w:t xml:space="preserve">Cultural consumption is problematic from a variety of angles, but certain responses from producers, regulators, and observers are contingent on quantitative and qualitative consumption measurements. The data's trustworthiness varies greatly, not least because consumption is undetectable to those who would measure it in some locations, forcing them to generate estimates based on assumptions about methodology and sample practices. Whereas at auditoriums, turnstiles can correctly measure footfall through the doors, and the sale or return of certain sorts of publications inspires high levels of confidence in circulation figures, broadcasters play to intangible audiences who cannot be measured or witnessed </w:t>
      </w:r>
      <w:proofErr w:type="spellStart"/>
      <w:r>
        <w:t>en</w:t>
      </w:r>
      <w:proofErr w:type="spellEnd"/>
      <w:r>
        <w:t xml:space="preserve"> masse</w:t>
      </w:r>
      <w:r>
        <w:t xml:space="preserve"> </w:t>
      </w:r>
      <w:r>
        <w:fldChar w:fldCharType="begin" w:fldLock="1"/>
      </w:r>
      <w:r>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[23]","plainTextFormattedCitation":"[23]","previouslyFormattedCitation":"[23]"},"properties":{"noteIndex":0},"schema":"https://github.com/citation-style-language/schema/raw/master/csl-citation.json"}</w:instrText>
      </w:r>
      <w:r>
        <w:fldChar w:fldCharType="separate"/>
      </w:r>
      <w:r w:rsidRPr="00D507EC">
        <w:rPr>
          <w:noProof/>
        </w:rPr>
        <w:t>[23]</w:t>
      </w:r>
      <w:r>
        <w:fldChar w:fldCharType="end"/>
      </w:r>
      <w:r>
        <w:t>.</w:t>
      </w:r>
    </w:p>
    <w:p w14:paraId="41525343" w14:textId="1521F5D7" w:rsidR="00D507EC" w:rsidRDefault="00D507EC" w:rsidP="00D507EC">
      <w:r>
        <w:t>The propriety of sampling methodologies used to gather audience research data for the broadcasting industry, programmers and advertisers who require precise "knowledge" about their viewers, is discussed in this article. It is based on the contextualization in Cultural Trends</w:t>
      </w:r>
      <w:r w:rsidR="00F62F03">
        <w:t xml:space="preserve"> </w:t>
      </w:r>
      <w:r>
        <w:t>which looked at the argument over rival approaches for measuring consumption using either innovative technology gadgets or more traditional human recall. For individuals who utilize sampling techniques in the cultural sector, as well as those who would evaluate their results, the paper presents critical considerations</w:t>
      </w:r>
      <w:r>
        <w:t xml:space="preserve"> </w:t>
      </w:r>
      <w:r>
        <w:fldChar w:fldCharType="begin" w:fldLock="1"/>
      </w:r>
      <w:r w:rsidR="006D3BB8">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[23]","plainTextFormattedCitation":"[23]","previouslyFormattedCitation":"[23]"},"properties":{"noteIndex":0},"schema":"https://github.com/citation-style-language/schema/raw/master/csl-citation.json"}</w:instrText>
      </w:r>
      <w:r>
        <w:fldChar w:fldCharType="separate"/>
      </w:r>
      <w:r w:rsidRPr="00D507EC">
        <w:rPr>
          <w:noProof/>
        </w:rPr>
        <w:t>[23]</w:t>
      </w:r>
      <w:r>
        <w:fldChar w:fldCharType="end"/>
      </w:r>
      <w:r>
        <w:t>.</w:t>
      </w:r>
    </w:p>
    <w:p w14:paraId="30750433" w14:textId="3762ADA2" w:rsidR="006D3BB8" w:rsidRDefault="006D3BB8" w:rsidP="00D507EC">
      <w:r w:rsidRPr="006D3BB8">
        <w:t>The size, demography, degrees of appreciation, nature of any involvement with the presentation, and possibility of individuals among them returning for more on future occasions are all factors that affect audiences in the cultural sector. The availability of reliable qualitative and quantitative data on consumption is critical to the success of many public and private ventures, but the accuracy with which audiences can be measured varies greatly depending on the nature of the work being presented and the context in which it is consumed</w:t>
      </w:r>
      <w:r>
        <w:t xml:space="preserve"> </w:t>
      </w:r>
      <w:r>
        <w:fldChar w:fldCharType="begin" w:fldLock="1"/>
      </w:r>
      <w:r>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[23]","plainTextFormattedCitation":"[23]","previouslyFormattedCitation":"[23]"},"properties":{"noteIndex":0},"schema":"https://github.com/citation-style-language/schema/raw/master/csl-citation.json"}</w:instrText>
      </w:r>
      <w:r>
        <w:fldChar w:fldCharType="separate"/>
      </w:r>
      <w:r w:rsidRPr="006D3BB8">
        <w:rPr>
          <w:noProof/>
        </w:rPr>
        <w:t>[23]</w:t>
      </w:r>
      <w:r>
        <w:fldChar w:fldCharType="end"/>
      </w:r>
      <w:r w:rsidRPr="006D3BB8">
        <w:t xml:space="preserve">. When audience size has </w:t>
      </w:r>
      <w:r w:rsidRPr="006D3BB8">
        <w:lastRenderedPageBreak/>
        <w:t>monetary implications, measurement accuracy is critical for a variety of stakeholders, including investors, producers, performers, exhibitors, and marketers. Individuals can be physically counted with relatively high levels of accuracy where consumption necessitates footfall, that is, audiences entering and exiting premises, even if the personnel or technology required to do so on an automated basis may be too expensive for some organizations to fund from their budgets. The amount a feature film grosses at the box office provides data for comparative league tables, the contents of which can make or break the reputations of actors and directors. Cinemas make returns to distributors based on ticket sales, and the amount a feature film grosses at the box office provides data for comparative league tables, the contents of which can make or break the reputations of actors and directors</w:t>
      </w:r>
      <w:r>
        <w:t xml:space="preserve"> </w:t>
      </w:r>
      <w:r>
        <w:fldChar w:fldCharType="begin" w:fldLock="1"/>
      </w:r>
      <w:r w:rsidR="00CE1C67">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[23]","plainTextFormattedCitation":"[23]","previouslyFormattedCitation":"[23]"},"properties":{"noteIndex":0},"schema":"https://github.com/citation-style-language/schema/raw/master/csl-citation.json"}</w:instrText>
      </w:r>
      <w:r>
        <w:fldChar w:fldCharType="separate"/>
      </w:r>
      <w:r w:rsidRPr="006D3BB8">
        <w:rPr>
          <w:noProof/>
        </w:rPr>
        <w:t>[23]</w:t>
      </w:r>
      <w:r>
        <w:fldChar w:fldCharType="end"/>
      </w:r>
      <w:r w:rsidRPr="006D3BB8">
        <w:t xml:space="preserve">. Similarly, sales of newspapers and magazines can be audited to a great degree of accuracy, with returns removed from gross sales statistics and genuine sales differentiated from promotional copies distributed to hotels and airlines. Even hits on a website can be physically counted, and data about the nature of these 'visitors' may be processed and distributed fast. One </w:t>
      </w:r>
      <w:r w:rsidR="00FB34D6">
        <w:t>drawback</w:t>
      </w:r>
      <w:r w:rsidRPr="006D3BB8">
        <w:t xml:space="preserve">: hit and footfall counts </w:t>
      </w:r>
      <w:proofErr w:type="spellStart"/>
      <w:r w:rsidRPr="006D3BB8">
        <w:t>can</w:t>
      </w:r>
      <w:r w:rsidR="00B46908">
        <w:t xml:space="preserve"> </w:t>
      </w:r>
      <w:r w:rsidRPr="006D3BB8">
        <w:t>not</w:t>
      </w:r>
      <w:proofErr w:type="spellEnd"/>
      <w:r w:rsidRPr="006D3BB8">
        <w:t xml:space="preserve"> always distinguish between repeat visitors and first-time visitors, so frequent visitors may skew the results because their characteristics outnumber those of the others.</w:t>
      </w:r>
    </w:p>
    <w:p w14:paraId="5E364AD7" w14:textId="25B55DA7" w:rsidR="001F4F3B" w:rsidRDefault="001F4F3B" w:rsidP="00D507EC">
      <w:r>
        <w:t>This paper is divided into the following parts, with each part addressing some form of sampling:</w:t>
      </w:r>
    </w:p>
    <w:p w14:paraId="3C68E416" w14:textId="7F98A032" w:rsidR="001F4F3B" w:rsidRDefault="001F4F3B" w:rsidP="001F4F3B">
      <w:pPr>
        <w:pStyle w:val="ListParagraph"/>
        <w:numPr>
          <w:ilvl w:val="0"/>
          <w:numId w:val="8"/>
        </w:numPr>
      </w:pPr>
      <w:r>
        <w:t>Principles of sampling.</w:t>
      </w:r>
    </w:p>
    <w:p w14:paraId="1D469394" w14:textId="7623BAD9" w:rsidR="001F4F3B" w:rsidRDefault="001F4F3B" w:rsidP="001F4F3B">
      <w:pPr>
        <w:pStyle w:val="ListParagraph"/>
        <w:numPr>
          <w:ilvl w:val="0"/>
          <w:numId w:val="8"/>
        </w:numPr>
      </w:pPr>
      <w:r>
        <w:t>Sampling in practice.</w:t>
      </w:r>
    </w:p>
    <w:p w14:paraId="53C410D0" w14:textId="25E83C4E" w:rsidR="001F4F3B" w:rsidRDefault="001F4F3B" w:rsidP="001F4F3B">
      <w:pPr>
        <w:pStyle w:val="ListParagraph"/>
        <w:numPr>
          <w:ilvl w:val="0"/>
          <w:numId w:val="8"/>
        </w:numPr>
      </w:pPr>
      <w:r>
        <w:t>Using and Misusing Estimates from Sample Data</w:t>
      </w:r>
      <w:r>
        <w:t>.</w:t>
      </w:r>
    </w:p>
    <w:p w14:paraId="23358244" w14:textId="595E4491" w:rsidR="001F4F3B" w:rsidRDefault="001F4F3B" w:rsidP="001F4F3B">
      <w:pPr>
        <w:pStyle w:val="ListParagraph"/>
        <w:numPr>
          <w:ilvl w:val="0"/>
          <w:numId w:val="8"/>
        </w:numPr>
      </w:pPr>
      <w:r>
        <w:t>Sampling in Crisis</w:t>
      </w:r>
      <w:r>
        <w:t>.</w:t>
      </w:r>
    </w:p>
    <w:p w14:paraId="10794C6A" w14:textId="2DA55EEE" w:rsidR="001F4F3B" w:rsidRDefault="001F4F3B" w:rsidP="001F4F3B">
      <w:pPr>
        <w:pStyle w:val="ListParagraph"/>
        <w:numPr>
          <w:ilvl w:val="0"/>
          <w:numId w:val="8"/>
        </w:numPr>
      </w:pPr>
      <w:r>
        <w:t>Selecting Samples</w:t>
      </w:r>
      <w:r>
        <w:t>.</w:t>
      </w:r>
    </w:p>
    <w:p w14:paraId="5FDC6874" w14:textId="7E4C5BF6" w:rsidR="00534625" w:rsidRDefault="00534625" w:rsidP="00534625">
      <w:r w:rsidRPr="00534625">
        <w:t>The nature of sampling as a method of estimating audiences' invisible consumption is that it is an inexact science. The theory and mathematics of sample orthodoxy may be valid, yet audience survey sampling appears to yield glaring contradictions that manifestly deny certain audience research the credibility to which it aspires. It's impossible to say whether such concerns are generalizable, but given the difficulty of constructing representative samples that report accurately, the chances of most audience research producing accurate estimates of viewing and listening by the populations they're supposed to represent are slim</w:t>
      </w:r>
      <w:r w:rsidR="00CE1C67">
        <w:t xml:space="preserve"> </w:t>
      </w:r>
      <w:r w:rsidR="00CE1C67">
        <w:fldChar w:fldCharType="begin" w:fldLock="1"/>
      </w:r>
      <w:r w:rsidR="00CE1C67">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[23]","plainTextFormattedCitation":"[23]"},"properties":{"noteIndex":0},"schema":"https://github.com/citation-style-language/schema/raw/master/csl-citation.json"}</w:instrText>
      </w:r>
      <w:r w:rsidR="00CE1C67">
        <w:fldChar w:fldCharType="separate"/>
      </w:r>
      <w:r w:rsidR="00CE1C67" w:rsidRPr="00CE1C67">
        <w:rPr>
          <w:noProof/>
        </w:rPr>
        <w:t>[23]</w:t>
      </w:r>
      <w:r w:rsidR="00CE1C67">
        <w:fldChar w:fldCharType="end"/>
      </w:r>
      <w:r w:rsidRPr="00534625">
        <w:t>.</w:t>
      </w:r>
    </w:p>
    <w:p w14:paraId="5270F3FD" w14:textId="524D020F" w:rsidR="00CE1C67" w:rsidRDefault="00CE1C67" w:rsidP="00534625"/>
    <w:p w14:paraId="7FC019E7" w14:textId="07AE9E85" w:rsidR="00CE1C67" w:rsidRDefault="00CE1C67" w:rsidP="00534625"/>
    <w:p w14:paraId="5104017F" w14:textId="2C025D19" w:rsidR="00CE1C67" w:rsidRDefault="00CE1C67" w:rsidP="00CE1C67">
      <w:pPr>
        <w:pStyle w:val="Heading2"/>
      </w:pPr>
      <w:r>
        <w:lastRenderedPageBreak/>
        <w:t>SUMMARY</w:t>
      </w:r>
    </w:p>
    <w:p w14:paraId="6E51E60F" w14:textId="6D0AC11F" w:rsidR="00CE1C67" w:rsidRDefault="00CE1C67" w:rsidP="00CE1C67">
      <w:pPr>
        <w:jc w:val="both"/>
      </w:pPr>
      <w:r>
        <w:t>In this chapter, a brief overview of</w:t>
      </w:r>
      <w:r>
        <w:t xml:space="preserve"> audience research</w:t>
      </w:r>
      <w:r>
        <w:t xml:space="preserve">, </w:t>
      </w:r>
      <w:r>
        <w:t>audience measurement</w:t>
      </w:r>
      <w:r>
        <w:t xml:space="preserve"> and </w:t>
      </w:r>
      <w:r>
        <w:t>audience related subjects</w:t>
      </w:r>
      <w:r>
        <w:t xml:space="preserve"> have been discussed to provide a more rounded understanding of the processes involved </w:t>
      </w:r>
      <w:r>
        <w:t>in carrying out an audience measurement process</w:t>
      </w:r>
      <w:r>
        <w:t xml:space="preserve">. Furthermore, previous studies in this regard as related to </w:t>
      </w:r>
      <w:r w:rsidR="0067166F">
        <w:t xml:space="preserve">different audience monitoring technologies </w:t>
      </w:r>
      <w:r>
        <w:t xml:space="preserve">have been reviewed.  From the studies reviewed above, proper control of soil conditions is of great concern in the industry. Also, productivity and efficiency in farming are greatly dependent on soil conditions and irrigation. The general opinion is that the best solutions for soil condition improvement lie in smart systems. Hence, human error and limitations can be overcome. Several soil properties and environmental conditions </w:t>
      </w:r>
      <w:proofErr w:type="gramStart"/>
      <w:r>
        <w:t>have to</w:t>
      </w:r>
      <w:proofErr w:type="gramEnd"/>
      <w:r>
        <w:t xml:space="preserve"> be monitored, and data stored. To improve the conditions of the soil, the present study will focus on improving the solution to soil condition monitoring and automated irrigation. </w:t>
      </w:r>
    </w:p>
    <w:p w14:paraId="71BA4466" w14:textId="77777777" w:rsidR="00CE1C67" w:rsidRPr="00CE1C67" w:rsidRDefault="00CE1C67" w:rsidP="00CE1C67"/>
    <w:p w14:paraId="6E3D5104" w14:textId="77777777" w:rsidR="00293B42" w:rsidRPr="00D507EC" w:rsidRDefault="00293B42" w:rsidP="00D507EC"/>
    <w:p w14:paraId="0238A6DD" w14:textId="77777777" w:rsidR="008B7476" w:rsidRPr="008B7476" w:rsidRDefault="008B7476" w:rsidP="008B7476"/>
    <w:p w14:paraId="347D40E4" w14:textId="77777777" w:rsidR="00C16315" w:rsidRPr="00B979FE" w:rsidRDefault="00C16315" w:rsidP="00B979FE"/>
    <w:p w14:paraId="49B943A9" w14:textId="63657A6B" w:rsidR="0021385A" w:rsidRDefault="0021385A" w:rsidP="005E7D47"/>
    <w:p w14:paraId="253E8E72" w14:textId="7139233D" w:rsidR="00F3462F" w:rsidRDefault="00F3462F" w:rsidP="005E7D47">
      <w:pPr>
        <w:rPr>
          <w:b/>
          <w:bCs/>
        </w:rPr>
      </w:pPr>
    </w:p>
    <w:p w14:paraId="124021C8" w14:textId="77777777" w:rsidR="0021385A" w:rsidRDefault="0021385A" w:rsidP="005E7D47">
      <w:pPr>
        <w:rPr>
          <w:b/>
          <w:bCs/>
        </w:rPr>
      </w:pPr>
    </w:p>
    <w:p w14:paraId="4C446EAF" w14:textId="77777777" w:rsidR="0021385A" w:rsidRPr="00DC1EF4" w:rsidRDefault="0021385A" w:rsidP="005E7D47"/>
    <w:p w14:paraId="71166210" w14:textId="77777777" w:rsidR="00DC1EF4" w:rsidRPr="00DC1EF4" w:rsidRDefault="00DC1EF4" w:rsidP="00DC1EF4"/>
    <w:p w14:paraId="5810AB4A" w14:textId="77777777" w:rsidR="00472314" w:rsidRPr="00E8309F" w:rsidRDefault="00472314" w:rsidP="00472314"/>
    <w:p w14:paraId="12881100" w14:textId="77777777" w:rsidR="00472314" w:rsidRDefault="00472314" w:rsidP="00472314">
      <w:r>
        <w:tab/>
      </w:r>
    </w:p>
    <w:p w14:paraId="0900DBAF" w14:textId="77777777" w:rsidR="00472314" w:rsidRDefault="00472314" w:rsidP="00472314"/>
    <w:p w14:paraId="00F88246" w14:textId="77777777" w:rsidR="00472314" w:rsidRDefault="00472314" w:rsidP="00472314"/>
    <w:p w14:paraId="58AA65A9" w14:textId="77777777" w:rsidR="00472314" w:rsidRDefault="00472314" w:rsidP="00472314"/>
    <w:p w14:paraId="1C0AE102" w14:textId="77777777" w:rsidR="00472314" w:rsidRDefault="00472314" w:rsidP="00472314"/>
    <w:p w14:paraId="6866DC25" w14:textId="77777777" w:rsidR="00472314" w:rsidRDefault="00472314" w:rsidP="00472314"/>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1102" w14:textId="77777777" w:rsidR="003C7697" w:rsidRDefault="003C7697" w:rsidP="00EB5FEC">
      <w:r>
        <w:separator/>
      </w:r>
    </w:p>
  </w:endnote>
  <w:endnote w:type="continuationSeparator" w:id="0">
    <w:p w14:paraId="1A6186C0" w14:textId="77777777" w:rsidR="003C7697" w:rsidRDefault="003C7697"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C47A1" w14:textId="77777777" w:rsidR="003C7697" w:rsidRDefault="003C7697" w:rsidP="00EB5FEC">
      <w:r>
        <w:separator/>
      </w:r>
    </w:p>
  </w:footnote>
  <w:footnote w:type="continuationSeparator" w:id="0">
    <w:p w14:paraId="76D210FB" w14:textId="77777777" w:rsidR="003C7697" w:rsidRDefault="003C7697"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6486F52"/>
    <w:multiLevelType w:val="hybridMultilevel"/>
    <w:tmpl w:val="2A7C34B0"/>
    <w:lvl w:ilvl="0" w:tplc="0409000F">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6"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447C8"/>
    <w:multiLevelType w:val="hybridMultilevel"/>
    <w:tmpl w:val="26A0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45ECE"/>
    <w:rsid w:val="00053302"/>
    <w:rsid w:val="000800F6"/>
    <w:rsid w:val="00092A30"/>
    <w:rsid w:val="000B21BE"/>
    <w:rsid w:val="000B554F"/>
    <w:rsid w:val="000D6B6F"/>
    <w:rsid w:val="000D7195"/>
    <w:rsid w:val="000D7D48"/>
    <w:rsid w:val="0011078D"/>
    <w:rsid w:val="00140768"/>
    <w:rsid w:val="00142498"/>
    <w:rsid w:val="00142E67"/>
    <w:rsid w:val="00153F01"/>
    <w:rsid w:val="00192159"/>
    <w:rsid w:val="00195B13"/>
    <w:rsid w:val="00196C0E"/>
    <w:rsid w:val="001C6F66"/>
    <w:rsid w:val="001C72E6"/>
    <w:rsid w:val="001D2B5E"/>
    <w:rsid w:val="001D49F6"/>
    <w:rsid w:val="001F4F3B"/>
    <w:rsid w:val="00200687"/>
    <w:rsid w:val="00200943"/>
    <w:rsid w:val="00201C80"/>
    <w:rsid w:val="0021385A"/>
    <w:rsid w:val="00235F8D"/>
    <w:rsid w:val="00255627"/>
    <w:rsid w:val="00266AF3"/>
    <w:rsid w:val="00284215"/>
    <w:rsid w:val="00285ACA"/>
    <w:rsid w:val="00291B86"/>
    <w:rsid w:val="00293B42"/>
    <w:rsid w:val="002C0C0E"/>
    <w:rsid w:val="002F2221"/>
    <w:rsid w:val="002F5299"/>
    <w:rsid w:val="002F544A"/>
    <w:rsid w:val="00301E1E"/>
    <w:rsid w:val="003710D3"/>
    <w:rsid w:val="00372F0D"/>
    <w:rsid w:val="003801F7"/>
    <w:rsid w:val="003956EB"/>
    <w:rsid w:val="003A3FE8"/>
    <w:rsid w:val="003A408C"/>
    <w:rsid w:val="003A75D7"/>
    <w:rsid w:val="003C01C3"/>
    <w:rsid w:val="003C1A84"/>
    <w:rsid w:val="003C6B5B"/>
    <w:rsid w:val="003C7697"/>
    <w:rsid w:val="003F5F61"/>
    <w:rsid w:val="004056CE"/>
    <w:rsid w:val="004144E4"/>
    <w:rsid w:val="00420541"/>
    <w:rsid w:val="00460A83"/>
    <w:rsid w:val="004635BE"/>
    <w:rsid w:val="00472314"/>
    <w:rsid w:val="00487C51"/>
    <w:rsid w:val="004956AE"/>
    <w:rsid w:val="004959BB"/>
    <w:rsid w:val="004A0C83"/>
    <w:rsid w:val="004A75A7"/>
    <w:rsid w:val="004B5E49"/>
    <w:rsid w:val="004B60D7"/>
    <w:rsid w:val="004B78FE"/>
    <w:rsid w:val="004C15DA"/>
    <w:rsid w:val="004C483C"/>
    <w:rsid w:val="004C7E99"/>
    <w:rsid w:val="004D33A2"/>
    <w:rsid w:val="004D555C"/>
    <w:rsid w:val="004D6D5B"/>
    <w:rsid w:val="004F180F"/>
    <w:rsid w:val="004F3F5A"/>
    <w:rsid w:val="004F768C"/>
    <w:rsid w:val="00521E89"/>
    <w:rsid w:val="00522EE6"/>
    <w:rsid w:val="00534625"/>
    <w:rsid w:val="00541F08"/>
    <w:rsid w:val="005456E3"/>
    <w:rsid w:val="00554E19"/>
    <w:rsid w:val="00570076"/>
    <w:rsid w:val="005935F6"/>
    <w:rsid w:val="00596325"/>
    <w:rsid w:val="005A5930"/>
    <w:rsid w:val="005C4C59"/>
    <w:rsid w:val="005E4B7B"/>
    <w:rsid w:val="005E7D47"/>
    <w:rsid w:val="005F0393"/>
    <w:rsid w:val="005F4E73"/>
    <w:rsid w:val="006053A5"/>
    <w:rsid w:val="00613A37"/>
    <w:rsid w:val="006145E5"/>
    <w:rsid w:val="00633ED9"/>
    <w:rsid w:val="00636F5C"/>
    <w:rsid w:val="00637265"/>
    <w:rsid w:val="00646F17"/>
    <w:rsid w:val="0067166F"/>
    <w:rsid w:val="00680E5D"/>
    <w:rsid w:val="006830D8"/>
    <w:rsid w:val="00696C7E"/>
    <w:rsid w:val="006A6863"/>
    <w:rsid w:val="006C1530"/>
    <w:rsid w:val="006D1EB3"/>
    <w:rsid w:val="006D3BB8"/>
    <w:rsid w:val="006F5692"/>
    <w:rsid w:val="00700BF9"/>
    <w:rsid w:val="00703714"/>
    <w:rsid w:val="007201C4"/>
    <w:rsid w:val="00720324"/>
    <w:rsid w:val="00720A2A"/>
    <w:rsid w:val="007311E3"/>
    <w:rsid w:val="00733196"/>
    <w:rsid w:val="00751074"/>
    <w:rsid w:val="0076347B"/>
    <w:rsid w:val="00765415"/>
    <w:rsid w:val="00765F7E"/>
    <w:rsid w:val="007724FD"/>
    <w:rsid w:val="00774784"/>
    <w:rsid w:val="007966E0"/>
    <w:rsid w:val="007A5F52"/>
    <w:rsid w:val="007C6860"/>
    <w:rsid w:val="007F0D8D"/>
    <w:rsid w:val="007F752A"/>
    <w:rsid w:val="00822661"/>
    <w:rsid w:val="00833658"/>
    <w:rsid w:val="00852F51"/>
    <w:rsid w:val="0086162D"/>
    <w:rsid w:val="00873FD2"/>
    <w:rsid w:val="00874531"/>
    <w:rsid w:val="00894DC6"/>
    <w:rsid w:val="008A33D9"/>
    <w:rsid w:val="008B7476"/>
    <w:rsid w:val="008C3768"/>
    <w:rsid w:val="008C3F97"/>
    <w:rsid w:val="008C6F4C"/>
    <w:rsid w:val="008D60C5"/>
    <w:rsid w:val="008D623E"/>
    <w:rsid w:val="008D6C91"/>
    <w:rsid w:val="008E7F93"/>
    <w:rsid w:val="008F5E88"/>
    <w:rsid w:val="00902EA5"/>
    <w:rsid w:val="009116CF"/>
    <w:rsid w:val="00933FEB"/>
    <w:rsid w:val="00964247"/>
    <w:rsid w:val="00966F13"/>
    <w:rsid w:val="009828EE"/>
    <w:rsid w:val="00990B20"/>
    <w:rsid w:val="009A78DE"/>
    <w:rsid w:val="009D5AB3"/>
    <w:rsid w:val="00A0607C"/>
    <w:rsid w:val="00A2670D"/>
    <w:rsid w:val="00A46A6A"/>
    <w:rsid w:val="00A5195F"/>
    <w:rsid w:val="00A81622"/>
    <w:rsid w:val="00A86FE9"/>
    <w:rsid w:val="00AB374F"/>
    <w:rsid w:val="00AB67EE"/>
    <w:rsid w:val="00AB7B46"/>
    <w:rsid w:val="00AC17D2"/>
    <w:rsid w:val="00AC7078"/>
    <w:rsid w:val="00AF6EE1"/>
    <w:rsid w:val="00B01ED0"/>
    <w:rsid w:val="00B062E2"/>
    <w:rsid w:val="00B230B2"/>
    <w:rsid w:val="00B25ECC"/>
    <w:rsid w:val="00B34034"/>
    <w:rsid w:val="00B412F5"/>
    <w:rsid w:val="00B46908"/>
    <w:rsid w:val="00B57837"/>
    <w:rsid w:val="00B6665E"/>
    <w:rsid w:val="00B77565"/>
    <w:rsid w:val="00B80840"/>
    <w:rsid w:val="00B95B31"/>
    <w:rsid w:val="00B979FE"/>
    <w:rsid w:val="00BB0D56"/>
    <w:rsid w:val="00BB3748"/>
    <w:rsid w:val="00BC6AD9"/>
    <w:rsid w:val="00BE403E"/>
    <w:rsid w:val="00BE6C39"/>
    <w:rsid w:val="00BF07CD"/>
    <w:rsid w:val="00BF3F8D"/>
    <w:rsid w:val="00C001AB"/>
    <w:rsid w:val="00C16315"/>
    <w:rsid w:val="00C17B6F"/>
    <w:rsid w:val="00C3127C"/>
    <w:rsid w:val="00C724E3"/>
    <w:rsid w:val="00C80CF9"/>
    <w:rsid w:val="00C82C5D"/>
    <w:rsid w:val="00C91A47"/>
    <w:rsid w:val="00CA38ED"/>
    <w:rsid w:val="00CB5042"/>
    <w:rsid w:val="00CE0E09"/>
    <w:rsid w:val="00CE1C67"/>
    <w:rsid w:val="00CE638A"/>
    <w:rsid w:val="00D073DF"/>
    <w:rsid w:val="00D2785A"/>
    <w:rsid w:val="00D507EC"/>
    <w:rsid w:val="00D53957"/>
    <w:rsid w:val="00D73354"/>
    <w:rsid w:val="00D85255"/>
    <w:rsid w:val="00DA04B8"/>
    <w:rsid w:val="00DB22C1"/>
    <w:rsid w:val="00DB2544"/>
    <w:rsid w:val="00DC1EF4"/>
    <w:rsid w:val="00DC42BD"/>
    <w:rsid w:val="00DD5486"/>
    <w:rsid w:val="00DD5C98"/>
    <w:rsid w:val="00DD6217"/>
    <w:rsid w:val="00DE6712"/>
    <w:rsid w:val="00E13B1C"/>
    <w:rsid w:val="00E50473"/>
    <w:rsid w:val="00E51FCB"/>
    <w:rsid w:val="00E80DA5"/>
    <w:rsid w:val="00E8309F"/>
    <w:rsid w:val="00EB1D7F"/>
    <w:rsid w:val="00EB5FEC"/>
    <w:rsid w:val="00EC32E8"/>
    <w:rsid w:val="00EC43F2"/>
    <w:rsid w:val="00ED2BB8"/>
    <w:rsid w:val="00ED74C5"/>
    <w:rsid w:val="00EE7F2A"/>
    <w:rsid w:val="00EF1E7A"/>
    <w:rsid w:val="00EF395F"/>
    <w:rsid w:val="00EF5063"/>
    <w:rsid w:val="00F0311E"/>
    <w:rsid w:val="00F0435A"/>
    <w:rsid w:val="00F0737E"/>
    <w:rsid w:val="00F13502"/>
    <w:rsid w:val="00F15076"/>
    <w:rsid w:val="00F167F0"/>
    <w:rsid w:val="00F226A9"/>
    <w:rsid w:val="00F245C0"/>
    <w:rsid w:val="00F24C79"/>
    <w:rsid w:val="00F25D8E"/>
    <w:rsid w:val="00F26112"/>
    <w:rsid w:val="00F27F84"/>
    <w:rsid w:val="00F33FC9"/>
    <w:rsid w:val="00F343A7"/>
    <w:rsid w:val="00F3462F"/>
    <w:rsid w:val="00F477F3"/>
    <w:rsid w:val="00F564A2"/>
    <w:rsid w:val="00F62F03"/>
    <w:rsid w:val="00F714C8"/>
    <w:rsid w:val="00F91C3F"/>
    <w:rsid w:val="00FB0331"/>
    <w:rsid w:val="00FB2D14"/>
    <w:rsid w:val="00FB34D6"/>
    <w:rsid w:val="00FB5F3F"/>
    <w:rsid w:val="00FC5BA6"/>
    <w:rsid w:val="00FF14D3"/>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 w:id="1566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Pages>22</Pages>
  <Words>15836</Words>
  <Characters>90268</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206</cp:revision>
  <dcterms:created xsi:type="dcterms:W3CDTF">2021-03-27T07:07:00Z</dcterms:created>
  <dcterms:modified xsi:type="dcterms:W3CDTF">2021-07-08T10:25:00Z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