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F17B" w14:textId="77777777" w:rsidR="00196345" w:rsidRPr="007F63E4" w:rsidRDefault="00196345" w:rsidP="00196345">
      <w:pPr>
        <w:pStyle w:val="a9"/>
      </w:pPr>
      <w:r w:rsidRPr="007F63E4">
        <w:rPr>
          <w:b/>
        </w:rPr>
        <w:t>Interviewer (I):</w:t>
      </w:r>
      <w:r w:rsidRPr="007F63E4">
        <w:t xml:space="preserve"> Good morning, Dr. Carter. Thank you for agreeing to this interview. Let’s start with demographics. Could you tell us your gender, age, and field of expertise?</w:t>
      </w:r>
    </w:p>
    <w:p w14:paraId="772BE627" w14:textId="77777777" w:rsidR="00196345" w:rsidRPr="007F63E4" w:rsidRDefault="00196345" w:rsidP="00196345">
      <w:pPr>
        <w:pStyle w:val="a9"/>
      </w:pPr>
      <w:r w:rsidRPr="007F63E4">
        <w:rPr>
          <w:b/>
        </w:rPr>
        <w:t>Dr. Elena Carter (Dr. E):</w:t>
      </w:r>
      <w:r w:rsidRPr="007F63E4">
        <w:t xml:space="preserve"> </w:t>
      </w:r>
      <w:bookmarkStart w:id="0" w:name="OLE_LINK1"/>
      <w:r w:rsidRPr="007F63E4">
        <w:t>Good morning. I’m female, 42 years old, and my expertise is in molecular and computational biology—focusing on hematopoietic cell gene regulation and AI-driven virtual cell simulation. I’ve been in this field for 15 years.</w:t>
      </w:r>
    </w:p>
    <w:bookmarkEnd w:id="0"/>
    <w:p w14:paraId="6A296AA4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Are you familiar with virtual cell AI models like </w:t>
      </w:r>
      <w:proofErr w:type="spellStart"/>
      <w:r w:rsidRPr="007F63E4">
        <w:t>Cellforge</w:t>
      </w:r>
      <w:proofErr w:type="spellEnd"/>
      <w:r w:rsidRPr="007F63E4">
        <w:t>? If yes, what’s your level of familiarity?</w:t>
      </w:r>
    </w:p>
    <w:p w14:paraId="51ECF4D0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Yes, intermediate to advanced. We’ve used it for 2 years to simulate genetic perturbations in erythroid progenitor cells.</w:t>
      </w:r>
    </w:p>
    <w:p w14:paraId="0A78A43C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How do you typically evaluate if a virtual cell model is “reliable”? Which specific metrics matter?</w:t>
      </w:r>
    </w:p>
    <w:p w14:paraId="51414F03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Two core metrics: Pearson correlation coefficient (r ≥ 0.75) between predicted and experimental log2FC of gene expression, and cell state transition accuracy via UMAP alignment with </w:t>
      </w:r>
      <w:proofErr w:type="spellStart"/>
      <w:r w:rsidRPr="007F63E4">
        <w:t>scRNA</w:t>
      </w:r>
      <w:proofErr w:type="spellEnd"/>
      <w:r w:rsidRPr="007F63E4">
        <w:t xml:space="preserve">-seq data. But there’s a third factor I can’t formalize—sometimes metrics check out, but the gene regulatory network feels “off.” </w:t>
      </w:r>
      <w:r w:rsidRPr="007F63E4">
        <w:t>【经验</w:t>
      </w:r>
      <w:r w:rsidRPr="007F63E4">
        <w:t xml:space="preserve"> / </w:t>
      </w:r>
      <w:r w:rsidRPr="007F63E4">
        <w:t>直觉难以语言化】</w:t>
      </w:r>
    </w:p>
    <w:p w14:paraId="51810F4A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What do you mean by “off”?</w:t>
      </w:r>
    </w:p>
    <w:p w14:paraId="5F34649F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Last year, a model predicted HBG1 activates HIST1H1C directly, but after 15 years working on these cells, I just </w:t>
      </w:r>
      <w:r w:rsidRPr="007F63E4">
        <w:rPr>
          <w:i/>
          <w:iCs/>
        </w:rPr>
        <w:t>know</w:t>
      </w:r>
      <w:r w:rsidRPr="007F63E4">
        <w:t xml:space="preserve"> HIST1H1C is regulated indirectly via KLF6. It’s not measurable—it’s a gut feeling from hundreds of wet-lab experiments that I can’t write into evaluation guidelines.</w:t>
      </w:r>
    </w:p>
    <w:p w14:paraId="78050053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Got it. Let’s move to manual genetic perturbation workflows. Could you walk us through the key steps?</w:t>
      </w:r>
    </w:p>
    <w:p w14:paraId="72EA64D0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We design CRISPR-Cas9 gRNAs, transfect CD34+ cells, validate knockout efficiency with </w:t>
      </w:r>
      <w:proofErr w:type="spellStart"/>
      <w:r w:rsidRPr="007F63E4">
        <w:t>qRT</w:t>
      </w:r>
      <w:proofErr w:type="spellEnd"/>
      <w:r w:rsidRPr="007F63E4">
        <w:t xml:space="preserve">-PCR, then collect samples for </w:t>
      </w:r>
      <w:proofErr w:type="spellStart"/>
      <w:r w:rsidRPr="007F63E4">
        <w:t>scRNA</w:t>
      </w:r>
      <w:proofErr w:type="spellEnd"/>
      <w:r w:rsidRPr="007F63E4">
        <w:t xml:space="preserve">-seq and ATAC-seq over 7 days to analyze gene expression and chromatin accessibility. </w:t>
      </w:r>
      <w:r w:rsidRPr="007F63E4">
        <w:t>【术语问题】</w:t>
      </w:r>
    </w:p>
    <w:p w14:paraId="252A78B9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I’m unfamiliar with ATAC-seq—could you explain it briefly? </w:t>
      </w:r>
      <w:r w:rsidRPr="007F63E4">
        <w:t>【术语问题】</w:t>
      </w:r>
    </w:p>
    <w:p w14:paraId="6966201B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It’s Assay for Transposase-Accessible Chromatin using sequencing. It shows which genome regions are “open” to transcription factors post-perturbation—critical for confirming regulatory mechanisms alongside </w:t>
      </w:r>
      <w:proofErr w:type="spellStart"/>
      <w:r w:rsidRPr="007F63E4">
        <w:t>scRNA</w:t>
      </w:r>
      <w:proofErr w:type="spellEnd"/>
      <w:r w:rsidRPr="007F63E4">
        <w:t>-seq.</w:t>
      </w:r>
    </w:p>
    <w:p w14:paraId="0DEA8FEB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Have you used AI-based gene prediction models beyond </w:t>
      </w:r>
      <w:proofErr w:type="spellStart"/>
      <w:r w:rsidRPr="007F63E4">
        <w:t>Cellforge</w:t>
      </w:r>
      <w:proofErr w:type="spellEnd"/>
      <w:r w:rsidRPr="007F63E4">
        <w:t>?</w:t>
      </w:r>
    </w:p>
    <w:p w14:paraId="7A9FD141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Yes, </w:t>
      </w:r>
      <w:proofErr w:type="spellStart"/>
      <w:r w:rsidRPr="007F63E4">
        <w:t>DeepPerturb</w:t>
      </w:r>
      <w:proofErr w:type="spellEnd"/>
      <w:r w:rsidRPr="007F63E4">
        <w:t xml:space="preserve"> and </w:t>
      </w:r>
      <w:proofErr w:type="spellStart"/>
      <w:r w:rsidRPr="007F63E4">
        <w:t>CellNet</w:t>
      </w:r>
      <w:proofErr w:type="spellEnd"/>
      <w:r w:rsidRPr="007F63E4">
        <w:t>. We use them to reduce high-throughput screening costs and uncover non-intuitive gene interactions.</w:t>
      </w:r>
    </w:p>
    <w:p w14:paraId="602BB53B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We’ve collaborated with HCI/VIS scholars to design tools like gene regulatory network visualizations to enhance AI result understanding—they prioritized clarity and simplicity. Do you find these helpful? </w:t>
      </w:r>
      <w:r w:rsidRPr="007F63E4">
        <w:t>【学科方法论冲突：</w:t>
      </w:r>
      <w:r w:rsidRPr="007F63E4">
        <w:t xml:space="preserve">expert needs vs HCI/VIS </w:t>
      </w:r>
      <w:r w:rsidRPr="007F63E4">
        <w:t>预期偏差】</w:t>
      </w:r>
    </w:p>
    <w:p w14:paraId="07D473C6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They’re partially useful, but there’s a disconnect. The VIS team’s “simplified” visuals only label “activation/inhibition,” but we need epigenomic context—like if the interaction is mediated by histone acetylation. Their focus </w:t>
      </w:r>
      <w:r w:rsidRPr="007F63E4">
        <w:lastRenderedPageBreak/>
        <w:t>on aesthetics and usability misses the biological granularity we need to validate predictions.</w:t>
      </w:r>
    </w:p>
    <w:p w14:paraId="7C6A3683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We also provided a counterfactual comparison chart for HBG1 vs. ID3 knockout. The chart maps predicted log2FC differences—do you understand how to interpret it? </w:t>
      </w:r>
      <w:r w:rsidRPr="007F63E4">
        <w:t>【难以验证对方理解程度】</w:t>
      </w:r>
    </w:p>
    <w:p w14:paraId="11BA39A7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Yeah, that makes sense.</w:t>
      </w:r>
    </w:p>
    <w:p w14:paraId="30426B19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Just to be sure—when it shows HIST1H4C has +0.51 log2FC in ID3 knockout vs. -0.36 in HBG1 knockout, you recognize that means ID3 knockout upregulates it, while HBG1 knockout downregulates it? </w:t>
      </w:r>
      <w:r w:rsidRPr="007F63E4">
        <w:t>【难以验证对方理解程度】</w:t>
      </w:r>
    </w:p>
    <w:p w14:paraId="7F137718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Absolutely—we work with log2FC daily. But I get your hesitation—you can’t tell if I’m just nodding along or truly grasping the model’s logic behind the numbers.</w:t>
      </w:r>
    </w:p>
    <w:p w14:paraId="28CCCBD5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Exactly. Would you want me to explain more about how the counterfactuals are calculated, or is this enough? </w:t>
      </w:r>
      <w:r w:rsidRPr="007F63E4">
        <w:t>【难以验证对方理解程度】</w:t>
      </w:r>
    </w:p>
    <w:p w14:paraId="53B46473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This is enough—we care more about the output than the internal calculation.</w:t>
      </w:r>
    </w:p>
    <w:p w14:paraId="4A7E60D9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Last question: What’s your preferred form of explanation for AI predictions?</w:t>
      </w:r>
    </w:p>
    <w:p w14:paraId="6D565333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A mix of visualization, counterfactual reasoning, and feature importance ranking—but with layered details, not just simplicity. Sometimes a low-ranked feature feels critical to me based on experience, which is hard to formalize for the HCI team.</w:t>
      </w:r>
    </w:p>
    <w:p w14:paraId="23C2BAB9" w14:textId="77777777" w:rsidR="00196345" w:rsidRPr="007F63E4" w:rsidRDefault="00196345" w:rsidP="00196345">
      <w:pPr>
        <w:pStyle w:val="a9"/>
      </w:pPr>
      <w:r w:rsidRPr="007F63E4">
        <w:rPr>
          <w:b/>
        </w:rPr>
        <w:t>I:</w:t>
      </w:r>
      <w:r w:rsidRPr="007F63E4">
        <w:t xml:space="preserve"> Thank you so much for your insights.</w:t>
      </w:r>
    </w:p>
    <w:p w14:paraId="008213F7" w14:textId="77777777" w:rsidR="00196345" w:rsidRPr="007F63E4" w:rsidRDefault="00196345" w:rsidP="00196345">
      <w:pPr>
        <w:pStyle w:val="a9"/>
      </w:pPr>
      <w:r w:rsidRPr="007F63E4">
        <w:rPr>
          <w:b/>
        </w:rPr>
        <w:t>Dr. E:</w:t>
      </w:r>
      <w:r w:rsidRPr="007F63E4">
        <w:t xml:space="preserve"> You’re welcome—happy to bridge the gap between biology and HCI/VIS needs.</w:t>
      </w:r>
    </w:p>
    <w:p w14:paraId="1944AC85" w14:textId="77777777" w:rsidR="00196345" w:rsidRPr="007F63E4" w:rsidRDefault="00196345" w:rsidP="00196345">
      <w:pPr>
        <w:pStyle w:val="a9"/>
        <w:jc w:val="left"/>
      </w:pPr>
    </w:p>
    <w:p w14:paraId="1B6CDC83" w14:textId="77777777" w:rsidR="003F0190" w:rsidRDefault="003F0190"/>
    <w:p w14:paraId="4CDE1706" w14:textId="77777777" w:rsidR="003F0190" w:rsidRDefault="003F0190"/>
    <w:p w14:paraId="742F3D41" w14:textId="77777777" w:rsidR="003F0190" w:rsidRDefault="003F0190"/>
    <w:p w14:paraId="6A9D5FB6" w14:textId="77777777" w:rsidR="003F0190" w:rsidRDefault="003F0190"/>
    <w:p w14:paraId="356FE764" w14:textId="77777777" w:rsidR="003F0190" w:rsidRDefault="003F0190"/>
    <w:p w14:paraId="7D75ED2A" w14:textId="77777777" w:rsidR="003F0190" w:rsidRDefault="003F0190"/>
    <w:p w14:paraId="3456E33B" w14:textId="77777777" w:rsidR="003F0190" w:rsidRDefault="003F0190"/>
    <w:p w14:paraId="4430810F" w14:textId="77777777" w:rsidR="003F0190" w:rsidRDefault="003F0190"/>
    <w:sectPr w:rsidR="003F0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0DA7" w14:textId="77777777" w:rsidR="007F6262" w:rsidRDefault="007F6262" w:rsidP="003F0190">
      <w:r>
        <w:separator/>
      </w:r>
    </w:p>
  </w:endnote>
  <w:endnote w:type="continuationSeparator" w:id="0">
    <w:p w14:paraId="5F5B9617" w14:textId="77777777" w:rsidR="007F6262" w:rsidRDefault="007F6262" w:rsidP="003F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BBCF" w14:textId="77777777" w:rsidR="007F6262" w:rsidRDefault="007F6262" w:rsidP="003F0190">
      <w:r>
        <w:separator/>
      </w:r>
    </w:p>
  </w:footnote>
  <w:footnote w:type="continuationSeparator" w:id="0">
    <w:p w14:paraId="20703CFA" w14:textId="77777777" w:rsidR="007F6262" w:rsidRDefault="007F6262" w:rsidP="003F0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76"/>
    <w:rsid w:val="00196345"/>
    <w:rsid w:val="001C5197"/>
    <w:rsid w:val="00375021"/>
    <w:rsid w:val="003F0190"/>
    <w:rsid w:val="0050117B"/>
    <w:rsid w:val="00637AB4"/>
    <w:rsid w:val="007A0C52"/>
    <w:rsid w:val="007E162F"/>
    <w:rsid w:val="007F6262"/>
    <w:rsid w:val="00835259"/>
    <w:rsid w:val="009C4FD4"/>
    <w:rsid w:val="009C71C1"/>
    <w:rsid w:val="00A70DE5"/>
    <w:rsid w:val="00C26E11"/>
    <w:rsid w:val="00DE2C76"/>
    <w:rsid w:val="00E23286"/>
    <w:rsid w:val="00FC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B392A"/>
  <w15:chartTrackingRefBased/>
  <w15:docId w15:val="{A16944CF-3DB5-4127-A276-BDBF0FFF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2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C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C7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C7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C7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C7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C7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C7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C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C7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C76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E2C76"/>
    <w:rPr>
      <w:rFonts w:asciiTheme="minorHAnsi" w:eastAsiaTheme="minorEastAsia" w:hAnsiTheme="minorHAnsi" w:cstheme="majorBidi"/>
      <w:b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C76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C7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C7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C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C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C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C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C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C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2C76"/>
    <w:rPr>
      <w:b/>
      <w:bCs w:val="0"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01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01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01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01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C14A1-6BC5-49C3-B0D3-2A90E3652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685</Words>
  <Characters>3393</Characters>
  <Application>Microsoft Office Word</Application>
  <DocSecurity>0</DocSecurity>
  <Lines>77</Lines>
  <Paragraphs>30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1900885407@qq.com</dc:creator>
  <cp:keywords/>
  <dc:description/>
  <cp:lastModifiedBy>1900885407@qq.com</cp:lastModifiedBy>
  <cp:revision>4</cp:revision>
  <dcterms:created xsi:type="dcterms:W3CDTF">2026-01-23T08:36:00Z</dcterms:created>
  <dcterms:modified xsi:type="dcterms:W3CDTF">2026-01-26T07:34:00Z</dcterms:modified>
</cp:coreProperties>
</file>