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99112" w14:textId="22D26041" w:rsidR="00A85FAF" w:rsidRPr="004F66FD" w:rsidRDefault="00A85FAF" w:rsidP="00A85FAF">
      <w:pPr>
        <w:pStyle w:val="Title"/>
        <w:rPr>
          <w:b/>
          <w:bCs/>
          <w:color w:val="156082" w:themeColor="accent1"/>
        </w:rPr>
      </w:pPr>
      <w:bookmarkStart w:id="0" w:name="_Hlk186999981"/>
      <w:r w:rsidRPr="004F66FD">
        <w:rPr>
          <w:b/>
          <w:bCs/>
          <w:color w:val="156082" w:themeColor="accent1"/>
        </w:rPr>
        <w:t>Provisioning Jig v3</w:t>
      </w:r>
      <w:r>
        <w:rPr>
          <w:b/>
          <w:bCs/>
          <w:color w:val="156082" w:themeColor="accent1"/>
        </w:rPr>
        <w:t xml:space="preserve"> Assembly Guide</w:t>
      </w:r>
    </w:p>
    <w:p w14:paraId="08D9ADC8" w14:textId="405F0827" w:rsidR="00A85FAF" w:rsidRDefault="00A85FAF" w:rsidP="00A85FAF">
      <w:pPr>
        <w:keepNext/>
        <w:rPr>
          <w:b/>
          <w:bCs/>
          <w:sz w:val="28"/>
          <w:szCs w:val="28"/>
        </w:rPr>
      </w:pPr>
      <w:r>
        <w:t>Project by Jesse Jabez Arendse</w:t>
      </w:r>
      <w:r>
        <w:br/>
        <w:t>Project for UCT EEE Department - Robyn Verrinder &amp; Justin Pead</w:t>
      </w:r>
      <w:r>
        <w:br/>
      </w:r>
      <w:r w:rsidR="00000000">
        <w:pict w14:anchorId="21EC8AE7">
          <v:rect id="_x0000_i1025" style="width:0;height:1.5pt" o:hralign="center" o:hrstd="t" o:hr="t" fillcolor="#a0a0a0" stroked="f"/>
        </w:pict>
      </w:r>
    </w:p>
    <w:bookmarkEnd w:id="0"/>
    <w:p w14:paraId="73C908B8" w14:textId="5B71065E" w:rsidR="00A85FAF" w:rsidRPr="005B3363" w:rsidRDefault="00A85FAF" w:rsidP="005B3363">
      <w:pPr>
        <w:keepNext/>
        <w:rPr>
          <w:b/>
          <w:bCs/>
          <w:sz w:val="28"/>
          <w:szCs w:val="28"/>
        </w:rPr>
      </w:pPr>
      <w:r w:rsidRPr="004C27C7">
        <w:rPr>
          <w:b/>
          <w:bCs/>
          <w:sz w:val="28"/>
          <w:szCs w:val="28"/>
        </w:rPr>
        <w:t>Assembly</w:t>
      </w:r>
      <w:r>
        <w:rPr>
          <w:b/>
          <w:bCs/>
          <w:sz w:val="28"/>
          <w:szCs w:val="28"/>
        </w:rPr>
        <w:t xml:space="preserve"> Considerations</w:t>
      </w:r>
      <w:r w:rsidRPr="004C27C7">
        <w:rPr>
          <w:b/>
          <w:bCs/>
          <w:sz w:val="28"/>
          <w:szCs w:val="28"/>
        </w:rPr>
        <w:t>:</w:t>
      </w:r>
    </w:p>
    <w:p w14:paraId="0260767B" w14:textId="77777777" w:rsidR="00A85FAF" w:rsidRDefault="00A85FAF" w:rsidP="00A85FAF">
      <w:pPr>
        <w:pStyle w:val="ListParagraph"/>
        <w:numPr>
          <w:ilvl w:val="0"/>
          <w:numId w:val="1"/>
        </w:numPr>
      </w:pPr>
      <w:r>
        <w:t>Optional STLink Cap to further prevent accidental shorts</w:t>
      </w:r>
    </w:p>
    <w:p w14:paraId="49ADF512" w14:textId="77777777" w:rsidR="00A85FAF" w:rsidRDefault="00A85FAF" w:rsidP="00A85FAF">
      <w:pPr>
        <w:pStyle w:val="ListParagraph"/>
        <w:numPr>
          <w:ilvl w:val="0"/>
          <w:numId w:val="1"/>
        </w:numPr>
      </w:pPr>
      <w:r>
        <w:t>Enclosure is self-locking</w:t>
      </w:r>
    </w:p>
    <w:p w14:paraId="319F89B6" w14:textId="77777777" w:rsidR="00A85FAF" w:rsidRDefault="00A85FAF" w:rsidP="00A85FAF">
      <w:pPr>
        <w:pStyle w:val="ListParagraph"/>
        <w:numPr>
          <w:ilvl w:val="0"/>
          <w:numId w:val="1"/>
        </w:numPr>
      </w:pPr>
      <w:r>
        <w:t>2x 10mm spacers are needed between the PCBs</w:t>
      </w:r>
    </w:p>
    <w:p w14:paraId="5072D140" w14:textId="77777777" w:rsidR="00A85FAF" w:rsidRDefault="00A85FAF" w:rsidP="00A85FAF">
      <w:pPr>
        <w:pStyle w:val="ListParagraph"/>
        <w:numPr>
          <w:ilvl w:val="0"/>
          <w:numId w:val="1"/>
        </w:numPr>
      </w:pPr>
      <w:r>
        <w:t>2x M2.5 Bolts &amp; Nuts should be used to secure the PCBs, or M2.5 Rods can be used to connect the Jig and the enclosure for table mounting</w:t>
      </w:r>
    </w:p>
    <w:p w14:paraId="5DD4BDCA" w14:textId="77777777" w:rsidR="00DD1669" w:rsidRDefault="00DD1669" w:rsidP="00113C09">
      <w:pPr>
        <w:keepNext/>
        <w:rPr>
          <w:b/>
          <w:bCs/>
          <w:sz w:val="28"/>
          <w:szCs w:val="28"/>
        </w:rPr>
      </w:pPr>
    </w:p>
    <w:p w14:paraId="1F5DFF35" w14:textId="77777777" w:rsidR="00DD1669" w:rsidRDefault="00DD1669" w:rsidP="00113C09">
      <w:pPr>
        <w:keepNext/>
        <w:rPr>
          <w:b/>
          <w:bCs/>
          <w:sz w:val="28"/>
          <w:szCs w:val="28"/>
        </w:rPr>
      </w:pPr>
    </w:p>
    <w:p w14:paraId="65F9EFEA" w14:textId="4581CB38" w:rsidR="00113C09" w:rsidRDefault="00113C09" w:rsidP="00113C09">
      <w:pPr>
        <w:keepNext/>
        <w:rPr>
          <w:b/>
          <w:bCs/>
          <w:sz w:val="28"/>
          <w:szCs w:val="28"/>
        </w:rPr>
      </w:pPr>
      <w:r w:rsidRPr="00113C09">
        <w:rPr>
          <w:b/>
          <w:bCs/>
          <w:sz w:val="28"/>
          <w:szCs w:val="28"/>
        </w:rPr>
        <w:t>Assembl</w:t>
      </w:r>
      <w:r w:rsidR="00DD1669">
        <w:rPr>
          <w:b/>
          <w:bCs/>
          <w:sz w:val="28"/>
          <w:szCs w:val="28"/>
        </w:rPr>
        <w:t>y Guidelines</w:t>
      </w:r>
      <w:r w:rsidRPr="00113C09">
        <w:rPr>
          <w:b/>
          <w:bCs/>
          <w:sz w:val="28"/>
          <w:szCs w:val="28"/>
        </w:rPr>
        <w:t>:</w:t>
      </w:r>
    </w:p>
    <w:p w14:paraId="415B771B" w14:textId="3D2E1149" w:rsidR="00DD1669" w:rsidRPr="00DD1669" w:rsidRDefault="00DD1669" w:rsidP="00113C09">
      <w:pPr>
        <w:keepNext/>
      </w:pPr>
      <w:r>
        <w:t>Solder POGO pins and headers</w:t>
      </w:r>
      <w:r w:rsidR="00AA1D03">
        <w:t xml:space="preserve"> ONLY</w:t>
      </w:r>
      <w:r>
        <w:t xml:space="preserve"> for each circled throughhole</w:t>
      </w:r>
    </w:p>
    <w:p w14:paraId="5FD25EB0" w14:textId="7B052B33" w:rsidR="00A85FAF" w:rsidRDefault="00DD1669" w:rsidP="00DD1669">
      <w:pPr>
        <w:jc w:val="center"/>
        <w:rPr>
          <w:b/>
          <w:bCs/>
          <w:sz w:val="28"/>
          <w:szCs w:val="28"/>
        </w:rPr>
      </w:pPr>
      <w:r>
        <w:rPr>
          <w:noProof/>
        </w:rPr>
        <w:drawing>
          <wp:inline distT="0" distB="0" distL="0" distR="0" wp14:anchorId="105731AD" wp14:editId="1B995AFF">
            <wp:extent cx="4495800" cy="3385299"/>
            <wp:effectExtent l="0" t="0" r="0" b="5715"/>
            <wp:docPr id="540946601" name="Picture 2" descr="A hand holding a green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946601" name="Picture 2" descr="A hand holding a green circuit boar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98351" cy="3387220"/>
                    </a:xfrm>
                    <a:prstGeom prst="rect">
                      <a:avLst/>
                    </a:prstGeom>
                    <a:noFill/>
                    <a:ln>
                      <a:noFill/>
                    </a:ln>
                  </pic:spPr>
                </pic:pic>
              </a:graphicData>
            </a:graphic>
          </wp:inline>
        </w:drawing>
      </w:r>
    </w:p>
    <w:p w14:paraId="5B0ADA33" w14:textId="77777777" w:rsidR="00DD1669" w:rsidRDefault="00DD1669" w:rsidP="00DD1669">
      <w:pPr>
        <w:jc w:val="center"/>
        <w:rPr>
          <w:b/>
          <w:bCs/>
          <w:sz w:val="28"/>
          <w:szCs w:val="28"/>
        </w:rPr>
      </w:pPr>
    </w:p>
    <w:p w14:paraId="22EB3E79" w14:textId="6FDB9557" w:rsidR="00DD1669" w:rsidRPr="00DD1669" w:rsidRDefault="00DD1669" w:rsidP="00DD1669">
      <w:r>
        <w:lastRenderedPageBreak/>
        <w:t>Place M2.5 Bolts through the PCB holes, POGO Support 3D print holes while ensuring each pin goes through their specific hole, and RPI. Secure with Nuts</w:t>
      </w:r>
    </w:p>
    <w:p w14:paraId="08905D1E" w14:textId="53382B0C" w:rsidR="00A7014D" w:rsidRDefault="00113C09" w:rsidP="00113C09">
      <w:pPr>
        <w:jc w:val="center"/>
      </w:pPr>
      <w:r>
        <w:rPr>
          <w:noProof/>
        </w:rPr>
        <w:drawing>
          <wp:inline distT="0" distB="0" distL="0" distR="0" wp14:anchorId="40AA22FB" wp14:editId="02BA5D18">
            <wp:extent cx="4086225" cy="3076893"/>
            <wp:effectExtent l="0" t="0" r="0" b="9525"/>
            <wp:docPr id="1391549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93618" cy="3082460"/>
                    </a:xfrm>
                    <a:prstGeom prst="rect">
                      <a:avLst/>
                    </a:prstGeom>
                    <a:noFill/>
                    <a:ln>
                      <a:noFill/>
                    </a:ln>
                  </pic:spPr>
                </pic:pic>
              </a:graphicData>
            </a:graphic>
          </wp:inline>
        </w:drawing>
      </w:r>
    </w:p>
    <w:p w14:paraId="486F108E" w14:textId="6E1EAE73" w:rsidR="00DD1669" w:rsidRDefault="00DD1669" w:rsidP="00DD1669">
      <w:r>
        <w:t>The enclosure base has slots for the excess bolt shafts to pass through, which also aligns and secures the PCBs.</w:t>
      </w:r>
    </w:p>
    <w:p w14:paraId="22968007" w14:textId="36E0FAFC" w:rsidR="00113C09" w:rsidRDefault="00DD1669" w:rsidP="00DD1669">
      <w:pPr>
        <w:jc w:val="center"/>
      </w:pPr>
      <w:r>
        <w:rPr>
          <w:noProof/>
        </w:rPr>
        <w:drawing>
          <wp:inline distT="0" distB="0" distL="0" distR="0" wp14:anchorId="6AE38FCF" wp14:editId="4D0A34D3">
            <wp:extent cx="4076700" cy="3069720"/>
            <wp:effectExtent l="0" t="0" r="0" b="0"/>
            <wp:docPr id="5132519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80938" cy="3072911"/>
                    </a:xfrm>
                    <a:prstGeom prst="rect">
                      <a:avLst/>
                    </a:prstGeom>
                    <a:noFill/>
                    <a:ln>
                      <a:noFill/>
                    </a:ln>
                  </pic:spPr>
                </pic:pic>
              </a:graphicData>
            </a:graphic>
          </wp:inline>
        </w:drawing>
      </w:r>
    </w:p>
    <w:p w14:paraId="5845B0BB" w14:textId="77777777" w:rsidR="00DD1669" w:rsidRDefault="00DD1669" w:rsidP="00DD1669">
      <w:pPr>
        <w:jc w:val="center"/>
      </w:pPr>
    </w:p>
    <w:p w14:paraId="1AE75A90" w14:textId="77777777" w:rsidR="00DD1669" w:rsidRDefault="00DD1669" w:rsidP="00DD1669">
      <w:pPr>
        <w:jc w:val="center"/>
      </w:pPr>
    </w:p>
    <w:p w14:paraId="21BEDADB" w14:textId="66C797A9" w:rsidR="00DD1669" w:rsidRDefault="00DD1669" w:rsidP="00DD1669">
      <w:r>
        <w:lastRenderedPageBreak/>
        <w:t>Complete the Jig with the lid, making sure the headers pass through the gaps of the lid and the protruding bits lock the enclosure. It’s quite tight and needs some force to assemble and dissemble. Plug in an already programmed debugger into the STLink slot to complete the Provisioning Jig Assembly.</w:t>
      </w:r>
    </w:p>
    <w:p w14:paraId="5EEFCDC7" w14:textId="7C38468E" w:rsidR="00DD1669" w:rsidRDefault="00DD1669" w:rsidP="00DD1669">
      <w:pPr>
        <w:jc w:val="center"/>
      </w:pPr>
      <w:r>
        <w:rPr>
          <w:noProof/>
        </w:rPr>
        <w:drawing>
          <wp:inline distT="0" distB="0" distL="0" distR="0" wp14:anchorId="2BD6397C" wp14:editId="74146240">
            <wp:extent cx="4324350" cy="3256199"/>
            <wp:effectExtent l="0" t="0" r="0" b="1905"/>
            <wp:docPr id="21389461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26063" cy="3257489"/>
                    </a:xfrm>
                    <a:prstGeom prst="rect">
                      <a:avLst/>
                    </a:prstGeom>
                    <a:noFill/>
                    <a:ln>
                      <a:noFill/>
                    </a:ln>
                  </pic:spPr>
                </pic:pic>
              </a:graphicData>
            </a:graphic>
          </wp:inline>
        </w:drawing>
      </w:r>
    </w:p>
    <w:p w14:paraId="1D8D1338" w14:textId="77777777" w:rsidR="00C900DB" w:rsidRDefault="00C900DB" w:rsidP="00C900DB"/>
    <w:p w14:paraId="1B60CC15" w14:textId="44E70945" w:rsidR="00C900DB" w:rsidRDefault="00C900DB" w:rsidP="00C900DB">
      <w:r>
        <w:t>An assembly video can be found on the gitrepo as well</w:t>
      </w:r>
      <w:r w:rsidR="00C66780">
        <w:t>.</w:t>
      </w:r>
    </w:p>
    <w:sectPr w:rsidR="00C900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B5517E"/>
    <w:multiLevelType w:val="hybridMultilevel"/>
    <w:tmpl w:val="2D6CE75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9687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14D"/>
    <w:rsid w:val="00113C09"/>
    <w:rsid w:val="005B3363"/>
    <w:rsid w:val="00A7014D"/>
    <w:rsid w:val="00A85FAF"/>
    <w:rsid w:val="00AA1D03"/>
    <w:rsid w:val="00B81997"/>
    <w:rsid w:val="00C66780"/>
    <w:rsid w:val="00C900DB"/>
    <w:rsid w:val="00D854F7"/>
    <w:rsid w:val="00DD1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FB455"/>
  <w15:chartTrackingRefBased/>
  <w15:docId w15:val="{CE254004-A0F6-4E8B-985D-5D42D9533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C09"/>
  </w:style>
  <w:style w:type="paragraph" w:styleId="Heading1">
    <w:name w:val="heading 1"/>
    <w:basedOn w:val="Normal"/>
    <w:next w:val="Normal"/>
    <w:link w:val="Heading1Char"/>
    <w:uiPriority w:val="9"/>
    <w:qFormat/>
    <w:rsid w:val="00A701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01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01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01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01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01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01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01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01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1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01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01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01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01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01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01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01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014D"/>
    <w:rPr>
      <w:rFonts w:eastAsiaTheme="majorEastAsia" w:cstheme="majorBidi"/>
      <w:color w:val="272727" w:themeColor="text1" w:themeTint="D8"/>
    </w:rPr>
  </w:style>
  <w:style w:type="paragraph" w:styleId="Title">
    <w:name w:val="Title"/>
    <w:basedOn w:val="Normal"/>
    <w:next w:val="Normal"/>
    <w:link w:val="TitleChar"/>
    <w:uiPriority w:val="10"/>
    <w:qFormat/>
    <w:rsid w:val="00A701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01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01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01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014D"/>
    <w:pPr>
      <w:spacing w:before="160"/>
      <w:jc w:val="center"/>
    </w:pPr>
    <w:rPr>
      <w:i/>
      <w:iCs/>
      <w:color w:val="404040" w:themeColor="text1" w:themeTint="BF"/>
    </w:rPr>
  </w:style>
  <w:style w:type="character" w:customStyle="1" w:styleId="QuoteChar">
    <w:name w:val="Quote Char"/>
    <w:basedOn w:val="DefaultParagraphFont"/>
    <w:link w:val="Quote"/>
    <w:uiPriority w:val="29"/>
    <w:rsid w:val="00A7014D"/>
    <w:rPr>
      <w:i/>
      <w:iCs/>
      <w:color w:val="404040" w:themeColor="text1" w:themeTint="BF"/>
    </w:rPr>
  </w:style>
  <w:style w:type="paragraph" w:styleId="ListParagraph">
    <w:name w:val="List Paragraph"/>
    <w:basedOn w:val="Normal"/>
    <w:uiPriority w:val="34"/>
    <w:qFormat/>
    <w:rsid w:val="00A7014D"/>
    <w:pPr>
      <w:ind w:left="720"/>
      <w:contextualSpacing/>
    </w:pPr>
  </w:style>
  <w:style w:type="character" w:styleId="IntenseEmphasis">
    <w:name w:val="Intense Emphasis"/>
    <w:basedOn w:val="DefaultParagraphFont"/>
    <w:uiPriority w:val="21"/>
    <w:qFormat/>
    <w:rsid w:val="00A7014D"/>
    <w:rPr>
      <w:i/>
      <w:iCs/>
      <w:color w:val="0F4761" w:themeColor="accent1" w:themeShade="BF"/>
    </w:rPr>
  </w:style>
  <w:style w:type="paragraph" w:styleId="IntenseQuote">
    <w:name w:val="Intense Quote"/>
    <w:basedOn w:val="Normal"/>
    <w:next w:val="Normal"/>
    <w:link w:val="IntenseQuoteChar"/>
    <w:uiPriority w:val="30"/>
    <w:qFormat/>
    <w:rsid w:val="00A701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014D"/>
    <w:rPr>
      <w:i/>
      <w:iCs/>
      <w:color w:val="0F4761" w:themeColor="accent1" w:themeShade="BF"/>
    </w:rPr>
  </w:style>
  <w:style w:type="character" w:styleId="IntenseReference">
    <w:name w:val="Intense Reference"/>
    <w:basedOn w:val="DefaultParagraphFont"/>
    <w:uiPriority w:val="32"/>
    <w:qFormat/>
    <w:rsid w:val="00A701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Arendse</dc:creator>
  <cp:keywords/>
  <dc:description/>
  <cp:lastModifiedBy>Jesse Arendse</cp:lastModifiedBy>
  <cp:revision>6</cp:revision>
  <dcterms:created xsi:type="dcterms:W3CDTF">2025-01-05T18:04:00Z</dcterms:created>
  <dcterms:modified xsi:type="dcterms:W3CDTF">2025-01-06T19:37:00Z</dcterms:modified>
</cp:coreProperties>
</file>