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41D" w:rsidRPr="00145D29" w:rsidRDefault="00801723">
      <w:pPr>
        <w:spacing w:after="0" w:line="259" w:lineRule="auto"/>
        <w:ind w:left="0" w:right="1589" w:firstLine="0"/>
        <w:jc w:val="right"/>
        <w:rPr>
          <w:rFonts w:ascii="Times New Roman" w:hAnsi="Times New Roman" w:cs="Times New Roman"/>
          <w:sz w:val="24"/>
          <w:szCs w:val="24"/>
        </w:rPr>
      </w:pPr>
      <w:r w:rsidRPr="00145D29">
        <w:rPr>
          <w:rFonts w:ascii="Times New Roman" w:hAnsi="Times New Roman" w:cs="Times New Roman"/>
          <w:b/>
          <w:sz w:val="24"/>
          <w:szCs w:val="24"/>
        </w:rPr>
        <w:t xml:space="preserve">THE LAND USE ACT AND RIGHTS OF OCCUPANCY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CONTENTS </w:t>
      </w:r>
    </w:p>
    <w:p w:rsidR="00DF041D" w:rsidRPr="00145D29" w:rsidRDefault="00801723">
      <w:pPr>
        <w:numPr>
          <w:ilvl w:val="0"/>
          <w:numId w:val="1"/>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Features of the Land Use Act  </w:t>
      </w:r>
    </w:p>
    <w:p w:rsidR="00DF041D" w:rsidRPr="00145D29" w:rsidRDefault="00801723">
      <w:pPr>
        <w:numPr>
          <w:ilvl w:val="0"/>
          <w:numId w:val="1"/>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State, Federal and Private Land holding </w:t>
      </w:r>
    </w:p>
    <w:p w:rsidR="00DF041D" w:rsidRPr="00145D29" w:rsidRDefault="00801723">
      <w:pPr>
        <w:numPr>
          <w:ilvl w:val="0"/>
          <w:numId w:val="1"/>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Right of Occupancy </w:t>
      </w:r>
    </w:p>
    <w:p w:rsidR="00DF041D" w:rsidRPr="00145D29" w:rsidRDefault="00801723">
      <w:pPr>
        <w:numPr>
          <w:ilvl w:val="0"/>
          <w:numId w:val="1"/>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Certificate of Occupancy </w:t>
      </w:r>
    </w:p>
    <w:p w:rsidR="00DF041D" w:rsidRPr="00145D29" w:rsidRDefault="00801723">
      <w:pPr>
        <w:numPr>
          <w:ilvl w:val="0"/>
          <w:numId w:val="1"/>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Determination of right of occupancy </w:t>
      </w:r>
    </w:p>
    <w:p w:rsidR="00DF041D" w:rsidRPr="00145D29" w:rsidRDefault="00801723">
      <w:pPr>
        <w:numPr>
          <w:ilvl w:val="0"/>
          <w:numId w:val="1"/>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Procedure for revocation </w:t>
      </w:r>
    </w:p>
    <w:p w:rsidR="00DF041D" w:rsidRPr="00145D29" w:rsidRDefault="00801723">
      <w:pPr>
        <w:numPr>
          <w:ilvl w:val="0"/>
          <w:numId w:val="1"/>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Compensation </w:t>
      </w:r>
    </w:p>
    <w:p w:rsidR="00DF041D" w:rsidRPr="00145D29" w:rsidRDefault="00801723">
      <w:pPr>
        <w:numPr>
          <w:ilvl w:val="0"/>
          <w:numId w:val="1"/>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Jurisdiction of Courts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rsidP="00200B4E">
      <w:pPr>
        <w:pStyle w:val="Heading1"/>
        <w:ind w:left="-5" w:right="0"/>
        <w:jc w:val="center"/>
        <w:rPr>
          <w:rFonts w:ascii="Times New Roman" w:hAnsi="Times New Roman" w:cs="Times New Roman"/>
          <w:sz w:val="24"/>
          <w:szCs w:val="24"/>
        </w:rPr>
      </w:pPr>
      <w:r w:rsidRPr="00145D29">
        <w:rPr>
          <w:rFonts w:ascii="Times New Roman" w:hAnsi="Times New Roman" w:cs="Times New Roman"/>
          <w:sz w:val="24"/>
          <w:szCs w:val="24"/>
        </w:rPr>
        <w:t>FEATURES OF THE LAND USE ACT</w:t>
      </w:r>
    </w:p>
    <w:p w:rsidR="00DF041D" w:rsidRPr="00145D29" w:rsidRDefault="00801723">
      <w:pPr>
        <w:numPr>
          <w:ilvl w:val="0"/>
          <w:numId w:val="2"/>
        </w:numPr>
        <w:ind w:right="4" w:hanging="721"/>
        <w:rPr>
          <w:rFonts w:ascii="Times New Roman" w:hAnsi="Times New Roman" w:cs="Times New Roman"/>
          <w:sz w:val="24"/>
          <w:szCs w:val="24"/>
        </w:rPr>
      </w:pPr>
      <w:r w:rsidRPr="00145D29">
        <w:rPr>
          <w:rFonts w:ascii="Times New Roman" w:hAnsi="Times New Roman" w:cs="Times New Roman"/>
          <w:sz w:val="24"/>
          <w:szCs w:val="24"/>
        </w:rPr>
        <w:t>was enacted as a decree and came into effect on the 29</w:t>
      </w:r>
      <w:r w:rsidRPr="00145D29">
        <w:rPr>
          <w:rFonts w:ascii="Times New Roman" w:hAnsi="Times New Roman" w:cs="Times New Roman"/>
          <w:sz w:val="24"/>
          <w:szCs w:val="24"/>
          <w:vertAlign w:val="superscript"/>
        </w:rPr>
        <w:t>th</w:t>
      </w:r>
      <w:r w:rsidRPr="00145D29">
        <w:rPr>
          <w:rFonts w:ascii="Times New Roman" w:hAnsi="Times New Roman" w:cs="Times New Roman"/>
          <w:sz w:val="24"/>
          <w:szCs w:val="24"/>
        </w:rPr>
        <w:t xml:space="preserve"> of March 1978 </w:t>
      </w:r>
    </w:p>
    <w:p w:rsidR="00DF041D" w:rsidRPr="00145D29" w:rsidRDefault="00801723">
      <w:pPr>
        <w:numPr>
          <w:ilvl w:val="0"/>
          <w:numId w:val="2"/>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It became an Act by virtue of the Adaptation of Laws (Re-designation of </w:t>
      </w:r>
    </w:p>
    <w:p w:rsidR="00DF041D" w:rsidRPr="00145D29" w:rsidRDefault="00801723">
      <w:pPr>
        <w:ind w:left="731" w:right="4"/>
        <w:rPr>
          <w:rFonts w:ascii="Times New Roman" w:hAnsi="Times New Roman" w:cs="Times New Roman"/>
          <w:sz w:val="24"/>
          <w:szCs w:val="24"/>
        </w:rPr>
      </w:pPr>
      <w:r w:rsidRPr="00145D29">
        <w:rPr>
          <w:rFonts w:ascii="Times New Roman" w:hAnsi="Times New Roman" w:cs="Times New Roman"/>
          <w:sz w:val="24"/>
          <w:szCs w:val="24"/>
        </w:rPr>
        <w:t xml:space="preserve">Decrees, etc.) Order 1980, sections 1 and 13 </w:t>
      </w:r>
    </w:p>
    <w:p w:rsidR="00DF041D" w:rsidRPr="00145D29" w:rsidRDefault="00801723">
      <w:pPr>
        <w:numPr>
          <w:ilvl w:val="0"/>
          <w:numId w:val="2"/>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sets out the framework for a national land policy in Nigeria </w:t>
      </w:r>
    </w:p>
    <w:p w:rsidR="00DF041D" w:rsidRPr="00145D29" w:rsidRDefault="00801723">
      <w:pPr>
        <w:numPr>
          <w:ilvl w:val="0"/>
          <w:numId w:val="2"/>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was enacted in order to resolve the difficulties surrounding land distribution and acquisition in Nigeria. </w:t>
      </w:r>
    </w:p>
    <w:p w:rsidR="00DF041D" w:rsidRPr="00145D29" w:rsidRDefault="00801723">
      <w:pPr>
        <w:numPr>
          <w:ilvl w:val="0"/>
          <w:numId w:val="2"/>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is an existing law and is at par with the CFRN 1999 (as amended), see </w:t>
      </w:r>
      <w:r w:rsidRPr="00145D29">
        <w:rPr>
          <w:rFonts w:ascii="Times New Roman" w:hAnsi="Times New Roman" w:cs="Times New Roman"/>
          <w:b/>
          <w:sz w:val="24"/>
          <w:szCs w:val="24"/>
        </w:rPr>
        <w:t>section 315(5) CFRN 1999</w:t>
      </w:r>
      <w:r w:rsidR="00200B4E" w:rsidRPr="00145D29">
        <w:rPr>
          <w:rFonts w:ascii="Times New Roman" w:hAnsi="Times New Roman" w:cs="Times New Roman"/>
          <w:b/>
          <w:sz w:val="24"/>
          <w:szCs w:val="24"/>
        </w:rPr>
        <w:t>.</w:t>
      </w:r>
      <w:r w:rsidRPr="00145D29">
        <w:rPr>
          <w:rFonts w:ascii="Times New Roman" w:hAnsi="Times New Roman" w:cs="Times New Roman"/>
          <w:b/>
          <w:sz w:val="24"/>
          <w:szCs w:val="24"/>
        </w:rPr>
        <w:t xml:space="preserve"> </w:t>
      </w:r>
    </w:p>
    <w:p w:rsidR="00DF041D" w:rsidRPr="00145D29" w:rsidRDefault="00801723">
      <w:pPr>
        <w:pStyle w:val="Heading1"/>
        <w:ind w:left="-5" w:right="0"/>
        <w:rPr>
          <w:rFonts w:ascii="Times New Roman" w:hAnsi="Times New Roman" w:cs="Times New Roman"/>
          <w:sz w:val="24"/>
          <w:szCs w:val="24"/>
        </w:rPr>
      </w:pPr>
      <w:r w:rsidRPr="00145D29">
        <w:rPr>
          <w:rFonts w:ascii="Times New Roman" w:hAnsi="Times New Roman" w:cs="Times New Roman"/>
          <w:b w:val="0"/>
          <w:sz w:val="24"/>
          <w:szCs w:val="24"/>
        </w:rPr>
        <w:t xml:space="preserve">In the case of </w:t>
      </w:r>
      <w:r w:rsidRPr="00145D29">
        <w:rPr>
          <w:rFonts w:ascii="Times New Roman" w:hAnsi="Times New Roman" w:cs="Times New Roman"/>
          <w:sz w:val="24"/>
          <w:szCs w:val="24"/>
        </w:rPr>
        <w:t xml:space="preserve">NIGERIAN INSTITUTE OF MEDICAL RESEARCH V. NATIONAL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b/>
          <w:sz w:val="24"/>
          <w:szCs w:val="24"/>
        </w:rPr>
        <w:t>UNION OF ROAD TRANSPORT WORKERS</w:t>
      </w:r>
      <w:r w:rsidRPr="00145D29">
        <w:rPr>
          <w:rFonts w:ascii="Times New Roman" w:hAnsi="Times New Roman" w:cs="Times New Roman"/>
          <w:sz w:val="24"/>
          <w:szCs w:val="24"/>
        </w:rPr>
        <w:t xml:space="preserve"> (2010) 12 NWLR (Pt 1208) 328 at 329, it was held that the Land Use Act is an existing law by virtue of section 315(5) of the 1999 Nigerian Constitution. The Act is a special federal enactment which has been accorded extraordinary status by the Constitution. Though it is not an integral part of the Constitution, it claims special protection under section 9(2) of the Constitution in terms of its amendment. </w:t>
      </w:r>
    </w:p>
    <w:p w:rsidR="00DF041D" w:rsidRPr="00145D29" w:rsidRDefault="00801723">
      <w:pPr>
        <w:ind w:left="706" w:right="4" w:hanging="721"/>
        <w:rPr>
          <w:rFonts w:ascii="Times New Roman" w:hAnsi="Times New Roman" w:cs="Times New Roman"/>
          <w:sz w:val="24"/>
          <w:szCs w:val="24"/>
        </w:rPr>
      </w:pPr>
      <w:r w:rsidRPr="00145D29">
        <w:rPr>
          <w:rFonts w:ascii="Times New Roman" w:hAnsi="Times New Roman" w:cs="Times New Roman"/>
          <w:sz w:val="24"/>
          <w:szCs w:val="24"/>
        </w:rPr>
        <w:t xml:space="preserve">f. </w:t>
      </w:r>
      <w:r w:rsidRPr="00145D29">
        <w:rPr>
          <w:rFonts w:ascii="Times New Roman" w:hAnsi="Times New Roman" w:cs="Times New Roman"/>
          <w:sz w:val="24"/>
          <w:szCs w:val="24"/>
        </w:rPr>
        <w:tab/>
        <w:t xml:space="preserve">created a tripartite system of land holding in Nigeria – state, federal and private.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rsidP="00AE6B45">
      <w:pPr>
        <w:ind w:left="-5" w:right="4"/>
        <w:jc w:val="center"/>
        <w:rPr>
          <w:rFonts w:ascii="Times New Roman" w:hAnsi="Times New Roman" w:cs="Times New Roman"/>
          <w:b/>
          <w:sz w:val="24"/>
          <w:szCs w:val="24"/>
        </w:rPr>
      </w:pPr>
      <w:r w:rsidRPr="00145D29">
        <w:rPr>
          <w:rFonts w:ascii="Times New Roman" w:hAnsi="Times New Roman" w:cs="Times New Roman"/>
          <w:b/>
          <w:sz w:val="24"/>
          <w:szCs w:val="24"/>
        </w:rPr>
        <w:t>State Land Holding</w:t>
      </w:r>
    </w:p>
    <w:p w:rsidR="00DF041D" w:rsidRPr="00145D29" w:rsidRDefault="00801723">
      <w:pPr>
        <w:numPr>
          <w:ilvl w:val="0"/>
          <w:numId w:val="3"/>
        </w:numPr>
        <w:ind w:right="4" w:hanging="721"/>
        <w:rPr>
          <w:rFonts w:ascii="Times New Roman" w:hAnsi="Times New Roman" w:cs="Times New Roman"/>
          <w:sz w:val="24"/>
          <w:szCs w:val="24"/>
        </w:rPr>
      </w:pPr>
      <w:r w:rsidRPr="00145D29">
        <w:rPr>
          <w:rFonts w:ascii="Times New Roman" w:hAnsi="Times New Roman" w:cs="Times New Roman"/>
          <w:b/>
          <w:sz w:val="24"/>
          <w:szCs w:val="24"/>
        </w:rPr>
        <w:t>Section 1</w:t>
      </w:r>
      <w:r w:rsidRPr="00145D29">
        <w:rPr>
          <w:rFonts w:ascii="Times New Roman" w:hAnsi="Times New Roman" w:cs="Times New Roman"/>
          <w:sz w:val="24"/>
          <w:szCs w:val="24"/>
        </w:rPr>
        <w:t xml:space="preserve"> vests the radical title to land in the State Governor who is considered a trustee of all land in a state for the benefit of all Nigerians. </w:t>
      </w:r>
    </w:p>
    <w:p w:rsidR="00DF041D" w:rsidRPr="00145D29" w:rsidRDefault="00801723">
      <w:pPr>
        <w:numPr>
          <w:ilvl w:val="0"/>
          <w:numId w:val="3"/>
        </w:numPr>
        <w:ind w:right="4" w:hanging="721"/>
        <w:rPr>
          <w:rFonts w:ascii="Times New Roman" w:hAnsi="Times New Roman" w:cs="Times New Roman"/>
          <w:sz w:val="24"/>
          <w:szCs w:val="24"/>
        </w:rPr>
      </w:pPr>
      <w:r w:rsidRPr="00145D29">
        <w:rPr>
          <w:rFonts w:ascii="Times New Roman" w:hAnsi="Times New Roman" w:cs="Times New Roman"/>
          <w:b/>
          <w:sz w:val="24"/>
          <w:szCs w:val="24"/>
        </w:rPr>
        <w:t>Section 3</w:t>
      </w:r>
      <w:r w:rsidRPr="00145D29">
        <w:rPr>
          <w:rFonts w:ascii="Times New Roman" w:hAnsi="Times New Roman" w:cs="Times New Roman"/>
          <w:sz w:val="24"/>
          <w:szCs w:val="24"/>
        </w:rPr>
        <w:t xml:space="preserve"> empowers the Governor to designate certain parts of the state as urban areas. The rest is classified as non-urban areas. </w:t>
      </w:r>
    </w:p>
    <w:p w:rsidR="00DF041D" w:rsidRPr="00145D29" w:rsidRDefault="00801723">
      <w:pPr>
        <w:numPr>
          <w:ilvl w:val="0"/>
          <w:numId w:val="3"/>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By </w:t>
      </w:r>
      <w:r w:rsidRPr="00145D29">
        <w:rPr>
          <w:rFonts w:ascii="Times New Roman" w:hAnsi="Times New Roman" w:cs="Times New Roman"/>
          <w:b/>
          <w:sz w:val="24"/>
          <w:szCs w:val="24"/>
        </w:rPr>
        <w:t>section 2(1)(a)</w:t>
      </w:r>
      <w:r w:rsidRPr="00145D29">
        <w:rPr>
          <w:rFonts w:ascii="Times New Roman" w:hAnsi="Times New Roman" w:cs="Times New Roman"/>
          <w:sz w:val="24"/>
          <w:szCs w:val="24"/>
        </w:rPr>
        <w:t xml:space="preserve">, land in urban areas </w:t>
      </w:r>
      <w:proofErr w:type="gramStart"/>
      <w:r w:rsidRPr="00145D29">
        <w:rPr>
          <w:rFonts w:ascii="Times New Roman" w:hAnsi="Times New Roman" w:cs="Times New Roman"/>
          <w:sz w:val="24"/>
          <w:szCs w:val="24"/>
        </w:rPr>
        <w:t>are</w:t>
      </w:r>
      <w:proofErr w:type="gramEnd"/>
      <w:r w:rsidRPr="00145D29">
        <w:rPr>
          <w:rFonts w:ascii="Times New Roman" w:hAnsi="Times New Roman" w:cs="Times New Roman"/>
          <w:sz w:val="24"/>
          <w:szCs w:val="24"/>
        </w:rPr>
        <w:t xml:space="preserve"> under the management and control of the Governor. All other lands are under the management and control of the Local Government. See </w:t>
      </w:r>
      <w:r w:rsidRPr="00145D29">
        <w:rPr>
          <w:rFonts w:ascii="Times New Roman" w:hAnsi="Times New Roman" w:cs="Times New Roman"/>
          <w:b/>
          <w:sz w:val="24"/>
          <w:szCs w:val="24"/>
        </w:rPr>
        <w:t>sections 2(1)(b)</w:t>
      </w:r>
      <w:r w:rsidRPr="00145D29">
        <w:rPr>
          <w:rFonts w:ascii="Times New Roman" w:hAnsi="Times New Roman" w:cs="Times New Roman"/>
          <w:sz w:val="24"/>
          <w:szCs w:val="24"/>
        </w:rPr>
        <w:t xml:space="preserve">. </w:t>
      </w:r>
    </w:p>
    <w:p w:rsidR="00DF041D" w:rsidRPr="00145D29" w:rsidRDefault="00801723">
      <w:pPr>
        <w:numPr>
          <w:ilvl w:val="0"/>
          <w:numId w:val="3"/>
        </w:numPr>
        <w:spacing w:after="1" w:line="257" w:lineRule="auto"/>
        <w:ind w:right="4" w:hanging="721"/>
        <w:rPr>
          <w:rFonts w:ascii="Times New Roman" w:hAnsi="Times New Roman" w:cs="Times New Roman"/>
          <w:sz w:val="24"/>
          <w:szCs w:val="24"/>
        </w:rPr>
      </w:pPr>
      <w:r w:rsidRPr="00145D29">
        <w:rPr>
          <w:rFonts w:ascii="Times New Roman" w:hAnsi="Times New Roman" w:cs="Times New Roman"/>
          <w:b/>
          <w:sz w:val="24"/>
          <w:szCs w:val="24"/>
        </w:rPr>
        <w:t>Section 2(2)</w:t>
      </w:r>
      <w:r w:rsidRPr="00145D29">
        <w:rPr>
          <w:rFonts w:ascii="Times New Roman" w:hAnsi="Times New Roman" w:cs="Times New Roman"/>
          <w:sz w:val="24"/>
          <w:szCs w:val="24"/>
        </w:rPr>
        <w:t xml:space="preserve"> establishes an advisory body called the “Land Use </w:t>
      </w:r>
      <w:proofErr w:type="gramStart"/>
      <w:r w:rsidRPr="00145D29">
        <w:rPr>
          <w:rFonts w:ascii="Times New Roman" w:hAnsi="Times New Roman" w:cs="Times New Roman"/>
          <w:sz w:val="24"/>
          <w:szCs w:val="24"/>
        </w:rPr>
        <w:t>And</w:t>
      </w:r>
      <w:proofErr w:type="gramEnd"/>
      <w:r w:rsidRPr="00145D29">
        <w:rPr>
          <w:rFonts w:ascii="Times New Roman" w:hAnsi="Times New Roman" w:cs="Times New Roman"/>
          <w:sz w:val="24"/>
          <w:szCs w:val="24"/>
        </w:rPr>
        <w:t xml:space="preserve"> Allocation Committee” to assist the Governor. A similar body called the “Land Allocation Advisory Committee” is established by </w:t>
      </w:r>
      <w:r w:rsidRPr="00145D29">
        <w:rPr>
          <w:rFonts w:ascii="Times New Roman" w:hAnsi="Times New Roman" w:cs="Times New Roman"/>
          <w:b/>
          <w:sz w:val="24"/>
          <w:szCs w:val="24"/>
        </w:rPr>
        <w:t>section 2(5)</w:t>
      </w:r>
      <w:r w:rsidRPr="00145D29">
        <w:rPr>
          <w:rFonts w:ascii="Times New Roman" w:hAnsi="Times New Roman" w:cs="Times New Roman"/>
          <w:sz w:val="24"/>
          <w:szCs w:val="24"/>
        </w:rPr>
        <w:t xml:space="preserve"> to assist the Local Government.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F61444" w:rsidRPr="00145D29" w:rsidRDefault="00F61444">
      <w:pPr>
        <w:ind w:left="-5" w:right="4"/>
        <w:rPr>
          <w:rFonts w:ascii="Times New Roman" w:hAnsi="Times New Roman" w:cs="Times New Roman"/>
          <w:sz w:val="24"/>
          <w:szCs w:val="24"/>
        </w:rPr>
      </w:pPr>
    </w:p>
    <w:p w:rsidR="00F61444" w:rsidRPr="00145D29" w:rsidRDefault="00F61444">
      <w:pPr>
        <w:ind w:left="-5" w:right="4"/>
        <w:rPr>
          <w:rFonts w:ascii="Times New Roman" w:hAnsi="Times New Roman" w:cs="Times New Roman"/>
          <w:sz w:val="24"/>
          <w:szCs w:val="24"/>
        </w:rPr>
      </w:pPr>
    </w:p>
    <w:p w:rsidR="00DF041D" w:rsidRPr="00145D29" w:rsidRDefault="00801723" w:rsidP="00F61444">
      <w:pPr>
        <w:ind w:left="-5" w:right="4"/>
        <w:jc w:val="center"/>
        <w:rPr>
          <w:rFonts w:ascii="Times New Roman" w:hAnsi="Times New Roman" w:cs="Times New Roman"/>
          <w:b/>
          <w:sz w:val="24"/>
          <w:szCs w:val="24"/>
        </w:rPr>
      </w:pPr>
      <w:r w:rsidRPr="00145D29">
        <w:rPr>
          <w:rFonts w:ascii="Times New Roman" w:hAnsi="Times New Roman" w:cs="Times New Roman"/>
          <w:b/>
          <w:sz w:val="24"/>
          <w:szCs w:val="24"/>
        </w:rPr>
        <w:t>Federal Land Holding</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b/>
          <w:sz w:val="24"/>
          <w:szCs w:val="24"/>
        </w:rPr>
        <w:lastRenderedPageBreak/>
        <w:t>Section 49(1)</w:t>
      </w:r>
      <w:r w:rsidRPr="00145D29">
        <w:rPr>
          <w:rFonts w:ascii="Times New Roman" w:hAnsi="Times New Roman" w:cs="Times New Roman"/>
          <w:sz w:val="24"/>
          <w:szCs w:val="24"/>
        </w:rPr>
        <w:t xml:space="preserve"> exempts land vested in the Federal Government and its agencies before the commencement of the Act from land over which title is vested in the Governor.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rsidP="00D72A0B">
      <w:pPr>
        <w:ind w:left="-5" w:right="4"/>
        <w:jc w:val="center"/>
        <w:rPr>
          <w:rFonts w:ascii="Times New Roman" w:hAnsi="Times New Roman" w:cs="Times New Roman"/>
          <w:b/>
          <w:sz w:val="24"/>
          <w:szCs w:val="24"/>
        </w:rPr>
      </w:pPr>
      <w:r w:rsidRPr="00145D29">
        <w:rPr>
          <w:rFonts w:ascii="Times New Roman" w:hAnsi="Times New Roman" w:cs="Times New Roman"/>
          <w:b/>
          <w:sz w:val="24"/>
          <w:szCs w:val="24"/>
        </w:rPr>
        <w:t>Private Land Holding</w:t>
      </w:r>
    </w:p>
    <w:p w:rsidR="00DF041D" w:rsidRPr="00145D29" w:rsidRDefault="00801723" w:rsidP="00145D29">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Here, all that the individual can exercise is a right of occupancy. </w:t>
      </w:r>
      <w:r w:rsidRPr="00145D29">
        <w:rPr>
          <w:rFonts w:ascii="Times New Roman" w:hAnsi="Times New Roman" w:cs="Times New Roman"/>
          <w:b/>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b/>
          <w:sz w:val="24"/>
          <w:szCs w:val="24"/>
        </w:rPr>
        <w:t xml:space="preserve"> </w:t>
      </w:r>
    </w:p>
    <w:p w:rsidR="00200B4E" w:rsidRPr="00145D29" w:rsidRDefault="00801723" w:rsidP="00FE606E">
      <w:pPr>
        <w:pStyle w:val="Heading1"/>
        <w:ind w:left="-5" w:right="0"/>
        <w:jc w:val="center"/>
        <w:rPr>
          <w:rFonts w:ascii="Times New Roman" w:hAnsi="Times New Roman" w:cs="Times New Roman"/>
          <w:sz w:val="24"/>
          <w:szCs w:val="24"/>
        </w:rPr>
      </w:pPr>
      <w:r w:rsidRPr="00145D29">
        <w:rPr>
          <w:rFonts w:ascii="Times New Roman" w:hAnsi="Times New Roman" w:cs="Times New Roman"/>
          <w:sz w:val="24"/>
          <w:szCs w:val="24"/>
        </w:rPr>
        <w:t>RIGHT OF OCCUPANCY</w:t>
      </w:r>
    </w:p>
    <w:p w:rsidR="008C76B1" w:rsidRPr="00145D29" w:rsidRDefault="008C76B1">
      <w:pPr>
        <w:pStyle w:val="Heading1"/>
        <w:ind w:left="-5" w:right="0"/>
        <w:rPr>
          <w:rFonts w:ascii="Times New Roman" w:hAnsi="Times New Roman" w:cs="Times New Roman"/>
          <w:sz w:val="24"/>
          <w:szCs w:val="24"/>
        </w:rPr>
      </w:pPr>
    </w:p>
    <w:p w:rsidR="00DF041D" w:rsidRPr="00145D29" w:rsidRDefault="00801723" w:rsidP="008C76B1">
      <w:pPr>
        <w:pStyle w:val="Heading1"/>
        <w:ind w:left="-5" w:right="0"/>
        <w:jc w:val="center"/>
        <w:rPr>
          <w:rFonts w:ascii="Times New Roman" w:hAnsi="Times New Roman" w:cs="Times New Roman"/>
          <w:sz w:val="24"/>
          <w:szCs w:val="24"/>
        </w:rPr>
      </w:pPr>
      <w:r w:rsidRPr="00145D29">
        <w:rPr>
          <w:rFonts w:ascii="Times New Roman" w:hAnsi="Times New Roman" w:cs="Times New Roman"/>
          <w:sz w:val="24"/>
          <w:szCs w:val="24"/>
        </w:rPr>
        <w:t>Nature of a right of occupancy</w:t>
      </w:r>
    </w:p>
    <w:p w:rsidR="00DF041D" w:rsidRPr="00145D29" w:rsidRDefault="00801723">
      <w:pPr>
        <w:numPr>
          <w:ilvl w:val="0"/>
          <w:numId w:val="4"/>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a right of occupancy is the maximum interest which a private individual can enjoy over land in Nigeria. </w:t>
      </w:r>
    </w:p>
    <w:p w:rsidR="00DF041D" w:rsidRPr="00145D29" w:rsidRDefault="00801723">
      <w:pPr>
        <w:numPr>
          <w:ilvl w:val="0"/>
          <w:numId w:val="4"/>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a person entitled to it is called a holder. </w:t>
      </w:r>
    </w:p>
    <w:p w:rsidR="00DF041D" w:rsidRPr="00145D29" w:rsidRDefault="00801723">
      <w:pPr>
        <w:numPr>
          <w:ilvl w:val="0"/>
          <w:numId w:val="4"/>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a holder may be a sole or a group. </w:t>
      </w:r>
    </w:p>
    <w:p w:rsidR="008C76B1" w:rsidRPr="00145D29" w:rsidRDefault="008C76B1">
      <w:pPr>
        <w:pStyle w:val="Heading1"/>
        <w:ind w:left="-5" w:right="0"/>
        <w:rPr>
          <w:rFonts w:ascii="Times New Roman" w:hAnsi="Times New Roman" w:cs="Times New Roman"/>
          <w:sz w:val="24"/>
          <w:szCs w:val="24"/>
        </w:rPr>
      </w:pPr>
    </w:p>
    <w:p w:rsidR="00DF041D" w:rsidRPr="00145D29" w:rsidRDefault="00801723" w:rsidP="008C76B1">
      <w:pPr>
        <w:pStyle w:val="Heading1"/>
        <w:ind w:left="-5" w:right="0"/>
        <w:jc w:val="center"/>
        <w:rPr>
          <w:rFonts w:ascii="Times New Roman" w:hAnsi="Times New Roman" w:cs="Times New Roman"/>
          <w:sz w:val="24"/>
          <w:szCs w:val="24"/>
        </w:rPr>
      </w:pPr>
      <w:r w:rsidRPr="00145D29">
        <w:rPr>
          <w:rFonts w:ascii="Times New Roman" w:hAnsi="Times New Roman" w:cs="Times New Roman"/>
          <w:sz w:val="24"/>
          <w:szCs w:val="24"/>
        </w:rPr>
        <w:t>Types of right of occupancy</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It may be statutory or customary, actual(express) or implied(deemed). </w:t>
      </w:r>
      <w:r w:rsidRPr="00145D29">
        <w:rPr>
          <w:rFonts w:ascii="Times New Roman" w:hAnsi="Times New Roman" w:cs="Times New Roman"/>
          <w:b/>
          <w:sz w:val="24"/>
          <w:szCs w:val="24"/>
        </w:rPr>
        <w:t>Statutory right of occupancy</w:t>
      </w:r>
      <w:r w:rsidRPr="00145D29">
        <w:rPr>
          <w:rFonts w:ascii="Times New Roman" w:hAnsi="Times New Roman" w:cs="Times New Roman"/>
          <w:sz w:val="24"/>
          <w:szCs w:val="24"/>
        </w:rPr>
        <w:t xml:space="preserve"> </w:t>
      </w:r>
      <w:proofErr w:type="gramStart"/>
      <w:r w:rsidRPr="00145D29">
        <w:rPr>
          <w:rFonts w:ascii="Times New Roman" w:hAnsi="Times New Roman" w:cs="Times New Roman"/>
          <w:sz w:val="24"/>
          <w:szCs w:val="24"/>
        </w:rPr>
        <w:t xml:space="preserve">-  </w:t>
      </w:r>
      <w:r w:rsidRPr="00145D29">
        <w:rPr>
          <w:rFonts w:ascii="Times New Roman" w:hAnsi="Times New Roman" w:cs="Times New Roman"/>
          <w:b/>
          <w:sz w:val="24"/>
          <w:szCs w:val="24"/>
        </w:rPr>
        <w:t>section</w:t>
      </w:r>
      <w:proofErr w:type="gramEnd"/>
      <w:r w:rsidRPr="00145D29">
        <w:rPr>
          <w:rFonts w:ascii="Times New Roman" w:hAnsi="Times New Roman" w:cs="Times New Roman"/>
          <w:b/>
          <w:sz w:val="24"/>
          <w:szCs w:val="24"/>
        </w:rPr>
        <w:t xml:space="preserve"> 51(1)</w:t>
      </w:r>
      <w:r w:rsidRPr="00145D29">
        <w:rPr>
          <w:rFonts w:ascii="Times New Roman" w:hAnsi="Times New Roman" w:cs="Times New Roman"/>
          <w:sz w:val="24"/>
          <w:szCs w:val="24"/>
        </w:rPr>
        <w:t xml:space="preserve">: this is a right which could be expressly granted by the Governor or deemed issued by operation of the Act over land in an urban area. </w:t>
      </w:r>
    </w:p>
    <w:p w:rsidR="00DF041D" w:rsidRPr="00145D29" w:rsidRDefault="00801723">
      <w:pPr>
        <w:numPr>
          <w:ilvl w:val="0"/>
          <w:numId w:val="5"/>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Express/Actual Grant – </w:t>
      </w:r>
      <w:r w:rsidRPr="00145D29">
        <w:rPr>
          <w:rFonts w:ascii="Times New Roman" w:hAnsi="Times New Roman" w:cs="Times New Roman"/>
          <w:b/>
          <w:sz w:val="24"/>
          <w:szCs w:val="24"/>
        </w:rPr>
        <w:t>section 5(1)(a)</w:t>
      </w:r>
      <w:r w:rsidRPr="00145D29">
        <w:rPr>
          <w:rFonts w:ascii="Times New Roman" w:hAnsi="Times New Roman" w:cs="Times New Roman"/>
          <w:sz w:val="24"/>
          <w:szCs w:val="24"/>
        </w:rPr>
        <w:t xml:space="preserve">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This is when the Governor grants a statutory right of occupancy to any person for any purpose for land in an urban area or elsewhere. Such right of occupancy must be granted for a definite term in accordance with </w:t>
      </w:r>
      <w:r w:rsidRPr="00145D29">
        <w:rPr>
          <w:rFonts w:ascii="Times New Roman" w:hAnsi="Times New Roman" w:cs="Times New Roman"/>
          <w:b/>
          <w:sz w:val="24"/>
          <w:szCs w:val="24"/>
        </w:rPr>
        <w:t>section 8</w:t>
      </w:r>
      <w:r w:rsidRPr="00145D29">
        <w:rPr>
          <w:rFonts w:ascii="Times New Roman" w:hAnsi="Times New Roman" w:cs="Times New Roman"/>
          <w:sz w:val="24"/>
          <w:szCs w:val="24"/>
        </w:rPr>
        <w:t xml:space="preserve">. </w:t>
      </w:r>
    </w:p>
    <w:p w:rsidR="00DF041D" w:rsidRPr="00145D29" w:rsidRDefault="00801723">
      <w:pPr>
        <w:numPr>
          <w:ilvl w:val="0"/>
          <w:numId w:val="5"/>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Deemed/Implied Issue –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A statutory right of occupancy is deemed to be issued to a person in whom land in an urban area was vested at the commencement of the Act in respect of developed or undeveloped land. </w:t>
      </w:r>
    </w:p>
    <w:p w:rsidR="00DF041D" w:rsidRPr="00145D29" w:rsidRDefault="00801723">
      <w:pPr>
        <w:numPr>
          <w:ilvl w:val="0"/>
          <w:numId w:val="6"/>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Developed land – land in which there is any physical improvement such as electricity, drainage, building, etc. See </w:t>
      </w:r>
      <w:r w:rsidRPr="00145D29">
        <w:rPr>
          <w:rFonts w:ascii="Times New Roman" w:hAnsi="Times New Roman" w:cs="Times New Roman"/>
          <w:b/>
          <w:sz w:val="24"/>
          <w:szCs w:val="24"/>
        </w:rPr>
        <w:t>section 34(2); 51(1)</w:t>
      </w:r>
      <w:r w:rsidRPr="00145D29">
        <w:rPr>
          <w:rFonts w:ascii="Times New Roman" w:hAnsi="Times New Roman" w:cs="Times New Roman"/>
          <w:sz w:val="24"/>
          <w:szCs w:val="24"/>
        </w:rPr>
        <w:t xml:space="preserve">. </w:t>
      </w:r>
    </w:p>
    <w:p w:rsidR="00DF041D" w:rsidRPr="00145D29" w:rsidRDefault="00801723">
      <w:pPr>
        <w:numPr>
          <w:ilvl w:val="0"/>
          <w:numId w:val="6"/>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Undeveloped land – bare land, without any improvements, </w:t>
      </w:r>
      <w:r w:rsidRPr="00145D29">
        <w:rPr>
          <w:rFonts w:ascii="Times New Roman" w:hAnsi="Times New Roman" w:cs="Times New Roman"/>
          <w:b/>
          <w:sz w:val="24"/>
          <w:szCs w:val="24"/>
        </w:rPr>
        <w:t>section 34(5</w:t>
      </w:r>
      <w:r w:rsidRPr="00145D29">
        <w:rPr>
          <w:rFonts w:ascii="Times New Roman" w:hAnsi="Times New Roman" w:cs="Times New Roman"/>
          <w:sz w:val="24"/>
          <w:szCs w:val="24"/>
        </w:rPr>
        <w:t xml:space="preserve">).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b/>
          <w:sz w:val="24"/>
          <w:szCs w:val="24"/>
        </w:rPr>
        <w:t>Customary right of occupancy – section 51(1)</w:t>
      </w:r>
      <w:r w:rsidRPr="00145D29">
        <w:rPr>
          <w:rFonts w:ascii="Times New Roman" w:hAnsi="Times New Roman" w:cs="Times New Roman"/>
          <w:sz w:val="24"/>
          <w:szCs w:val="24"/>
        </w:rPr>
        <w:t xml:space="preserve">: right granted by the Local Government over land not in urban area. It may be expressly or impliedly acquired. </w:t>
      </w:r>
    </w:p>
    <w:p w:rsidR="00DF041D" w:rsidRPr="00145D29" w:rsidRDefault="00801723">
      <w:pPr>
        <w:numPr>
          <w:ilvl w:val="0"/>
          <w:numId w:val="7"/>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Express Grant – </w:t>
      </w:r>
      <w:r w:rsidRPr="00145D29">
        <w:rPr>
          <w:rFonts w:ascii="Times New Roman" w:hAnsi="Times New Roman" w:cs="Times New Roman"/>
          <w:b/>
          <w:sz w:val="24"/>
          <w:szCs w:val="24"/>
        </w:rPr>
        <w:t>section 6(1)</w:t>
      </w:r>
      <w:r w:rsidRPr="00145D29">
        <w:rPr>
          <w:rFonts w:ascii="Times New Roman" w:hAnsi="Times New Roman" w:cs="Times New Roman"/>
          <w:sz w:val="24"/>
          <w:szCs w:val="24"/>
        </w:rPr>
        <w:t xml:space="preserve">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This is where a Local Government grants a customary right of occupancy to any person or organization over land not in an urban area for agricultural or other purposes ancillary to agriculture.  </w:t>
      </w:r>
    </w:p>
    <w:p w:rsidR="00DF041D" w:rsidRPr="00145D29" w:rsidRDefault="00801723">
      <w:pPr>
        <w:numPr>
          <w:ilvl w:val="0"/>
          <w:numId w:val="7"/>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Deemed Issue: this could be for  </w:t>
      </w:r>
    </w:p>
    <w:p w:rsidR="00DF041D" w:rsidRPr="00145D29" w:rsidRDefault="00801723">
      <w:pPr>
        <w:numPr>
          <w:ilvl w:val="0"/>
          <w:numId w:val="8"/>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Developed land – </w:t>
      </w:r>
      <w:r w:rsidRPr="00145D29">
        <w:rPr>
          <w:rFonts w:ascii="Times New Roman" w:hAnsi="Times New Roman" w:cs="Times New Roman"/>
          <w:b/>
          <w:sz w:val="24"/>
          <w:szCs w:val="24"/>
        </w:rPr>
        <w:t>section 36(4</w:t>
      </w:r>
      <w:r w:rsidRPr="00145D29">
        <w:rPr>
          <w:rFonts w:ascii="Times New Roman" w:hAnsi="Times New Roman" w:cs="Times New Roman"/>
          <w:sz w:val="24"/>
          <w:szCs w:val="24"/>
        </w:rPr>
        <w:t xml:space="preserve">) or </w:t>
      </w:r>
    </w:p>
    <w:p w:rsidR="00DF041D" w:rsidRPr="00145D29" w:rsidRDefault="00801723">
      <w:pPr>
        <w:numPr>
          <w:ilvl w:val="0"/>
          <w:numId w:val="8"/>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Agricultural land – </w:t>
      </w:r>
      <w:r w:rsidRPr="00145D29">
        <w:rPr>
          <w:rFonts w:ascii="Times New Roman" w:hAnsi="Times New Roman" w:cs="Times New Roman"/>
          <w:b/>
          <w:sz w:val="24"/>
          <w:szCs w:val="24"/>
        </w:rPr>
        <w:t xml:space="preserve">section 36(1) </w:t>
      </w:r>
      <w:r w:rsidRPr="00145D29">
        <w:rPr>
          <w:rFonts w:ascii="Times New Roman" w:hAnsi="Times New Roman" w:cs="Times New Roman"/>
          <w:sz w:val="24"/>
          <w:szCs w:val="24"/>
        </w:rPr>
        <w:t xml:space="preserve">and </w:t>
      </w:r>
      <w:r w:rsidRPr="00145D29">
        <w:rPr>
          <w:rFonts w:ascii="Times New Roman" w:hAnsi="Times New Roman" w:cs="Times New Roman"/>
          <w:b/>
          <w:sz w:val="24"/>
          <w:szCs w:val="24"/>
        </w:rPr>
        <w:t xml:space="preserve">(2)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In any case, the holder of the deemed grant could choose to </w:t>
      </w:r>
      <w:r w:rsidRPr="00145D29">
        <w:rPr>
          <w:rFonts w:ascii="Times New Roman" w:hAnsi="Times New Roman" w:cs="Times New Roman"/>
          <w:b/>
          <w:i/>
          <w:sz w:val="24"/>
          <w:szCs w:val="24"/>
        </w:rPr>
        <w:t>register</w:t>
      </w:r>
      <w:r w:rsidRPr="00145D29">
        <w:rPr>
          <w:rFonts w:ascii="Times New Roman" w:hAnsi="Times New Roman" w:cs="Times New Roman"/>
          <w:sz w:val="24"/>
          <w:szCs w:val="24"/>
        </w:rPr>
        <w:t xml:space="preserve"> such interest with the Local Government to further protect his interest.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See </w:t>
      </w:r>
      <w:r w:rsidRPr="00145D29">
        <w:rPr>
          <w:rFonts w:ascii="Times New Roman" w:hAnsi="Times New Roman" w:cs="Times New Roman"/>
          <w:b/>
          <w:sz w:val="24"/>
          <w:szCs w:val="24"/>
        </w:rPr>
        <w:t>ABBA &amp; ANOR v. GAIYA</w:t>
      </w:r>
      <w:r w:rsidRPr="00145D29">
        <w:rPr>
          <w:rFonts w:ascii="Times New Roman" w:hAnsi="Times New Roman" w:cs="Times New Roman"/>
          <w:sz w:val="24"/>
          <w:szCs w:val="24"/>
        </w:rPr>
        <w:t xml:space="preserve"> (2016) LPELR-41164(CA) where the court held that: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"By the provisions of Section 36(1) of the Land Use Act, 1978, a Customary title holder of land, is deemed to have been granted right of occupancy over such land, and another person cannot be granted title over same parcel of land." Per BDLIYA, J.C.A. (P. 26, Paras. B-C)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lastRenderedPageBreak/>
        <w:t xml:space="preserve"> </w:t>
      </w:r>
    </w:p>
    <w:p w:rsidR="008C76B1" w:rsidRPr="00145D29" w:rsidRDefault="00801723" w:rsidP="008C76B1">
      <w:pPr>
        <w:ind w:left="-5" w:right="4"/>
        <w:jc w:val="center"/>
        <w:rPr>
          <w:rFonts w:ascii="Times New Roman" w:hAnsi="Times New Roman" w:cs="Times New Roman"/>
          <w:sz w:val="24"/>
          <w:szCs w:val="24"/>
        </w:rPr>
      </w:pPr>
      <w:r w:rsidRPr="00145D29">
        <w:rPr>
          <w:rFonts w:ascii="Times New Roman" w:hAnsi="Times New Roman" w:cs="Times New Roman"/>
          <w:b/>
          <w:sz w:val="24"/>
          <w:szCs w:val="24"/>
        </w:rPr>
        <w:t>Incidents of a right of occupancy</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It invests the holder with exclusive possession, imposes on the holder the liability to pay rent, and is transmissible and alienable. </w:t>
      </w:r>
    </w:p>
    <w:p w:rsidR="00DF041D" w:rsidRPr="00145D29" w:rsidRDefault="00801723">
      <w:pPr>
        <w:numPr>
          <w:ilvl w:val="0"/>
          <w:numId w:val="9"/>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Exclusive possession:  </w:t>
      </w:r>
      <w:r w:rsidRPr="00145D29">
        <w:rPr>
          <w:rFonts w:ascii="Times New Roman" w:hAnsi="Times New Roman" w:cs="Times New Roman"/>
          <w:b/>
          <w:sz w:val="24"/>
          <w:szCs w:val="24"/>
        </w:rPr>
        <w:t xml:space="preserve">section 15(a)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In the case of </w:t>
      </w:r>
      <w:r w:rsidRPr="00145D29">
        <w:rPr>
          <w:rFonts w:ascii="Times New Roman" w:hAnsi="Times New Roman" w:cs="Times New Roman"/>
          <w:b/>
          <w:sz w:val="24"/>
          <w:szCs w:val="24"/>
        </w:rPr>
        <w:t>OLALEYE V. TRUSTEES OF ECWA</w:t>
      </w:r>
      <w:r w:rsidRPr="00145D29">
        <w:rPr>
          <w:rFonts w:ascii="Times New Roman" w:hAnsi="Times New Roman" w:cs="Times New Roman"/>
          <w:sz w:val="24"/>
          <w:szCs w:val="24"/>
        </w:rPr>
        <w:t xml:space="preserve"> (2011) 2 NWLR (Pt.1230) 139, DENTON WEST, JCA, stated the effect of grant of Statutory right of Occupancy, thus: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"Once a person is granted a Statutory right of occupancy in and over a parcel of land, he is entitled to hold same to the exclusion of any other person unless and until the certificate of occupancy is set aside. However, Section 5 (2) of the Land Use Act does not preclude the Court from setting aside the grant of the statutory right of occupancy in the appropriate circumstances, such as, for instance, when it was issued in error or obtained by fraud.” </w:t>
      </w:r>
    </w:p>
    <w:p w:rsidR="00DF041D" w:rsidRPr="00145D29" w:rsidRDefault="00801723">
      <w:pPr>
        <w:spacing w:after="4"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numPr>
          <w:ilvl w:val="0"/>
          <w:numId w:val="9"/>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Liability to pay rent:  </w:t>
      </w:r>
    </w:p>
    <w:p w:rsidR="00DF041D" w:rsidRPr="00145D29" w:rsidRDefault="00801723">
      <w:pPr>
        <w:numPr>
          <w:ilvl w:val="0"/>
          <w:numId w:val="10"/>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the Governor may demand rental for land subject to a statutory right of occupancy. </w:t>
      </w:r>
      <w:r w:rsidRPr="00145D29">
        <w:rPr>
          <w:rFonts w:ascii="Times New Roman" w:hAnsi="Times New Roman" w:cs="Times New Roman"/>
          <w:b/>
          <w:sz w:val="24"/>
          <w:szCs w:val="24"/>
        </w:rPr>
        <w:t>Section 5(1)(c)</w:t>
      </w:r>
      <w:r w:rsidRPr="00145D29">
        <w:rPr>
          <w:rFonts w:ascii="Times New Roman" w:hAnsi="Times New Roman" w:cs="Times New Roman"/>
          <w:sz w:val="24"/>
          <w:szCs w:val="24"/>
        </w:rPr>
        <w:t xml:space="preserve">. The Governor may also grant a statutory right of occupancy free of rent or at a reduced rent where he is satisfied that doing so is in the interest of the public. </w:t>
      </w:r>
      <w:r w:rsidRPr="00145D29">
        <w:rPr>
          <w:rFonts w:ascii="Times New Roman" w:hAnsi="Times New Roman" w:cs="Times New Roman"/>
          <w:b/>
          <w:sz w:val="24"/>
          <w:szCs w:val="24"/>
        </w:rPr>
        <w:t>Section 17(1)</w:t>
      </w:r>
      <w:r w:rsidRPr="00145D29">
        <w:rPr>
          <w:rFonts w:ascii="Times New Roman" w:hAnsi="Times New Roman" w:cs="Times New Roman"/>
          <w:sz w:val="24"/>
          <w:szCs w:val="24"/>
        </w:rPr>
        <w:t xml:space="preserve">. </w:t>
      </w:r>
    </w:p>
    <w:p w:rsidR="00DF041D" w:rsidRPr="00145D29" w:rsidRDefault="00801723">
      <w:pPr>
        <w:numPr>
          <w:ilvl w:val="0"/>
          <w:numId w:val="10"/>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Penal rent – </w:t>
      </w:r>
      <w:r w:rsidRPr="00145D29">
        <w:rPr>
          <w:rFonts w:ascii="Times New Roman" w:hAnsi="Times New Roman" w:cs="Times New Roman"/>
          <w:b/>
          <w:sz w:val="24"/>
          <w:szCs w:val="24"/>
        </w:rPr>
        <w:t>sections 5(1)(e) and 19</w:t>
      </w:r>
      <w:r w:rsidRPr="00145D29">
        <w:rPr>
          <w:rFonts w:ascii="Times New Roman" w:hAnsi="Times New Roman" w:cs="Times New Roman"/>
          <w:sz w:val="24"/>
          <w:szCs w:val="24"/>
        </w:rPr>
        <w:t xml:space="preserve"> authorize the Governor to impose a penal rent for breach of any covenant/condition in a certificate of occupancy. </w:t>
      </w:r>
    </w:p>
    <w:p w:rsidR="00DF041D" w:rsidRPr="00145D29" w:rsidRDefault="00801723">
      <w:pPr>
        <w:tabs>
          <w:tab w:val="center" w:pos="1448"/>
        </w:tabs>
        <w:ind w:left="-15"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c. </w:t>
      </w:r>
      <w:r w:rsidRPr="00145D29">
        <w:rPr>
          <w:rFonts w:ascii="Times New Roman" w:hAnsi="Times New Roman" w:cs="Times New Roman"/>
          <w:sz w:val="24"/>
          <w:szCs w:val="24"/>
        </w:rPr>
        <w:tab/>
        <w:t xml:space="preserve">Alienability:  </w:t>
      </w:r>
    </w:p>
    <w:p w:rsidR="00DF041D" w:rsidRPr="00145D29" w:rsidRDefault="00801723">
      <w:pPr>
        <w:numPr>
          <w:ilvl w:val="0"/>
          <w:numId w:val="11"/>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Statutory right of occupancy – </w:t>
      </w:r>
      <w:r w:rsidRPr="00145D29">
        <w:rPr>
          <w:rFonts w:ascii="Times New Roman" w:hAnsi="Times New Roman" w:cs="Times New Roman"/>
          <w:b/>
          <w:sz w:val="24"/>
          <w:szCs w:val="24"/>
        </w:rPr>
        <w:t>sections 15 and 22</w:t>
      </w:r>
      <w:r w:rsidRPr="00145D29">
        <w:rPr>
          <w:rFonts w:ascii="Times New Roman" w:hAnsi="Times New Roman" w:cs="Times New Roman"/>
          <w:sz w:val="24"/>
          <w:szCs w:val="24"/>
        </w:rPr>
        <w:t xml:space="preserve">. Alienation through assignment, mortgage, transfer of possession, sublease, or otherwise must be with the consent of the Governor first had and obtained. </w:t>
      </w:r>
    </w:p>
    <w:p w:rsidR="00DF041D" w:rsidRPr="00145D29" w:rsidRDefault="00801723">
      <w:pPr>
        <w:numPr>
          <w:ilvl w:val="0"/>
          <w:numId w:val="11"/>
        </w:numPr>
        <w:spacing w:after="34"/>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Customary right of occupancy – </w:t>
      </w:r>
      <w:r w:rsidRPr="00145D29">
        <w:rPr>
          <w:rFonts w:ascii="Times New Roman" w:hAnsi="Times New Roman" w:cs="Times New Roman"/>
          <w:b/>
          <w:sz w:val="24"/>
          <w:szCs w:val="24"/>
        </w:rPr>
        <w:t>section 21</w:t>
      </w:r>
      <w:r w:rsidRPr="00145D29">
        <w:rPr>
          <w:rFonts w:ascii="Times New Roman" w:hAnsi="Times New Roman" w:cs="Times New Roman"/>
          <w:sz w:val="24"/>
          <w:szCs w:val="24"/>
        </w:rPr>
        <w:t xml:space="preserve">. There are two limbs. </w:t>
      </w:r>
    </w:p>
    <w:p w:rsidR="00DF041D" w:rsidRPr="00145D29" w:rsidRDefault="00801723" w:rsidP="00801723">
      <w:pPr>
        <w:pStyle w:val="ListParagraph"/>
        <w:numPr>
          <w:ilvl w:val="0"/>
          <w:numId w:val="18"/>
        </w:numPr>
        <w:spacing w:after="31" w:line="257" w:lineRule="auto"/>
        <w:rPr>
          <w:rFonts w:ascii="Times New Roman" w:hAnsi="Times New Roman" w:cs="Times New Roman"/>
          <w:sz w:val="24"/>
          <w:szCs w:val="24"/>
        </w:rPr>
      </w:pPr>
      <w:r w:rsidRPr="00145D29">
        <w:rPr>
          <w:rFonts w:ascii="Times New Roman" w:hAnsi="Times New Roman" w:cs="Times New Roman"/>
          <w:sz w:val="24"/>
          <w:szCs w:val="24"/>
        </w:rPr>
        <w:t xml:space="preserve">where the alienation is pursuant to a court order, Governor’s consent is needed. </w:t>
      </w:r>
    </w:p>
    <w:p w:rsidR="00DF041D" w:rsidRPr="00145D29" w:rsidRDefault="00801723" w:rsidP="00801723">
      <w:pPr>
        <w:pStyle w:val="ListParagraph"/>
        <w:numPr>
          <w:ilvl w:val="0"/>
          <w:numId w:val="18"/>
        </w:numPr>
        <w:rPr>
          <w:rFonts w:ascii="Times New Roman" w:hAnsi="Times New Roman" w:cs="Times New Roman"/>
          <w:sz w:val="24"/>
          <w:szCs w:val="24"/>
        </w:rPr>
      </w:pPr>
      <w:r w:rsidRPr="00145D29">
        <w:rPr>
          <w:rFonts w:ascii="Times New Roman" w:hAnsi="Times New Roman" w:cs="Times New Roman"/>
          <w:sz w:val="24"/>
          <w:szCs w:val="24"/>
        </w:rPr>
        <w:t xml:space="preserve">in other cases, the Local Government must give its approval. </w:t>
      </w:r>
    </w:p>
    <w:p w:rsidR="00DF041D" w:rsidRPr="00145D29" w:rsidRDefault="00801723">
      <w:pPr>
        <w:tabs>
          <w:tab w:val="center" w:pos="2515"/>
        </w:tabs>
        <w:ind w:left="-15"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d. </w:t>
      </w:r>
      <w:r w:rsidRPr="00145D29">
        <w:rPr>
          <w:rFonts w:ascii="Times New Roman" w:hAnsi="Times New Roman" w:cs="Times New Roman"/>
          <w:sz w:val="24"/>
          <w:szCs w:val="24"/>
        </w:rPr>
        <w:tab/>
        <w:t xml:space="preserve">Transmissibility – </w:t>
      </w:r>
      <w:r w:rsidRPr="00145D29">
        <w:rPr>
          <w:rFonts w:ascii="Times New Roman" w:hAnsi="Times New Roman" w:cs="Times New Roman"/>
          <w:b/>
          <w:sz w:val="24"/>
          <w:szCs w:val="24"/>
        </w:rPr>
        <w:t>section 24</w:t>
      </w: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pStyle w:val="Heading1"/>
        <w:ind w:left="-5" w:right="0"/>
        <w:rPr>
          <w:rFonts w:ascii="Times New Roman" w:hAnsi="Times New Roman" w:cs="Times New Roman"/>
          <w:sz w:val="24"/>
          <w:szCs w:val="24"/>
        </w:rPr>
      </w:pPr>
      <w:r w:rsidRPr="00145D29">
        <w:rPr>
          <w:rFonts w:ascii="Times New Roman" w:hAnsi="Times New Roman" w:cs="Times New Roman"/>
          <w:sz w:val="24"/>
          <w:szCs w:val="24"/>
        </w:rPr>
        <w:t xml:space="preserve">EFFECT OF LACK OF CONSENT </w:t>
      </w:r>
    </w:p>
    <w:p w:rsidR="00DF041D" w:rsidRPr="00145D29" w:rsidRDefault="00801723">
      <w:pPr>
        <w:numPr>
          <w:ilvl w:val="0"/>
          <w:numId w:val="12"/>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Revocation of the right of occupancy – </w:t>
      </w:r>
      <w:r w:rsidRPr="00145D29">
        <w:rPr>
          <w:rFonts w:ascii="Times New Roman" w:hAnsi="Times New Roman" w:cs="Times New Roman"/>
          <w:b/>
          <w:sz w:val="24"/>
          <w:szCs w:val="24"/>
        </w:rPr>
        <w:t>section 28(1</w:t>
      </w:r>
      <w:proofErr w:type="gramStart"/>
      <w:r w:rsidRPr="00145D29">
        <w:rPr>
          <w:rFonts w:ascii="Times New Roman" w:hAnsi="Times New Roman" w:cs="Times New Roman"/>
          <w:b/>
          <w:sz w:val="24"/>
          <w:szCs w:val="24"/>
        </w:rPr>
        <w:t>),(</w:t>
      </w:r>
      <w:proofErr w:type="gramEnd"/>
      <w:r w:rsidRPr="00145D29">
        <w:rPr>
          <w:rFonts w:ascii="Times New Roman" w:hAnsi="Times New Roman" w:cs="Times New Roman"/>
          <w:b/>
          <w:sz w:val="24"/>
          <w:szCs w:val="24"/>
        </w:rPr>
        <w:t>2)(a) and (3)(a)</w:t>
      </w:r>
      <w:r w:rsidRPr="00145D29">
        <w:rPr>
          <w:rFonts w:ascii="Times New Roman" w:hAnsi="Times New Roman" w:cs="Times New Roman"/>
          <w:sz w:val="24"/>
          <w:szCs w:val="24"/>
        </w:rPr>
        <w:t xml:space="preserve"> </w:t>
      </w:r>
    </w:p>
    <w:p w:rsidR="00DF041D" w:rsidRPr="00145D29" w:rsidRDefault="00801723">
      <w:pPr>
        <w:numPr>
          <w:ilvl w:val="0"/>
          <w:numId w:val="12"/>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Nullity of the transaction – </w:t>
      </w:r>
      <w:r w:rsidRPr="00145D29">
        <w:rPr>
          <w:rFonts w:ascii="Times New Roman" w:hAnsi="Times New Roman" w:cs="Times New Roman"/>
          <w:b/>
          <w:sz w:val="24"/>
          <w:szCs w:val="24"/>
        </w:rPr>
        <w:t>section 26</w:t>
      </w:r>
      <w:r w:rsidRPr="00145D29">
        <w:rPr>
          <w:rFonts w:ascii="Times New Roman" w:hAnsi="Times New Roman" w:cs="Times New Roman"/>
          <w:sz w:val="24"/>
          <w:szCs w:val="24"/>
        </w:rPr>
        <w:t xml:space="preserve"> </w:t>
      </w:r>
    </w:p>
    <w:p w:rsidR="00DF041D" w:rsidRPr="00145D29" w:rsidRDefault="00801723">
      <w:pPr>
        <w:numPr>
          <w:ilvl w:val="0"/>
          <w:numId w:val="12"/>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Illegality of the transaction – </w:t>
      </w:r>
      <w:r w:rsidRPr="00145D29">
        <w:rPr>
          <w:rFonts w:ascii="Times New Roman" w:hAnsi="Times New Roman" w:cs="Times New Roman"/>
          <w:b/>
          <w:sz w:val="24"/>
          <w:szCs w:val="24"/>
        </w:rPr>
        <w:t>sections 21 and 22</w:t>
      </w:r>
      <w:r w:rsidRPr="00145D29">
        <w:rPr>
          <w:rFonts w:ascii="Times New Roman" w:hAnsi="Times New Roman" w:cs="Times New Roman"/>
          <w:sz w:val="24"/>
          <w:szCs w:val="24"/>
        </w:rPr>
        <w:t xml:space="preserve"> </w:t>
      </w:r>
    </w:p>
    <w:p w:rsidR="00DF041D" w:rsidRPr="00145D29" w:rsidRDefault="00801723">
      <w:pPr>
        <w:numPr>
          <w:ilvl w:val="0"/>
          <w:numId w:val="12"/>
        </w:numPr>
        <w:spacing w:after="3" w:line="262" w:lineRule="auto"/>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An offence – </w:t>
      </w:r>
      <w:r w:rsidRPr="00145D29">
        <w:rPr>
          <w:rFonts w:ascii="Times New Roman" w:hAnsi="Times New Roman" w:cs="Times New Roman"/>
          <w:b/>
          <w:sz w:val="24"/>
          <w:szCs w:val="24"/>
        </w:rPr>
        <w:t>sections 34(8)</w:t>
      </w: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b/>
          <w:sz w:val="24"/>
          <w:szCs w:val="24"/>
        </w:rPr>
        <w:t xml:space="preserve"> </w:t>
      </w:r>
    </w:p>
    <w:p w:rsidR="00DF041D" w:rsidRPr="00145D29" w:rsidRDefault="00801723">
      <w:pPr>
        <w:pStyle w:val="Heading1"/>
        <w:ind w:left="-5" w:right="0"/>
        <w:rPr>
          <w:rFonts w:ascii="Times New Roman" w:hAnsi="Times New Roman" w:cs="Times New Roman"/>
          <w:sz w:val="24"/>
          <w:szCs w:val="24"/>
        </w:rPr>
      </w:pPr>
      <w:r w:rsidRPr="00145D29">
        <w:rPr>
          <w:rFonts w:ascii="Times New Roman" w:hAnsi="Times New Roman" w:cs="Times New Roman"/>
          <w:sz w:val="24"/>
          <w:szCs w:val="24"/>
        </w:rPr>
        <w:t xml:space="preserve">CERTIFICATE OF OCCUPANCY – Section 9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This is merely evidence that a grantee has a right of occupancy, customary or statutory. It does not confer on a grantee any interest or right which he did not have before.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In </w:t>
      </w:r>
      <w:r w:rsidRPr="00145D29">
        <w:rPr>
          <w:rFonts w:ascii="Times New Roman" w:hAnsi="Times New Roman" w:cs="Times New Roman"/>
          <w:b/>
          <w:sz w:val="24"/>
          <w:szCs w:val="24"/>
        </w:rPr>
        <w:t>ORLU V. GOGO-ABITE</w:t>
      </w:r>
      <w:r w:rsidRPr="00145D29">
        <w:rPr>
          <w:rFonts w:ascii="Times New Roman" w:hAnsi="Times New Roman" w:cs="Times New Roman"/>
          <w:sz w:val="24"/>
          <w:szCs w:val="24"/>
        </w:rPr>
        <w:t xml:space="preserve"> (2010) (Pt 1196) 307, the court held that a certificate of occupancy is never associated with title. A certificate of statutory or customary right of occupancy issued under the Land Use Act 1978 cannot be said to be conclusive evidence of any right, interest or valid title to land in </w:t>
      </w:r>
      <w:proofErr w:type="spellStart"/>
      <w:r w:rsidRPr="00145D29">
        <w:rPr>
          <w:rFonts w:ascii="Times New Roman" w:hAnsi="Times New Roman" w:cs="Times New Roman"/>
          <w:sz w:val="24"/>
          <w:szCs w:val="24"/>
        </w:rPr>
        <w:t>favour</w:t>
      </w:r>
      <w:proofErr w:type="spellEnd"/>
      <w:r w:rsidRPr="00145D29">
        <w:rPr>
          <w:rFonts w:ascii="Times New Roman" w:hAnsi="Times New Roman" w:cs="Times New Roman"/>
          <w:sz w:val="24"/>
          <w:szCs w:val="24"/>
        </w:rPr>
        <w:t xml:space="preserve"> of the grantee.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pStyle w:val="Heading1"/>
        <w:spacing w:after="25"/>
        <w:ind w:left="-5" w:right="0"/>
        <w:rPr>
          <w:rFonts w:ascii="Times New Roman" w:hAnsi="Times New Roman" w:cs="Times New Roman"/>
          <w:sz w:val="24"/>
          <w:szCs w:val="24"/>
        </w:rPr>
      </w:pPr>
      <w:r w:rsidRPr="00145D29">
        <w:rPr>
          <w:rFonts w:ascii="Times New Roman" w:hAnsi="Times New Roman" w:cs="Times New Roman"/>
          <w:sz w:val="24"/>
          <w:szCs w:val="24"/>
        </w:rPr>
        <w:lastRenderedPageBreak/>
        <w:t xml:space="preserve">Incidents of a certificate of occupancy </w:t>
      </w:r>
    </w:p>
    <w:p w:rsidR="00DF041D" w:rsidRPr="00145D29" w:rsidRDefault="00801723">
      <w:pPr>
        <w:numPr>
          <w:ilvl w:val="0"/>
          <w:numId w:val="13"/>
        </w:numPr>
        <w:spacing w:after="28"/>
        <w:ind w:right="4" w:hanging="360"/>
        <w:rPr>
          <w:rFonts w:ascii="Times New Roman" w:hAnsi="Times New Roman" w:cs="Times New Roman"/>
          <w:sz w:val="24"/>
          <w:szCs w:val="24"/>
        </w:rPr>
      </w:pPr>
      <w:r w:rsidRPr="00145D29">
        <w:rPr>
          <w:rFonts w:ascii="Times New Roman" w:hAnsi="Times New Roman" w:cs="Times New Roman"/>
          <w:sz w:val="24"/>
          <w:szCs w:val="24"/>
        </w:rPr>
        <w:t xml:space="preserve">it is </w:t>
      </w:r>
      <w:proofErr w:type="gramStart"/>
      <w:r w:rsidRPr="00145D29">
        <w:rPr>
          <w:rFonts w:ascii="Times New Roman" w:hAnsi="Times New Roman" w:cs="Times New Roman"/>
          <w:sz w:val="24"/>
          <w:szCs w:val="24"/>
        </w:rPr>
        <w:t>a prima facie evidence</w:t>
      </w:r>
      <w:proofErr w:type="gramEnd"/>
      <w:r w:rsidRPr="00145D29">
        <w:rPr>
          <w:rFonts w:ascii="Times New Roman" w:hAnsi="Times New Roman" w:cs="Times New Roman"/>
          <w:sz w:val="24"/>
          <w:szCs w:val="24"/>
        </w:rPr>
        <w:t xml:space="preserve"> and raises a rebuttable presumption that the holder is in exclusive possession and has a right of occupancy. </w:t>
      </w:r>
    </w:p>
    <w:p w:rsidR="00DF041D" w:rsidRPr="00145D29" w:rsidRDefault="00801723">
      <w:pPr>
        <w:numPr>
          <w:ilvl w:val="0"/>
          <w:numId w:val="13"/>
        </w:numPr>
        <w:spacing w:after="29"/>
        <w:ind w:right="4" w:hanging="360"/>
        <w:rPr>
          <w:rFonts w:ascii="Times New Roman" w:hAnsi="Times New Roman" w:cs="Times New Roman"/>
          <w:sz w:val="24"/>
          <w:szCs w:val="24"/>
        </w:rPr>
      </w:pPr>
      <w:r w:rsidRPr="00145D29">
        <w:rPr>
          <w:rFonts w:ascii="Times New Roman" w:hAnsi="Times New Roman" w:cs="Times New Roman"/>
          <w:sz w:val="24"/>
          <w:szCs w:val="24"/>
        </w:rPr>
        <w:t xml:space="preserve">issuance does not invalidate defects. </w:t>
      </w:r>
    </w:p>
    <w:p w:rsidR="00DF041D" w:rsidRPr="00145D29" w:rsidRDefault="00801723">
      <w:pPr>
        <w:numPr>
          <w:ilvl w:val="0"/>
          <w:numId w:val="13"/>
        </w:numPr>
        <w:ind w:right="4" w:hanging="360"/>
        <w:rPr>
          <w:rFonts w:ascii="Times New Roman" w:hAnsi="Times New Roman" w:cs="Times New Roman"/>
          <w:sz w:val="24"/>
          <w:szCs w:val="24"/>
        </w:rPr>
      </w:pPr>
      <w:r w:rsidRPr="00145D29">
        <w:rPr>
          <w:rFonts w:ascii="Times New Roman" w:hAnsi="Times New Roman" w:cs="Times New Roman"/>
          <w:sz w:val="24"/>
          <w:szCs w:val="24"/>
        </w:rPr>
        <w:t xml:space="preserve">a person cannot improve his title to land by obtaining a certificate of occupancy. </w:t>
      </w:r>
    </w:p>
    <w:p w:rsidR="00DF041D" w:rsidRPr="00145D29" w:rsidRDefault="00801723">
      <w:pPr>
        <w:numPr>
          <w:ilvl w:val="0"/>
          <w:numId w:val="13"/>
        </w:numPr>
        <w:ind w:right="4" w:hanging="360"/>
        <w:rPr>
          <w:rFonts w:ascii="Times New Roman" w:hAnsi="Times New Roman" w:cs="Times New Roman"/>
          <w:sz w:val="24"/>
          <w:szCs w:val="24"/>
        </w:rPr>
      </w:pPr>
      <w:r w:rsidRPr="00145D29">
        <w:rPr>
          <w:rFonts w:ascii="Times New Roman" w:hAnsi="Times New Roman" w:cs="Times New Roman"/>
          <w:sz w:val="24"/>
          <w:szCs w:val="24"/>
        </w:rPr>
        <w:t xml:space="preserve">acceptance of a certificate binds the holder to all the terms and conditions in the certificate by virtue of </w:t>
      </w:r>
      <w:r w:rsidRPr="00145D29">
        <w:rPr>
          <w:rFonts w:ascii="Times New Roman" w:hAnsi="Times New Roman" w:cs="Times New Roman"/>
          <w:b/>
          <w:sz w:val="24"/>
          <w:szCs w:val="24"/>
        </w:rPr>
        <w:t>sections 9(4), 10(a) and (b)</w:t>
      </w:r>
      <w:r w:rsidRPr="00145D29">
        <w:rPr>
          <w:rFonts w:ascii="Times New Roman" w:hAnsi="Times New Roman" w:cs="Times New Roman"/>
          <w:sz w:val="24"/>
          <w:szCs w:val="24"/>
        </w:rPr>
        <w:t xml:space="preserve">.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In </w:t>
      </w:r>
      <w:r w:rsidRPr="00145D29">
        <w:rPr>
          <w:rFonts w:ascii="Times New Roman" w:hAnsi="Times New Roman" w:cs="Times New Roman"/>
          <w:b/>
          <w:sz w:val="24"/>
          <w:szCs w:val="24"/>
        </w:rPr>
        <w:t>TRIMSKAY NIGERIA LTD v. BANKOLE-OKI</w:t>
      </w:r>
      <w:r w:rsidRPr="00145D29">
        <w:rPr>
          <w:rFonts w:ascii="Times New Roman" w:hAnsi="Times New Roman" w:cs="Times New Roman"/>
          <w:sz w:val="24"/>
          <w:szCs w:val="24"/>
        </w:rPr>
        <w:t xml:space="preserve"> (2015) LPELR-24518(CA) His Lordship BAGE JCA at pages 41-42, paras. E-B stated thus: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"Let me add here for the records that throughout the Land Use Act, there is no provision associating the certificate with title. A Certificate of Occupancy only gives the right to use and occupy the Land. It neither confers nor is it necessarily </w:t>
      </w:r>
      <w:proofErr w:type="gramStart"/>
      <w:r w:rsidRPr="00145D29">
        <w:rPr>
          <w:rFonts w:ascii="Times New Roman" w:hAnsi="Times New Roman" w:cs="Times New Roman"/>
          <w:sz w:val="24"/>
          <w:szCs w:val="24"/>
        </w:rPr>
        <w:t>an evidence of title</w:t>
      </w:r>
      <w:proofErr w:type="gramEnd"/>
      <w:r w:rsidRPr="00145D29">
        <w:rPr>
          <w:rFonts w:ascii="Times New Roman" w:hAnsi="Times New Roman" w:cs="Times New Roman"/>
          <w:sz w:val="24"/>
          <w:szCs w:val="24"/>
        </w:rPr>
        <w:t xml:space="preserve">. It is only </w:t>
      </w:r>
      <w:proofErr w:type="gramStart"/>
      <w:r w:rsidRPr="00145D29">
        <w:rPr>
          <w:rFonts w:ascii="Times New Roman" w:hAnsi="Times New Roman" w:cs="Times New Roman"/>
          <w:sz w:val="24"/>
          <w:szCs w:val="24"/>
        </w:rPr>
        <w:t>a prima facie evidence</w:t>
      </w:r>
      <w:proofErr w:type="gramEnd"/>
      <w:r w:rsidRPr="00145D29">
        <w:rPr>
          <w:rFonts w:ascii="Times New Roman" w:hAnsi="Times New Roman" w:cs="Times New Roman"/>
          <w:sz w:val="24"/>
          <w:szCs w:val="24"/>
        </w:rPr>
        <w:t xml:space="preserve"> which raises a presumption that the holder is in exclusive possession and has a right of occupancy over the land in dispute. However, like all other presumption, it is always rebuttable and the onus of disproving this right is on the person who asserts the contrary.”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pStyle w:val="Heading1"/>
        <w:ind w:left="-5" w:right="2637"/>
        <w:rPr>
          <w:rFonts w:ascii="Times New Roman" w:hAnsi="Times New Roman" w:cs="Times New Roman"/>
          <w:sz w:val="24"/>
          <w:szCs w:val="24"/>
        </w:rPr>
      </w:pPr>
      <w:r w:rsidRPr="00145D29">
        <w:rPr>
          <w:rFonts w:ascii="Times New Roman" w:hAnsi="Times New Roman" w:cs="Times New Roman"/>
          <w:sz w:val="24"/>
          <w:szCs w:val="24"/>
        </w:rPr>
        <w:t>Determination of a right of occupancy</w:t>
      </w:r>
      <w:r w:rsidRPr="00145D29">
        <w:rPr>
          <w:rFonts w:ascii="Times New Roman" w:hAnsi="Times New Roman" w:cs="Times New Roman"/>
          <w:b w:val="0"/>
          <w:sz w:val="24"/>
          <w:szCs w:val="24"/>
        </w:rPr>
        <w:t xml:space="preserve"> – could be by a. </w:t>
      </w:r>
      <w:r w:rsidRPr="00145D29">
        <w:rPr>
          <w:rFonts w:ascii="Times New Roman" w:hAnsi="Times New Roman" w:cs="Times New Roman"/>
          <w:b w:val="0"/>
          <w:sz w:val="24"/>
          <w:szCs w:val="24"/>
        </w:rPr>
        <w:tab/>
        <w:t xml:space="preserve">Effluxion of time </w:t>
      </w:r>
    </w:p>
    <w:p w:rsidR="00DF041D" w:rsidRPr="00145D29" w:rsidRDefault="00801723">
      <w:pPr>
        <w:numPr>
          <w:ilvl w:val="0"/>
          <w:numId w:val="14"/>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Surrender – </w:t>
      </w:r>
      <w:r w:rsidRPr="00145D29">
        <w:rPr>
          <w:rFonts w:ascii="Times New Roman" w:hAnsi="Times New Roman" w:cs="Times New Roman"/>
          <w:b/>
          <w:sz w:val="24"/>
          <w:szCs w:val="24"/>
        </w:rPr>
        <w:t>section 27</w:t>
      </w:r>
      <w:r w:rsidRPr="00145D29">
        <w:rPr>
          <w:rFonts w:ascii="Times New Roman" w:hAnsi="Times New Roman" w:cs="Times New Roman"/>
          <w:sz w:val="24"/>
          <w:szCs w:val="24"/>
        </w:rPr>
        <w:t xml:space="preserve"> </w:t>
      </w:r>
    </w:p>
    <w:p w:rsidR="00DF041D" w:rsidRPr="00145D29" w:rsidRDefault="00801723">
      <w:pPr>
        <w:numPr>
          <w:ilvl w:val="0"/>
          <w:numId w:val="14"/>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Forfeiture – </w:t>
      </w:r>
      <w:r w:rsidRPr="00145D29">
        <w:rPr>
          <w:rFonts w:ascii="Times New Roman" w:hAnsi="Times New Roman" w:cs="Times New Roman"/>
          <w:b/>
          <w:sz w:val="24"/>
          <w:szCs w:val="24"/>
        </w:rPr>
        <w:t xml:space="preserve">section 18 </w:t>
      </w:r>
    </w:p>
    <w:p w:rsidR="00DF041D" w:rsidRPr="00145D29" w:rsidRDefault="00801723">
      <w:pPr>
        <w:numPr>
          <w:ilvl w:val="0"/>
          <w:numId w:val="14"/>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Revocation (for overriding public interest) – </w:t>
      </w:r>
      <w:r w:rsidRPr="00145D29">
        <w:rPr>
          <w:rFonts w:ascii="Times New Roman" w:hAnsi="Times New Roman" w:cs="Times New Roman"/>
          <w:b/>
          <w:sz w:val="24"/>
          <w:szCs w:val="24"/>
        </w:rPr>
        <w:t>section 28</w:t>
      </w: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pStyle w:val="Heading1"/>
        <w:ind w:left="-5" w:right="0"/>
        <w:rPr>
          <w:rFonts w:ascii="Times New Roman" w:hAnsi="Times New Roman" w:cs="Times New Roman"/>
          <w:sz w:val="24"/>
          <w:szCs w:val="24"/>
        </w:rPr>
      </w:pPr>
      <w:r w:rsidRPr="00145D29">
        <w:rPr>
          <w:rFonts w:ascii="Times New Roman" w:hAnsi="Times New Roman" w:cs="Times New Roman"/>
          <w:sz w:val="24"/>
          <w:szCs w:val="24"/>
        </w:rPr>
        <w:t xml:space="preserve">Procedure for revocation </w:t>
      </w:r>
    </w:p>
    <w:p w:rsidR="00DF041D" w:rsidRPr="00145D29" w:rsidRDefault="00801723">
      <w:pPr>
        <w:numPr>
          <w:ilvl w:val="0"/>
          <w:numId w:val="15"/>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Governor issues a notice to the holder – </w:t>
      </w:r>
      <w:r w:rsidRPr="00145D29">
        <w:rPr>
          <w:rFonts w:ascii="Times New Roman" w:hAnsi="Times New Roman" w:cs="Times New Roman"/>
          <w:b/>
          <w:sz w:val="24"/>
          <w:szCs w:val="24"/>
        </w:rPr>
        <w:t>section 28(4)</w:t>
      </w:r>
      <w:r w:rsidRPr="00145D29">
        <w:rPr>
          <w:rFonts w:ascii="Times New Roman" w:hAnsi="Times New Roman" w:cs="Times New Roman"/>
          <w:sz w:val="24"/>
          <w:szCs w:val="24"/>
        </w:rPr>
        <w:t xml:space="preserve">. </w:t>
      </w:r>
    </w:p>
    <w:p w:rsidR="00DF041D" w:rsidRPr="00145D29" w:rsidRDefault="00801723">
      <w:pPr>
        <w:numPr>
          <w:ilvl w:val="0"/>
          <w:numId w:val="15"/>
        </w:numPr>
        <w:spacing w:after="45"/>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Notice must be </w:t>
      </w:r>
      <w:r w:rsidRPr="00145D29">
        <w:rPr>
          <w:rFonts w:ascii="Times New Roman" w:hAnsi="Times New Roman" w:cs="Times New Roman"/>
          <w:b/>
          <w:sz w:val="24"/>
          <w:szCs w:val="24"/>
        </w:rPr>
        <w:t>personally</w:t>
      </w:r>
      <w:r w:rsidRPr="00145D29">
        <w:rPr>
          <w:rFonts w:ascii="Times New Roman" w:hAnsi="Times New Roman" w:cs="Times New Roman"/>
          <w:sz w:val="24"/>
          <w:szCs w:val="24"/>
        </w:rPr>
        <w:t xml:space="preserve"> served on the holder – </w:t>
      </w:r>
      <w:r w:rsidRPr="00145D29">
        <w:rPr>
          <w:rFonts w:ascii="Times New Roman" w:hAnsi="Times New Roman" w:cs="Times New Roman"/>
          <w:b/>
          <w:sz w:val="24"/>
          <w:szCs w:val="24"/>
        </w:rPr>
        <w:t>section 44</w:t>
      </w:r>
      <w:r w:rsidRPr="00145D29">
        <w:rPr>
          <w:rFonts w:ascii="Times New Roman" w:hAnsi="Times New Roman" w:cs="Times New Roman"/>
          <w:sz w:val="24"/>
          <w:szCs w:val="24"/>
        </w:rPr>
        <w:t xml:space="preserve">. This could be in any of the following ways: </w:t>
      </w:r>
      <w:r w:rsidRPr="00145D29">
        <w:rPr>
          <w:rFonts w:ascii="Times New Roman" w:eastAsia="Courier New" w:hAnsi="Times New Roman" w:cs="Times New Roman"/>
          <w:sz w:val="24"/>
          <w:szCs w:val="24"/>
        </w:rPr>
        <w:t>o</w:t>
      </w:r>
      <w:r w:rsidRPr="00145D29">
        <w:rPr>
          <w:rFonts w:ascii="Times New Roman" w:eastAsia="Arial" w:hAnsi="Times New Roman" w:cs="Times New Roman"/>
          <w:sz w:val="24"/>
          <w:szCs w:val="24"/>
        </w:rPr>
        <w:t xml:space="preserve"> </w:t>
      </w:r>
      <w:r w:rsidRPr="00145D29">
        <w:rPr>
          <w:rFonts w:ascii="Times New Roman" w:hAnsi="Times New Roman" w:cs="Times New Roman"/>
          <w:sz w:val="24"/>
          <w:szCs w:val="24"/>
        </w:rPr>
        <w:t xml:space="preserve">personal delivery </w:t>
      </w:r>
      <w:proofErr w:type="spellStart"/>
      <w:r w:rsidRPr="00145D29">
        <w:rPr>
          <w:rFonts w:ascii="Times New Roman" w:eastAsia="Courier New" w:hAnsi="Times New Roman" w:cs="Times New Roman"/>
          <w:sz w:val="24"/>
          <w:szCs w:val="24"/>
        </w:rPr>
        <w:t>o</w:t>
      </w:r>
      <w:proofErr w:type="spellEnd"/>
      <w:r w:rsidRPr="00145D29">
        <w:rPr>
          <w:rFonts w:ascii="Times New Roman" w:eastAsia="Arial" w:hAnsi="Times New Roman" w:cs="Times New Roman"/>
          <w:sz w:val="24"/>
          <w:szCs w:val="24"/>
        </w:rPr>
        <w:t xml:space="preserve"> </w:t>
      </w:r>
      <w:r w:rsidRPr="00145D29">
        <w:rPr>
          <w:rFonts w:ascii="Times New Roman" w:hAnsi="Times New Roman" w:cs="Times New Roman"/>
          <w:sz w:val="24"/>
          <w:szCs w:val="24"/>
        </w:rPr>
        <w:t xml:space="preserve">delivery on the last known address </w:t>
      </w:r>
      <w:r w:rsidRPr="00145D29">
        <w:rPr>
          <w:rFonts w:ascii="Times New Roman" w:eastAsia="Courier New" w:hAnsi="Times New Roman" w:cs="Times New Roman"/>
          <w:sz w:val="24"/>
          <w:szCs w:val="24"/>
        </w:rPr>
        <w:t>o</w:t>
      </w:r>
      <w:r w:rsidRPr="00145D29">
        <w:rPr>
          <w:rFonts w:ascii="Times New Roman" w:eastAsia="Arial" w:hAnsi="Times New Roman" w:cs="Times New Roman"/>
          <w:sz w:val="24"/>
          <w:szCs w:val="24"/>
        </w:rPr>
        <w:t xml:space="preserve"> </w:t>
      </w:r>
      <w:r w:rsidRPr="00145D29">
        <w:rPr>
          <w:rFonts w:ascii="Times New Roman" w:hAnsi="Times New Roman" w:cs="Times New Roman"/>
          <w:sz w:val="24"/>
          <w:szCs w:val="24"/>
        </w:rPr>
        <w:t xml:space="preserve">delivery through a registered courier </w:t>
      </w:r>
    </w:p>
    <w:p w:rsidR="00DF041D" w:rsidRPr="00145D29" w:rsidRDefault="00801723">
      <w:pPr>
        <w:numPr>
          <w:ilvl w:val="1"/>
          <w:numId w:val="15"/>
        </w:numPr>
        <w:spacing w:after="26"/>
        <w:ind w:right="4" w:hanging="360"/>
        <w:rPr>
          <w:rFonts w:ascii="Times New Roman" w:hAnsi="Times New Roman" w:cs="Times New Roman"/>
          <w:sz w:val="24"/>
          <w:szCs w:val="24"/>
        </w:rPr>
      </w:pPr>
      <w:r w:rsidRPr="00145D29">
        <w:rPr>
          <w:rFonts w:ascii="Times New Roman" w:hAnsi="Times New Roman" w:cs="Times New Roman"/>
          <w:sz w:val="24"/>
          <w:szCs w:val="24"/>
        </w:rPr>
        <w:t xml:space="preserve">delivery to the secretary or clerk of an incorporated body or company at its registered office </w:t>
      </w:r>
    </w:p>
    <w:p w:rsidR="00DF041D" w:rsidRPr="00145D29" w:rsidRDefault="00801723">
      <w:pPr>
        <w:numPr>
          <w:ilvl w:val="1"/>
          <w:numId w:val="15"/>
        </w:numPr>
        <w:ind w:right="4" w:hanging="360"/>
        <w:rPr>
          <w:rFonts w:ascii="Times New Roman" w:hAnsi="Times New Roman" w:cs="Times New Roman"/>
          <w:sz w:val="24"/>
          <w:szCs w:val="24"/>
        </w:rPr>
      </w:pPr>
      <w:r w:rsidRPr="00145D29">
        <w:rPr>
          <w:rFonts w:ascii="Times New Roman" w:hAnsi="Times New Roman" w:cs="Times New Roman"/>
          <w:sz w:val="24"/>
          <w:szCs w:val="24"/>
        </w:rPr>
        <w:t xml:space="preserve">where personal service is impossible, by affixing or pasting on a conspicuous part of the premises. </w:t>
      </w:r>
    </w:p>
    <w:p w:rsidR="00DF041D" w:rsidRPr="00145D29" w:rsidRDefault="00801723">
      <w:pPr>
        <w:numPr>
          <w:ilvl w:val="0"/>
          <w:numId w:val="15"/>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where the holder receives such notice, his title becomes extinguished on that same date or any other date stated in the notice – section 28(7). </w:t>
      </w:r>
    </w:p>
    <w:p w:rsidR="00DF041D" w:rsidRPr="00145D29" w:rsidRDefault="00801723">
      <w:pPr>
        <w:pStyle w:val="Heading1"/>
        <w:ind w:left="-5" w:right="0"/>
        <w:rPr>
          <w:rFonts w:ascii="Times New Roman" w:hAnsi="Times New Roman" w:cs="Times New Roman"/>
          <w:sz w:val="24"/>
          <w:szCs w:val="24"/>
        </w:rPr>
      </w:pPr>
      <w:r w:rsidRPr="00145D29">
        <w:rPr>
          <w:rFonts w:ascii="Times New Roman" w:hAnsi="Times New Roman" w:cs="Times New Roman"/>
          <w:b w:val="0"/>
          <w:sz w:val="24"/>
          <w:szCs w:val="24"/>
        </w:rPr>
        <w:t xml:space="preserve">See </w:t>
      </w:r>
      <w:r w:rsidRPr="00145D29">
        <w:rPr>
          <w:rFonts w:ascii="Times New Roman" w:hAnsi="Times New Roman" w:cs="Times New Roman"/>
          <w:sz w:val="24"/>
          <w:szCs w:val="24"/>
        </w:rPr>
        <w:t xml:space="preserve">BALLANTYNE v. A.G CROSS RIVER STATE &amp; ORS </w:t>
      </w:r>
      <w:r w:rsidRPr="00145D29">
        <w:rPr>
          <w:rFonts w:ascii="Times New Roman" w:hAnsi="Times New Roman" w:cs="Times New Roman"/>
          <w:b w:val="0"/>
          <w:sz w:val="24"/>
          <w:szCs w:val="24"/>
        </w:rPr>
        <w:t>(2017) LPELR-</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43527(CA) where the court explained that: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“It must be emphasized clearly here that the Land Use Act, 1978 did not forbid the Governor of a State from revoking any customary or statutory right of occupancy. The only check is that the revocation must be for public purpose and the public purpose must be duly specified and the appropriate notice must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be issued to the holder of the Right of Occupancy.” </w:t>
      </w:r>
    </w:p>
    <w:p w:rsidR="00DF041D" w:rsidRPr="00145D29" w:rsidRDefault="00801723">
      <w:pPr>
        <w:pStyle w:val="Heading1"/>
        <w:ind w:left="-5" w:right="0"/>
        <w:rPr>
          <w:rFonts w:ascii="Times New Roman" w:hAnsi="Times New Roman" w:cs="Times New Roman"/>
          <w:sz w:val="24"/>
          <w:szCs w:val="24"/>
        </w:rPr>
      </w:pPr>
      <w:r w:rsidRPr="00145D29">
        <w:rPr>
          <w:rFonts w:ascii="Times New Roman" w:hAnsi="Times New Roman" w:cs="Times New Roman"/>
          <w:sz w:val="24"/>
          <w:szCs w:val="24"/>
        </w:rPr>
        <w:t>COMPENSATION – section 29(1</w:t>
      </w:r>
      <w:proofErr w:type="gramStart"/>
      <w:r w:rsidRPr="00145D29">
        <w:rPr>
          <w:rFonts w:ascii="Times New Roman" w:hAnsi="Times New Roman" w:cs="Times New Roman"/>
          <w:sz w:val="24"/>
          <w:szCs w:val="24"/>
        </w:rPr>
        <w:t>),(</w:t>
      </w:r>
      <w:proofErr w:type="gramEnd"/>
      <w:r w:rsidRPr="00145D29">
        <w:rPr>
          <w:rFonts w:ascii="Times New Roman" w:hAnsi="Times New Roman" w:cs="Times New Roman"/>
          <w:sz w:val="24"/>
          <w:szCs w:val="24"/>
        </w:rPr>
        <w:t xml:space="preserve">2) </w:t>
      </w:r>
    </w:p>
    <w:p w:rsidR="00DF041D" w:rsidRPr="00145D29" w:rsidRDefault="00801723">
      <w:pPr>
        <w:numPr>
          <w:ilvl w:val="0"/>
          <w:numId w:val="16"/>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where the right of occupancy is revoked for </w:t>
      </w:r>
      <w:r w:rsidRPr="00145D29">
        <w:rPr>
          <w:rFonts w:ascii="Times New Roman" w:hAnsi="Times New Roman" w:cs="Times New Roman"/>
          <w:i/>
          <w:sz w:val="24"/>
          <w:szCs w:val="24"/>
        </w:rPr>
        <w:t>public purpose</w:t>
      </w:r>
      <w:r w:rsidRPr="00145D29">
        <w:rPr>
          <w:rFonts w:ascii="Times New Roman" w:hAnsi="Times New Roman" w:cs="Times New Roman"/>
          <w:sz w:val="24"/>
          <w:szCs w:val="24"/>
        </w:rPr>
        <w:t xml:space="preserve"> of the federal, state or local government, the holder and occupier shall be entitled to compensation for the value of their unexhausted improvements at the date of the revocation. </w:t>
      </w:r>
    </w:p>
    <w:p w:rsidR="00DF041D" w:rsidRPr="00145D29" w:rsidRDefault="00801723">
      <w:pPr>
        <w:numPr>
          <w:ilvl w:val="0"/>
          <w:numId w:val="16"/>
        </w:numPr>
        <w:ind w:right="4" w:hanging="721"/>
        <w:rPr>
          <w:rFonts w:ascii="Times New Roman" w:hAnsi="Times New Roman" w:cs="Times New Roman"/>
          <w:sz w:val="24"/>
          <w:szCs w:val="24"/>
        </w:rPr>
      </w:pPr>
      <w:r w:rsidRPr="00145D29">
        <w:rPr>
          <w:rFonts w:ascii="Times New Roman" w:hAnsi="Times New Roman" w:cs="Times New Roman"/>
          <w:sz w:val="24"/>
          <w:szCs w:val="24"/>
        </w:rPr>
        <w:lastRenderedPageBreak/>
        <w:t xml:space="preserve">where the right of occupancy is revoked for mining, oil pipelines or other related purposes, the holder or occupier is entitled to compensation under the Minerals Act or Mineral Oils Act or any Act replacing same. </w:t>
      </w:r>
    </w:p>
    <w:p w:rsidR="00DF041D" w:rsidRPr="00145D29" w:rsidRDefault="00801723">
      <w:pPr>
        <w:spacing w:after="3" w:line="262" w:lineRule="auto"/>
        <w:ind w:left="-5"/>
        <w:jc w:val="left"/>
        <w:rPr>
          <w:rFonts w:ascii="Times New Roman" w:hAnsi="Times New Roman" w:cs="Times New Roman"/>
          <w:sz w:val="24"/>
          <w:szCs w:val="24"/>
        </w:rPr>
      </w:pPr>
      <w:r w:rsidRPr="00145D29">
        <w:rPr>
          <w:rFonts w:ascii="Times New Roman" w:hAnsi="Times New Roman" w:cs="Times New Roman"/>
          <w:sz w:val="24"/>
          <w:szCs w:val="24"/>
        </w:rPr>
        <w:t xml:space="preserve">In </w:t>
      </w:r>
      <w:r w:rsidRPr="00145D29">
        <w:rPr>
          <w:rFonts w:ascii="Times New Roman" w:hAnsi="Times New Roman" w:cs="Times New Roman"/>
          <w:b/>
          <w:sz w:val="24"/>
          <w:szCs w:val="24"/>
        </w:rPr>
        <w:t xml:space="preserve">FCDA &amp; ANOR v. KUDA ENGINEERING AND CONSTRUCTION COMPANY LTD &amp; ORS, </w:t>
      </w:r>
      <w:r w:rsidRPr="00145D29">
        <w:rPr>
          <w:rFonts w:ascii="Times New Roman" w:hAnsi="Times New Roman" w:cs="Times New Roman"/>
          <w:sz w:val="24"/>
          <w:szCs w:val="24"/>
        </w:rPr>
        <w:t>(2014) LPELR-22985(CA)</w:t>
      </w:r>
      <w:r w:rsidRPr="00145D29">
        <w:rPr>
          <w:rFonts w:ascii="Times New Roman" w:hAnsi="Times New Roman" w:cs="Times New Roman"/>
          <w:b/>
          <w:sz w:val="24"/>
          <w:szCs w:val="24"/>
        </w:rPr>
        <w:t xml:space="preserve"> </w:t>
      </w:r>
      <w:r w:rsidRPr="00145D29">
        <w:rPr>
          <w:rFonts w:ascii="Times New Roman" w:hAnsi="Times New Roman" w:cs="Times New Roman"/>
          <w:sz w:val="24"/>
          <w:szCs w:val="24"/>
        </w:rPr>
        <w:t xml:space="preserve">the court held thus: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"No one, including the government can deprive a holder or occupier of his land, unless the land is acquired compulsorily in accordance with the provisions of the Land Use Act. By virtue of Section 28(4) of the Land Use Act, payment of compensation is also a condition precedent to the validity of such acquisition.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See again Section 44(1) of the Land use Act which had been reproduced supra." Per SANUSI, J.C.A. (Pp. 47-48, paras. G-C)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pStyle w:val="Heading1"/>
        <w:ind w:left="-5" w:right="0"/>
        <w:rPr>
          <w:rFonts w:ascii="Times New Roman" w:hAnsi="Times New Roman" w:cs="Times New Roman"/>
          <w:sz w:val="24"/>
          <w:szCs w:val="24"/>
        </w:rPr>
      </w:pPr>
      <w:r w:rsidRPr="00145D29">
        <w:rPr>
          <w:rFonts w:ascii="Times New Roman" w:hAnsi="Times New Roman" w:cs="Times New Roman"/>
          <w:sz w:val="24"/>
          <w:szCs w:val="24"/>
        </w:rPr>
        <w:t>JURISDICTION OF COURT</w:t>
      </w:r>
      <w:r w:rsidRPr="00145D29">
        <w:rPr>
          <w:rFonts w:ascii="Times New Roman" w:hAnsi="Times New Roman" w:cs="Times New Roman"/>
          <w:b w:val="0"/>
          <w:sz w:val="24"/>
          <w:szCs w:val="24"/>
        </w:rPr>
        <w:t xml:space="preserve"> – </w:t>
      </w:r>
      <w:r w:rsidRPr="00145D29">
        <w:rPr>
          <w:rFonts w:ascii="Times New Roman" w:hAnsi="Times New Roman" w:cs="Times New Roman"/>
          <w:sz w:val="24"/>
          <w:szCs w:val="24"/>
        </w:rPr>
        <w:t>sections 39, 41 and 42</w:t>
      </w:r>
      <w:r w:rsidRPr="00145D29">
        <w:rPr>
          <w:rFonts w:ascii="Times New Roman" w:hAnsi="Times New Roman" w:cs="Times New Roman"/>
          <w:b w:val="0"/>
          <w:sz w:val="24"/>
          <w:szCs w:val="24"/>
        </w:rPr>
        <w:t xml:space="preserve"> </w:t>
      </w:r>
    </w:p>
    <w:p w:rsidR="00DF041D" w:rsidRPr="00145D29" w:rsidRDefault="00801723">
      <w:pPr>
        <w:numPr>
          <w:ilvl w:val="0"/>
          <w:numId w:val="17"/>
        </w:numPr>
        <w:ind w:right="4" w:hanging="721"/>
        <w:rPr>
          <w:rFonts w:ascii="Times New Roman" w:hAnsi="Times New Roman" w:cs="Times New Roman"/>
          <w:sz w:val="24"/>
          <w:szCs w:val="24"/>
        </w:rPr>
      </w:pPr>
      <w:r w:rsidRPr="00145D29">
        <w:rPr>
          <w:rFonts w:ascii="Times New Roman" w:hAnsi="Times New Roman" w:cs="Times New Roman"/>
          <w:b/>
          <w:sz w:val="24"/>
          <w:szCs w:val="24"/>
        </w:rPr>
        <w:t>section 39(1)</w:t>
      </w:r>
      <w:r w:rsidRPr="00145D29">
        <w:rPr>
          <w:rFonts w:ascii="Times New Roman" w:hAnsi="Times New Roman" w:cs="Times New Roman"/>
          <w:sz w:val="24"/>
          <w:szCs w:val="24"/>
        </w:rPr>
        <w:t xml:space="preserve"> gives exclusive original jurisdiction in respect of any land subject of a statutory right of occupancy and other matters connected therewith to the High Court. </w:t>
      </w:r>
    </w:p>
    <w:p w:rsidR="00DF041D" w:rsidRPr="00145D29" w:rsidRDefault="00801723">
      <w:pPr>
        <w:numPr>
          <w:ilvl w:val="0"/>
          <w:numId w:val="17"/>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by </w:t>
      </w:r>
      <w:r w:rsidRPr="00145D29">
        <w:rPr>
          <w:rFonts w:ascii="Times New Roman" w:hAnsi="Times New Roman" w:cs="Times New Roman"/>
          <w:b/>
          <w:sz w:val="24"/>
          <w:szCs w:val="24"/>
        </w:rPr>
        <w:t>section 41</w:t>
      </w:r>
      <w:r w:rsidRPr="00145D29">
        <w:rPr>
          <w:rFonts w:ascii="Times New Roman" w:hAnsi="Times New Roman" w:cs="Times New Roman"/>
          <w:sz w:val="24"/>
          <w:szCs w:val="24"/>
        </w:rPr>
        <w:t xml:space="preserve">, an Area court or Customary court or other court of equivalent jurisdiction in a state shall have jurisdiction in respect of a customary right of occupancy </w:t>
      </w:r>
    </w:p>
    <w:p w:rsidR="00DF041D" w:rsidRPr="00145D29" w:rsidRDefault="00801723">
      <w:pPr>
        <w:numPr>
          <w:ilvl w:val="0"/>
          <w:numId w:val="17"/>
        </w:numPr>
        <w:ind w:right="4" w:hanging="721"/>
        <w:rPr>
          <w:rFonts w:ascii="Times New Roman" w:hAnsi="Times New Roman" w:cs="Times New Roman"/>
          <w:sz w:val="24"/>
          <w:szCs w:val="24"/>
        </w:rPr>
      </w:pPr>
      <w:r w:rsidRPr="00145D29">
        <w:rPr>
          <w:rFonts w:ascii="Times New Roman" w:hAnsi="Times New Roman" w:cs="Times New Roman"/>
          <w:sz w:val="24"/>
          <w:szCs w:val="24"/>
        </w:rPr>
        <w:t xml:space="preserve">by </w:t>
      </w:r>
      <w:r w:rsidRPr="00145D29">
        <w:rPr>
          <w:rFonts w:ascii="Times New Roman" w:hAnsi="Times New Roman" w:cs="Times New Roman"/>
          <w:b/>
          <w:sz w:val="24"/>
          <w:szCs w:val="24"/>
        </w:rPr>
        <w:t>section 42</w:t>
      </w:r>
      <w:r w:rsidRPr="00145D29">
        <w:rPr>
          <w:rFonts w:ascii="Times New Roman" w:hAnsi="Times New Roman" w:cs="Times New Roman"/>
          <w:sz w:val="24"/>
          <w:szCs w:val="24"/>
        </w:rPr>
        <w:t xml:space="preserve">, proceedings for the recovery of rent payable in respect of a customary right of occupancy may be taken before a Magistrate court of competent jurisdiction.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In </w:t>
      </w:r>
      <w:r w:rsidRPr="00145D29">
        <w:rPr>
          <w:rFonts w:ascii="Times New Roman" w:hAnsi="Times New Roman" w:cs="Times New Roman"/>
          <w:b/>
          <w:sz w:val="24"/>
          <w:szCs w:val="24"/>
        </w:rPr>
        <w:t>ADETAYO &amp; ORS VS. ADEMOLA &amp; ORS</w:t>
      </w:r>
      <w:r w:rsidRPr="00145D29">
        <w:rPr>
          <w:rFonts w:ascii="Times New Roman" w:hAnsi="Times New Roman" w:cs="Times New Roman"/>
          <w:sz w:val="24"/>
          <w:szCs w:val="24"/>
        </w:rPr>
        <w:t xml:space="preserve"> (2010) LPELR- 155 (SC) pages 2024, the apex Court held: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“The Courts conferred with jurisdiction to entertain disputes between Nigerians in exercising their right to acquire and use land under the Act are clearly specified therein. The relevant Sections in this respect are Sections 39, 41 and 42 respectively, which state - "JURISDICTION OF HIGH COURTS AND OTHER COURTS. </w:t>
      </w:r>
    </w:p>
    <w:p w:rsidR="00DF041D" w:rsidRPr="00145D29" w:rsidRDefault="00801723">
      <w:pPr>
        <w:ind w:left="-5" w:right="4"/>
        <w:rPr>
          <w:rFonts w:ascii="Times New Roman" w:hAnsi="Times New Roman" w:cs="Times New Roman"/>
          <w:sz w:val="24"/>
          <w:szCs w:val="24"/>
        </w:rPr>
      </w:pPr>
      <w:r w:rsidRPr="00145D29">
        <w:rPr>
          <w:rFonts w:ascii="Times New Roman" w:hAnsi="Times New Roman" w:cs="Times New Roman"/>
          <w:sz w:val="24"/>
          <w:szCs w:val="24"/>
        </w:rPr>
        <w:t xml:space="preserve">It is quite clear from the provisions of the above Sections of the Land Use Act that specific powers and jurisdiction in respect of land matters specified therein are conferred on the State High Court, Area Court, Customary Court and Magistrate Court, and that the Federal High Court is not one of the Courts conferred with jurisdiction to entertain any dispute in land matters. As there is nothing in these Sections 39, 41 and 42 of the Land Use Act that conferred any jurisdiction on the Federal High Court to entertain land causes or matters, I entirely agree with the Court below that the Federal High Court has no jurisdiction to hear and determine any dispute on declaration of title to land."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p w:rsidR="00DF041D" w:rsidRPr="00145D29" w:rsidRDefault="00801723">
      <w:pPr>
        <w:spacing w:after="0" w:line="259" w:lineRule="auto"/>
        <w:ind w:left="0" w:firstLine="0"/>
        <w:jc w:val="left"/>
        <w:rPr>
          <w:rFonts w:ascii="Times New Roman" w:hAnsi="Times New Roman" w:cs="Times New Roman"/>
          <w:sz w:val="24"/>
          <w:szCs w:val="24"/>
        </w:rPr>
      </w:pPr>
      <w:r w:rsidRPr="00145D29">
        <w:rPr>
          <w:rFonts w:ascii="Times New Roman" w:hAnsi="Times New Roman" w:cs="Times New Roman"/>
          <w:sz w:val="24"/>
          <w:szCs w:val="24"/>
        </w:rPr>
        <w:t xml:space="preserve"> </w:t>
      </w:r>
    </w:p>
    <w:sectPr w:rsidR="00DF041D" w:rsidRPr="00145D29" w:rsidSect="00145D29">
      <w:pgSz w:w="12245" w:h="15845"/>
      <w:pgMar w:top="567" w:right="1433" w:bottom="1134" w:left="14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F03"/>
    <w:multiLevelType w:val="hybridMultilevel"/>
    <w:tmpl w:val="35BA99D2"/>
    <w:lvl w:ilvl="0" w:tplc="809EA150">
      <w:start w:val="1"/>
      <w:numFmt w:val="lowerLetter"/>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E78C9240">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36F024E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0546C29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7B82C634">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31329F8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DEA8602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CD3E4E9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74984D4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1755B3E"/>
    <w:multiLevelType w:val="hybridMultilevel"/>
    <w:tmpl w:val="3174BE76"/>
    <w:lvl w:ilvl="0" w:tplc="69184CBC">
      <w:start w:val="1"/>
      <w:numFmt w:val="lowerRoman"/>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C98B06A">
      <w:start w:val="1"/>
      <w:numFmt w:val="bullet"/>
      <w:lvlText w:val="✓"/>
      <w:lvlJc w:val="left"/>
      <w:pPr>
        <w:ind w:left="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70E15F2">
      <w:start w:val="1"/>
      <w:numFmt w:val="bullet"/>
      <w:lvlText w:val="▪"/>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71EE310">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DBE7EEA">
      <w:start w:val="1"/>
      <w:numFmt w:val="bullet"/>
      <w:lvlText w:val="o"/>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D121CA0">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A98BAC4">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DD6B840">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0EA2530">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6A6BF8"/>
    <w:multiLevelType w:val="hybridMultilevel"/>
    <w:tmpl w:val="AC4C6AA0"/>
    <w:lvl w:ilvl="0" w:tplc="111EEC5C">
      <w:start w:val="1"/>
      <w:numFmt w:val="lowerLetter"/>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33A229A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706420C6">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9112C246">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C364756">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22F455B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E9CE28A6">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EEBAFCF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E1A59AE">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A748D6"/>
    <w:multiLevelType w:val="hybridMultilevel"/>
    <w:tmpl w:val="1AA23444"/>
    <w:lvl w:ilvl="0" w:tplc="732E4F10">
      <w:start w:val="1"/>
      <w:numFmt w:val="lowerLetter"/>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BE698AC">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897CD1E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7D524C52">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715075C6">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C7E13B0">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8FFAD336">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696E169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07F4679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5A7F14"/>
    <w:multiLevelType w:val="hybridMultilevel"/>
    <w:tmpl w:val="EF52C5CA"/>
    <w:lvl w:ilvl="0" w:tplc="7ABAAE40">
      <w:start w:val="1"/>
      <w:numFmt w:val="lowerLetter"/>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50785D6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29AE7D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A6861372">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49A23128">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415E29B8">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E6EC8502">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9623DD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D63A0554">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3EC3B13"/>
    <w:multiLevelType w:val="hybridMultilevel"/>
    <w:tmpl w:val="17D6F0F4"/>
    <w:lvl w:ilvl="0" w:tplc="841CAD52">
      <w:start w:val="1"/>
      <w:numFmt w:val="bullet"/>
      <w:lvlText w:val="❖"/>
      <w:lvlJc w:val="left"/>
      <w:pPr>
        <w:ind w:left="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178C356">
      <w:start w:val="1"/>
      <w:numFmt w:val="bullet"/>
      <w:lvlText w:val="o"/>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5680B42">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D80012E">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2185864">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A0E0912">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B940204">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670A954">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3886B18">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DBF45CF"/>
    <w:multiLevelType w:val="hybridMultilevel"/>
    <w:tmpl w:val="B94A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6348E"/>
    <w:multiLevelType w:val="hybridMultilevel"/>
    <w:tmpl w:val="C2C45A14"/>
    <w:lvl w:ilvl="0" w:tplc="4A644EAA">
      <w:start w:val="1"/>
      <w:numFmt w:val="lowerLetter"/>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1DD0F4A0">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3322E578">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CB283E3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1BDACD72">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3BA45E9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3BF6D296">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59162FB6">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E224179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F431B59"/>
    <w:multiLevelType w:val="hybridMultilevel"/>
    <w:tmpl w:val="D5D4AE20"/>
    <w:lvl w:ilvl="0" w:tplc="7B501774">
      <w:start w:val="1"/>
      <w:numFmt w:val="decimal"/>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0C74004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7E2D6D6">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6F1E51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EAC074D2">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08BEDEC0">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8442B56">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F208A3D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05A61C7C">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DE91C70"/>
    <w:multiLevelType w:val="hybridMultilevel"/>
    <w:tmpl w:val="4BB49F8E"/>
    <w:lvl w:ilvl="0" w:tplc="8F4A93EA">
      <w:start w:val="1"/>
      <w:numFmt w:val="lowerLetter"/>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DCF8BABC">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6608BF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5CCCC8">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62A565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C02C30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076D7E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86D8A34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272EBDE">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7290B44"/>
    <w:multiLevelType w:val="hybridMultilevel"/>
    <w:tmpl w:val="AB345E56"/>
    <w:lvl w:ilvl="0" w:tplc="8BC6D054">
      <w:start w:val="1"/>
      <w:numFmt w:val="lowerLetter"/>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C2060D5E">
      <w:start w:val="1"/>
      <w:numFmt w:val="bullet"/>
      <w:lvlText w:val="o"/>
      <w:lvlJc w:val="left"/>
      <w:pPr>
        <w:ind w:left="7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49804808">
      <w:start w:val="1"/>
      <w:numFmt w:val="bullet"/>
      <w:lvlText w:val="▪"/>
      <w:lvlJc w:val="left"/>
      <w:pPr>
        <w:ind w:left="14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A970C072">
      <w:start w:val="1"/>
      <w:numFmt w:val="bullet"/>
      <w:lvlText w:val="•"/>
      <w:lvlJc w:val="left"/>
      <w:pPr>
        <w:ind w:left="21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68CE39BE">
      <w:start w:val="1"/>
      <w:numFmt w:val="bullet"/>
      <w:lvlText w:val="o"/>
      <w:lvlJc w:val="left"/>
      <w:pPr>
        <w:ind w:left="28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3E87222">
      <w:start w:val="1"/>
      <w:numFmt w:val="bullet"/>
      <w:lvlText w:val="▪"/>
      <w:lvlJc w:val="left"/>
      <w:pPr>
        <w:ind w:left="36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5800B5C">
      <w:start w:val="1"/>
      <w:numFmt w:val="bullet"/>
      <w:lvlText w:val="•"/>
      <w:lvlJc w:val="left"/>
      <w:pPr>
        <w:ind w:left="43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4B38364C">
      <w:start w:val="1"/>
      <w:numFmt w:val="bullet"/>
      <w:lvlText w:val="o"/>
      <w:lvlJc w:val="left"/>
      <w:pPr>
        <w:ind w:left="50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9214B27C">
      <w:start w:val="1"/>
      <w:numFmt w:val="bullet"/>
      <w:lvlText w:val="▪"/>
      <w:lvlJc w:val="left"/>
      <w:pPr>
        <w:ind w:left="57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8254F97"/>
    <w:multiLevelType w:val="hybridMultilevel"/>
    <w:tmpl w:val="1FE02E46"/>
    <w:lvl w:ilvl="0" w:tplc="7FDED55A">
      <w:start w:val="1"/>
      <w:numFmt w:val="lowerLetter"/>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5FDAA6E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7294F09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0580759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69F66CF8">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0CE95C">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904DBC8">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9D8657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BA7B84">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E73398A"/>
    <w:multiLevelType w:val="hybridMultilevel"/>
    <w:tmpl w:val="29A898AA"/>
    <w:lvl w:ilvl="0" w:tplc="4468AD9E">
      <w:start w:val="1"/>
      <w:numFmt w:val="lowerLetter"/>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180E503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ED06A046">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1B863596">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39BEA14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A4ACF0">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EA14C486">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CC208E14">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0382E9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4705FA6"/>
    <w:multiLevelType w:val="hybridMultilevel"/>
    <w:tmpl w:val="80A2686E"/>
    <w:lvl w:ilvl="0" w:tplc="C01C9CD6">
      <w:start w:val="1"/>
      <w:numFmt w:val="decimal"/>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5AC4A32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EAEACD4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43C92E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1200FDB6">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F72A9CA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5F02610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CB16BDCC">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00EB140">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FAE368F"/>
    <w:multiLevelType w:val="hybridMultilevel"/>
    <w:tmpl w:val="8BA6E1D2"/>
    <w:lvl w:ilvl="0" w:tplc="F69A3980">
      <w:start w:val="2"/>
      <w:numFmt w:val="lowerLetter"/>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32F660E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60AF6A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D3E96D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48D8DD6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F53471D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B9E79A8">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C298E78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ABBE0F34">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04B3F2F"/>
    <w:multiLevelType w:val="hybridMultilevel"/>
    <w:tmpl w:val="582E4FC6"/>
    <w:lvl w:ilvl="0" w:tplc="E9FACF62">
      <w:start w:val="1"/>
      <w:numFmt w:val="lowerLetter"/>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68C0F7E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672BA9E">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C690F756">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96E3362">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5D0C52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904A05D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F094EEC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E8AEDEAC">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40231F7"/>
    <w:multiLevelType w:val="hybridMultilevel"/>
    <w:tmpl w:val="358238DE"/>
    <w:lvl w:ilvl="0" w:tplc="2D7412AA">
      <w:start w:val="1"/>
      <w:numFmt w:val="decimal"/>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AD2FF1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17825A88">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8B76AA3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805817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7EA287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F90687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FFCCD95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E1BA3330">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8C860BD"/>
    <w:multiLevelType w:val="hybridMultilevel"/>
    <w:tmpl w:val="DC8C6C6A"/>
    <w:lvl w:ilvl="0" w:tplc="757C7C36">
      <w:start w:val="1"/>
      <w:numFmt w:val="lowerRoman"/>
      <w:lvlText w:val="%1."/>
      <w:lvlJc w:val="left"/>
      <w:pPr>
        <w:ind w:left="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366611C">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AFEF08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ED62426">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1A6A9E02">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55CFF3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0F104FC8">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9109A8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63669EC">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644042084">
    <w:abstractNumId w:val="8"/>
  </w:num>
  <w:num w:numId="2" w16cid:durableId="487406757">
    <w:abstractNumId w:val="3"/>
  </w:num>
  <w:num w:numId="3" w16cid:durableId="2084138959">
    <w:abstractNumId w:val="4"/>
  </w:num>
  <w:num w:numId="4" w16cid:durableId="549269475">
    <w:abstractNumId w:val="15"/>
  </w:num>
  <w:num w:numId="5" w16cid:durableId="2126270476">
    <w:abstractNumId w:val="16"/>
  </w:num>
  <w:num w:numId="6" w16cid:durableId="406540154">
    <w:abstractNumId w:val="2"/>
  </w:num>
  <w:num w:numId="7" w16cid:durableId="1084490717">
    <w:abstractNumId w:val="13"/>
  </w:num>
  <w:num w:numId="8" w16cid:durableId="582446135">
    <w:abstractNumId w:val="7"/>
  </w:num>
  <w:num w:numId="9" w16cid:durableId="648441880">
    <w:abstractNumId w:val="11"/>
  </w:num>
  <w:num w:numId="10" w16cid:durableId="903183611">
    <w:abstractNumId w:val="17"/>
  </w:num>
  <w:num w:numId="11" w16cid:durableId="642781321">
    <w:abstractNumId w:val="1"/>
  </w:num>
  <w:num w:numId="12" w16cid:durableId="658389533">
    <w:abstractNumId w:val="0"/>
  </w:num>
  <w:num w:numId="13" w16cid:durableId="568806698">
    <w:abstractNumId w:val="5"/>
  </w:num>
  <w:num w:numId="14" w16cid:durableId="1710834796">
    <w:abstractNumId w:val="14"/>
  </w:num>
  <w:num w:numId="15" w16cid:durableId="1249778396">
    <w:abstractNumId w:val="10"/>
  </w:num>
  <w:num w:numId="16" w16cid:durableId="1629431517">
    <w:abstractNumId w:val="12"/>
  </w:num>
  <w:num w:numId="17" w16cid:durableId="560479235">
    <w:abstractNumId w:val="9"/>
  </w:num>
  <w:num w:numId="18" w16cid:durableId="1817184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41D"/>
    <w:rsid w:val="00145D29"/>
    <w:rsid w:val="00200B4E"/>
    <w:rsid w:val="002F0423"/>
    <w:rsid w:val="00801723"/>
    <w:rsid w:val="008C76B1"/>
    <w:rsid w:val="009C5F43"/>
    <w:rsid w:val="00A745B8"/>
    <w:rsid w:val="00AE6B45"/>
    <w:rsid w:val="00D72A0B"/>
    <w:rsid w:val="00DF041D"/>
    <w:rsid w:val="00F53882"/>
    <w:rsid w:val="00F609AE"/>
    <w:rsid w:val="00F61444"/>
    <w:rsid w:val="00F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562F"/>
  <w15:docId w15:val="{18385320-A6EB-49D9-B11F-F505368B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3" w:line="262" w:lineRule="auto"/>
      <w:ind w:left="10" w:right="1589" w:hanging="1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paragraph" w:styleId="ListParagraph">
    <w:name w:val="List Paragraph"/>
    <w:basedOn w:val="Normal"/>
    <w:uiPriority w:val="34"/>
    <w:qFormat/>
    <w:rsid w:val="00801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&amp;S TEAM</dc:creator>
  <cp:keywords/>
  <cp:lastModifiedBy>THE LAPTOP STORE</cp:lastModifiedBy>
  <cp:revision>3</cp:revision>
  <cp:lastPrinted>2023-04-03T06:24:00Z</cp:lastPrinted>
  <dcterms:created xsi:type="dcterms:W3CDTF">2020-04-13T07:47:00Z</dcterms:created>
  <dcterms:modified xsi:type="dcterms:W3CDTF">2023-04-03T06:27:00Z</dcterms:modified>
</cp:coreProperties>
</file>