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FA6" w:rsidRPr="00BE7FA6" w:rsidRDefault="00BE7FA6" w:rsidP="00BE7FA6">
      <w:pPr>
        <w:shd w:val="clear" w:color="auto" w:fill="FFFFFF"/>
        <w:spacing w:before="242" w:after="121" w:line="407" w:lineRule="atLeast"/>
        <w:outlineLvl w:val="0"/>
        <w:rPr>
          <w:rFonts w:ascii="Arial" w:eastAsia="Times New Roman" w:hAnsi="Arial" w:cs="Arial"/>
          <w:color w:val="515151"/>
          <w:kern w:val="36"/>
          <w:sz w:val="48"/>
          <w:szCs w:val="48"/>
        </w:rPr>
      </w:pPr>
      <w:r w:rsidRPr="00BE7FA6">
        <w:rPr>
          <w:rFonts w:ascii="Arial" w:eastAsia="Times New Roman" w:hAnsi="Arial" w:cs="Arial"/>
          <w:color w:val="515151"/>
          <w:kern w:val="36"/>
          <w:sz w:val="48"/>
          <w:szCs w:val="48"/>
        </w:rPr>
        <w:t>Petroleum Profits Tax Act, Petroleum Industry Act and proposed amendments in Finance Act</w:t>
      </w:r>
      <w:r>
        <w:rPr>
          <w:rStyle w:val="FootnoteReference"/>
          <w:rFonts w:ascii="Arial" w:eastAsia="Times New Roman" w:hAnsi="Arial" w:cs="Arial"/>
          <w:color w:val="515151"/>
          <w:kern w:val="36"/>
          <w:sz w:val="48"/>
          <w:szCs w:val="48"/>
        </w:rPr>
        <w:footnoteReference w:id="1"/>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hyperlink r:id="rId7" w:anchor="Introduction" w:history="1">
        <w:r w:rsidRPr="00BE7FA6">
          <w:rPr>
            <w:rFonts w:ascii="Arial" w:eastAsia="Times New Roman" w:hAnsi="Arial" w:cs="Arial"/>
            <w:b/>
            <w:bCs/>
            <w:color w:val="276674"/>
            <w:sz w:val="18"/>
          </w:rPr>
          <w:t>Introduction</w:t>
        </w:r>
      </w:hyperlink>
      <w:r w:rsidRPr="00BE7FA6">
        <w:rPr>
          <w:rFonts w:ascii="Arial" w:eastAsia="Times New Roman" w:hAnsi="Arial" w:cs="Arial"/>
          <w:b/>
          <w:bCs/>
          <w:color w:val="333333"/>
          <w:sz w:val="18"/>
          <w:szCs w:val="18"/>
        </w:rPr>
        <w:br/>
      </w:r>
      <w:hyperlink r:id="rId8" w:anchor="Comparative%20analysis" w:history="1">
        <w:r w:rsidRPr="00BE7FA6">
          <w:rPr>
            <w:rFonts w:ascii="Arial" w:eastAsia="Times New Roman" w:hAnsi="Arial" w:cs="Arial"/>
            <w:b/>
            <w:bCs/>
            <w:color w:val="276674"/>
            <w:sz w:val="18"/>
          </w:rPr>
          <w:t>Comparative analysis</w:t>
        </w:r>
      </w:hyperlink>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br/>
      </w:r>
      <w:bookmarkStart w:id="0" w:name="Introduction"/>
      <w:bookmarkEnd w:id="0"/>
      <w:r w:rsidRPr="00BE7FA6">
        <w:rPr>
          <w:rFonts w:ascii="Arial" w:eastAsia="Times New Roman" w:hAnsi="Arial" w:cs="Arial"/>
          <w:b/>
          <w:bCs/>
          <w:color w:val="333333"/>
          <w:sz w:val="18"/>
        </w:rPr>
        <w:t>Introduction</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Nigeria's Finance Act of 2022 (the Act) was signed into law on 28 May 2023.The Act has made changes to several fiscal and administrative laws, including:</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Public Procurement Act;</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Capital Gains Tax Act;</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Companies Income Tax Act;</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Customs, Excise Tariff, etc, (Consolidation) Act;</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Corrupt Practices and Other Related Offenses Act;</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Personal Income Tax Act;</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Petroleum Profits Tax Act (PPTA); and</w:t>
      </w:r>
    </w:p>
    <w:p w:rsidR="00BE7FA6" w:rsidRPr="00BE7FA6" w:rsidRDefault="00BE7FA6" w:rsidP="00BE7FA6">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proofErr w:type="gramStart"/>
      <w:r w:rsidRPr="00BE7FA6">
        <w:rPr>
          <w:rFonts w:ascii="Arial" w:eastAsia="Times New Roman" w:hAnsi="Arial" w:cs="Arial"/>
          <w:color w:val="333333"/>
          <w:sz w:val="18"/>
          <w:szCs w:val="18"/>
        </w:rPr>
        <w:t>the</w:t>
      </w:r>
      <w:proofErr w:type="gramEnd"/>
      <w:r w:rsidRPr="00BE7FA6">
        <w:rPr>
          <w:rFonts w:ascii="Arial" w:eastAsia="Times New Roman" w:hAnsi="Arial" w:cs="Arial"/>
          <w:color w:val="333333"/>
          <w:sz w:val="18"/>
          <w:szCs w:val="18"/>
        </w:rPr>
        <w:t xml:space="preserve"> Stamp Duties Act.</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One of the major aims of the Act is to improve the Nigerian fiscal regime. This article focuses on the changes made to the PPTA under the Act, some of which seek to align the PPTA with the provisions of the Petroleum Industry Act 2021 (PIA).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 w:name="Comparative_analysis"/>
      <w:bookmarkEnd w:id="1"/>
      <w:r w:rsidRPr="00BE7FA6">
        <w:rPr>
          <w:rFonts w:ascii="Arial" w:eastAsia="Times New Roman" w:hAnsi="Arial" w:cs="Arial"/>
          <w:b/>
          <w:bCs/>
          <w:color w:val="333333"/>
          <w:sz w:val="18"/>
        </w:rPr>
        <w:t>Comparative analysis</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 xml:space="preserve">The Act amended section 2 of the PPTA by redefining "commission" to mean the Nigerian Upstream Petroleum Regulatory Commission (the commission), this amendment is to </w:t>
      </w:r>
      <w:proofErr w:type="spellStart"/>
      <w:r w:rsidRPr="00BE7FA6">
        <w:rPr>
          <w:rFonts w:ascii="Arial" w:eastAsia="Times New Roman" w:hAnsi="Arial" w:cs="Arial"/>
          <w:color w:val="333333"/>
          <w:sz w:val="18"/>
          <w:szCs w:val="18"/>
        </w:rPr>
        <w:t>harmonise</w:t>
      </w:r>
      <w:proofErr w:type="spellEnd"/>
      <w:r w:rsidRPr="00BE7FA6">
        <w:rPr>
          <w:rFonts w:ascii="Arial" w:eastAsia="Times New Roman" w:hAnsi="Arial" w:cs="Arial"/>
          <w:color w:val="333333"/>
          <w:sz w:val="18"/>
          <w:szCs w:val="18"/>
        </w:rPr>
        <w:t xml:space="preserve"> the PPTA with the PIA.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Notably, the petroleum industry currently operates two legal regimes. Holders of the Oil Mining Lease (OML) and Oil Prospecting License (OPL) are subject to the PPTA and are liable to pay tax at the rate of 85% or 65.75% of the chargeable profits.</w:t>
      </w:r>
      <w:hyperlink r:id="rId9" w:anchor="1" w:history="1">
        <w:r w:rsidRPr="00BE7FA6">
          <w:rPr>
            <w:rFonts w:ascii="Arial" w:eastAsia="Times New Roman" w:hAnsi="Arial" w:cs="Arial"/>
            <w:color w:val="276674"/>
            <w:sz w:val="18"/>
          </w:rPr>
          <w:t>(1)</w:t>
        </w:r>
      </w:hyperlink>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 xml:space="preserve">However, under the PIA, the holders of the new Petroleum Prospecting License (PPL) and Petroleum Mining Lease (PML) are liable to pay hydrocarbon </w:t>
      </w:r>
      <w:proofErr w:type="gramStart"/>
      <w:r w:rsidRPr="00BE7FA6">
        <w:rPr>
          <w:rFonts w:ascii="Arial" w:eastAsia="Times New Roman" w:hAnsi="Arial" w:cs="Arial"/>
          <w:color w:val="333333"/>
          <w:sz w:val="18"/>
          <w:szCs w:val="18"/>
        </w:rPr>
        <w:t>tax</w:t>
      </w:r>
      <w:proofErr w:type="gramEnd"/>
      <w:r w:rsidRPr="00BE7FA6">
        <w:rPr>
          <w:rFonts w:ascii="Arial" w:eastAsia="Times New Roman" w:hAnsi="Arial" w:cs="Arial"/>
          <w:color w:val="333333"/>
          <w:sz w:val="18"/>
          <w:szCs w:val="18"/>
        </w:rPr>
        <w:fldChar w:fldCharType="begin"/>
      </w:r>
      <w:r w:rsidRPr="00BE7FA6">
        <w:rPr>
          <w:rFonts w:ascii="Arial" w:eastAsia="Times New Roman" w:hAnsi="Arial" w:cs="Arial"/>
          <w:color w:val="333333"/>
          <w:sz w:val="18"/>
          <w:szCs w:val="18"/>
        </w:rPr>
        <w:instrText xml:space="preserve"> HYPERLINK "https://www.lexology.com/library/detail.aspx?g=f6b0bc1d-d5b5-47fd-83c5-ebb70f908d60" \l "2" </w:instrText>
      </w:r>
      <w:r w:rsidRPr="00BE7FA6">
        <w:rPr>
          <w:rFonts w:ascii="Arial" w:eastAsia="Times New Roman" w:hAnsi="Arial" w:cs="Arial"/>
          <w:color w:val="333333"/>
          <w:sz w:val="18"/>
          <w:szCs w:val="18"/>
        </w:rPr>
        <w:fldChar w:fldCharType="separate"/>
      </w:r>
      <w:r w:rsidRPr="00BE7FA6">
        <w:rPr>
          <w:rFonts w:ascii="Arial" w:eastAsia="Times New Roman" w:hAnsi="Arial" w:cs="Arial"/>
          <w:color w:val="276674"/>
          <w:sz w:val="18"/>
        </w:rPr>
        <w:t>(2)</w:t>
      </w:r>
      <w:r w:rsidRPr="00BE7FA6">
        <w:rPr>
          <w:rFonts w:ascii="Arial" w:eastAsia="Times New Roman" w:hAnsi="Arial" w:cs="Arial"/>
          <w:color w:val="333333"/>
          <w:sz w:val="18"/>
          <w:szCs w:val="18"/>
        </w:rPr>
        <w:fldChar w:fldCharType="end"/>
      </w:r>
      <w:r w:rsidRPr="00BE7FA6">
        <w:rPr>
          <w:rFonts w:ascii="Arial" w:eastAsia="Times New Roman" w:hAnsi="Arial" w:cs="Arial"/>
          <w:color w:val="333333"/>
          <w:sz w:val="18"/>
          <w:szCs w:val="18"/>
        </w:rPr>
        <w:t> at the rate of:</w:t>
      </w:r>
    </w:p>
    <w:p w:rsidR="00BE7FA6" w:rsidRPr="00BE7FA6" w:rsidRDefault="00BE7FA6" w:rsidP="00BE7FA6">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30% of profits from crude oil for a PML</w:t>
      </w:r>
      <w:hyperlink r:id="rId10" w:anchor="3" w:history="1">
        <w:r w:rsidRPr="00BE7FA6">
          <w:rPr>
            <w:rFonts w:ascii="Arial" w:eastAsia="Times New Roman" w:hAnsi="Arial" w:cs="Arial"/>
            <w:color w:val="276674"/>
            <w:sz w:val="18"/>
          </w:rPr>
          <w:t>(3)</w:t>
        </w:r>
      </w:hyperlink>
      <w:r w:rsidRPr="00BE7FA6">
        <w:rPr>
          <w:rFonts w:ascii="Arial" w:eastAsia="Times New Roman" w:hAnsi="Arial" w:cs="Arial"/>
          <w:color w:val="333333"/>
          <w:sz w:val="18"/>
          <w:szCs w:val="18"/>
        </w:rPr>
        <w:t> in onshore and shallow water areas; and</w:t>
      </w:r>
    </w:p>
    <w:p w:rsidR="00BE7FA6" w:rsidRPr="00BE7FA6" w:rsidRDefault="00BE7FA6" w:rsidP="00BE7FA6">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 xml:space="preserve">15% of profits from crude oil for a </w:t>
      </w:r>
      <w:proofErr w:type="gramStart"/>
      <w:r w:rsidRPr="00BE7FA6">
        <w:rPr>
          <w:rFonts w:ascii="Arial" w:eastAsia="Times New Roman" w:hAnsi="Arial" w:cs="Arial"/>
          <w:color w:val="333333"/>
          <w:sz w:val="18"/>
          <w:szCs w:val="18"/>
        </w:rPr>
        <w:t>PPL</w:t>
      </w:r>
      <w:proofErr w:type="gramEnd"/>
      <w:r w:rsidRPr="00BE7FA6">
        <w:rPr>
          <w:rFonts w:ascii="Arial" w:eastAsia="Times New Roman" w:hAnsi="Arial" w:cs="Arial"/>
          <w:color w:val="333333"/>
          <w:sz w:val="18"/>
          <w:szCs w:val="18"/>
        </w:rPr>
        <w:fldChar w:fldCharType="begin"/>
      </w:r>
      <w:r w:rsidRPr="00BE7FA6">
        <w:rPr>
          <w:rFonts w:ascii="Arial" w:eastAsia="Times New Roman" w:hAnsi="Arial" w:cs="Arial"/>
          <w:color w:val="333333"/>
          <w:sz w:val="18"/>
          <w:szCs w:val="18"/>
        </w:rPr>
        <w:instrText xml:space="preserve"> HYPERLINK "https://www.lexology.com/library/detail.aspx?g=f6b0bc1d-d5b5-47fd-83c5-ebb70f908d60" \l "4" </w:instrText>
      </w:r>
      <w:r w:rsidRPr="00BE7FA6">
        <w:rPr>
          <w:rFonts w:ascii="Arial" w:eastAsia="Times New Roman" w:hAnsi="Arial" w:cs="Arial"/>
          <w:color w:val="333333"/>
          <w:sz w:val="18"/>
          <w:szCs w:val="18"/>
        </w:rPr>
        <w:fldChar w:fldCharType="separate"/>
      </w:r>
      <w:r w:rsidRPr="00BE7FA6">
        <w:rPr>
          <w:rFonts w:ascii="Arial" w:eastAsia="Times New Roman" w:hAnsi="Arial" w:cs="Arial"/>
          <w:color w:val="276674"/>
          <w:sz w:val="18"/>
        </w:rPr>
        <w:t>(4)</w:t>
      </w:r>
      <w:r w:rsidRPr="00BE7FA6">
        <w:rPr>
          <w:rFonts w:ascii="Arial" w:eastAsia="Times New Roman" w:hAnsi="Arial" w:cs="Arial"/>
          <w:color w:val="333333"/>
          <w:sz w:val="18"/>
          <w:szCs w:val="18"/>
        </w:rPr>
        <w:fldChar w:fldCharType="end"/>
      </w:r>
      <w:r w:rsidRPr="00BE7FA6">
        <w:rPr>
          <w:rFonts w:ascii="Arial" w:eastAsia="Times New Roman" w:hAnsi="Arial" w:cs="Arial"/>
          <w:color w:val="333333"/>
          <w:sz w:val="18"/>
          <w:szCs w:val="18"/>
        </w:rPr>
        <w:t> in onshore and shallow water areas.</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PIA allows the conversion from OPL to PPL and from OML to PML.</w:t>
      </w:r>
      <w:hyperlink r:id="rId11" w:anchor="5" w:history="1">
        <w:r w:rsidRPr="00BE7FA6">
          <w:rPr>
            <w:rFonts w:ascii="Arial" w:eastAsia="Times New Roman" w:hAnsi="Arial" w:cs="Arial"/>
            <w:color w:val="276674"/>
            <w:sz w:val="18"/>
          </w:rPr>
          <w:t>(5)</w:t>
        </w:r>
      </w:hyperlink>
      <w:r w:rsidRPr="00BE7FA6">
        <w:rPr>
          <w:rFonts w:ascii="Arial" w:eastAsia="Times New Roman" w:hAnsi="Arial" w:cs="Arial"/>
          <w:color w:val="333333"/>
          <w:sz w:val="18"/>
          <w:szCs w:val="18"/>
        </w:rPr>
        <w:t> Upon conversion, the holder of the PPL or PML will benefit from the new fiscal provisions and tax rate six under the PIA.</w:t>
      </w:r>
      <w:hyperlink r:id="rId12" w:anchor="6" w:history="1">
        <w:r w:rsidRPr="00BE7FA6">
          <w:rPr>
            <w:rFonts w:ascii="Arial" w:eastAsia="Times New Roman" w:hAnsi="Arial" w:cs="Arial"/>
            <w:color w:val="276674"/>
            <w:sz w:val="18"/>
          </w:rPr>
          <w:t>(6)</w:t>
        </w:r>
      </w:hyperlink>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b/>
          <w:bCs/>
          <w:i/>
          <w:iCs/>
          <w:color w:val="333333"/>
          <w:sz w:val="18"/>
        </w:rPr>
        <w:t>Fund</w:t>
      </w:r>
      <w:r w:rsidRPr="00BE7FA6">
        <w:rPr>
          <w:rFonts w:ascii="Arial" w:eastAsia="Times New Roman" w:hAnsi="Arial" w:cs="Arial"/>
          <w:color w:val="333333"/>
          <w:sz w:val="18"/>
          <w:szCs w:val="18"/>
        </w:rPr>
        <w:br/>
        <w:t>The Act</w:t>
      </w:r>
      <w:hyperlink r:id="rId13" w:anchor="7" w:history="1">
        <w:r w:rsidRPr="00BE7FA6">
          <w:rPr>
            <w:rFonts w:ascii="Arial" w:eastAsia="Times New Roman" w:hAnsi="Arial" w:cs="Arial"/>
            <w:color w:val="276674"/>
            <w:sz w:val="18"/>
          </w:rPr>
          <w:t>(7)</w:t>
        </w:r>
      </w:hyperlink>
      <w:r w:rsidRPr="00BE7FA6">
        <w:rPr>
          <w:rFonts w:ascii="Arial" w:eastAsia="Times New Roman" w:hAnsi="Arial" w:cs="Arial"/>
          <w:color w:val="333333"/>
          <w:sz w:val="18"/>
          <w:szCs w:val="18"/>
        </w:rPr>
        <w:t xml:space="preserve"> amended the PPTA so that where the commission has approved the decommissioning and abandonment of a field, the surplus or remaining balance of any fund, scheme, or arrangement (the fund) after the decommissioning and abandonment is subject to taxation under the PPTA. This provision by the Finance Act is specifically for OPL and OML License Holders. This amendment brings the PPTA in line with the provisions of section </w:t>
      </w:r>
      <w:r w:rsidRPr="00BE7FA6">
        <w:rPr>
          <w:rFonts w:ascii="Arial" w:eastAsia="Times New Roman" w:hAnsi="Arial" w:cs="Arial"/>
          <w:color w:val="333333"/>
          <w:sz w:val="18"/>
          <w:szCs w:val="18"/>
        </w:rPr>
        <w:lastRenderedPageBreak/>
        <w:t>233(12) of the PIA, which provides that any excess monies in the fund will be given back to the licensee or lessee.</w:t>
      </w:r>
      <w:hyperlink r:id="rId14" w:anchor="8" w:history="1">
        <w:r w:rsidRPr="00BE7FA6">
          <w:rPr>
            <w:rFonts w:ascii="Arial" w:eastAsia="Times New Roman" w:hAnsi="Arial" w:cs="Arial"/>
            <w:color w:val="276674"/>
            <w:sz w:val="18"/>
          </w:rPr>
          <w:t>(8)</w:t>
        </w:r>
      </w:hyperlink>
      <w:r w:rsidRPr="00BE7FA6">
        <w:rPr>
          <w:rFonts w:ascii="Arial" w:eastAsia="Times New Roman" w:hAnsi="Arial" w:cs="Arial"/>
          <w:color w:val="333333"/>
          <w:sz w:val="18"/>
          <w:szCs w:val="18"/>
        </w:rPr>
        <w:t> However, this amendment differs from the provisions in the PIA because the PIA does not state that the excess monies in the fund will be taxed under the PPTA, but rather that the excess shall be considered income for tax purposes and this is because the obligations for decommissioning and abandonment applies to holders of:</w:t>
      </w:r>
    </w:p>
    <w:p w:rsidR="00BE7FA6" w:rsidRPr="00BE7FA6" w:rsidRDefault="00BE7FA6" w:rsidP="00BE7FA6">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OPLs;</w:t>
      </w:r>
    </w:p>
    <w:p w:rsidR="00BE7FA6" w:rsidRPr="00BE7FA6" w:rsidRDefault="00BE7FA6" w:rsidP="00BE7FA6">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OMLs;</w:t>
      </w:r>
    </w:p>
    <w:p w:rsidR="00BE7FA6" w:rsidRPr="00BE7FA6" w:rsidRDefault="00BE7FA6" w:rsidP="00BE7FA6">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PPLs; and</w:t>
      </w:r>
    </w:p>
    <w:p w:rsidR="00BE7FA6" w:rsidRPr="00BE7FA6" w:rsidRDefault="00BE7FA6" w:rsidP="00BE7FA6">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PMLs.</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b/>
          <w:bCs/>
          <w:i/>
          <w:iCs/>
          <w:color w:val="333333"/>
          <w:sz w:val="18"/>
        </w:rPr>
        <w:t>Accounting period</w:t>
      </w:r>
      <w:r w:rsidRPr="00BE7FA6">
        <w:rPr>
          <w:rFonts w:ascii="Arial" w:eastAsia="Times New Roman" w:hAnsi="Arial" w:cs="Arial"/>
          <w:color w:val="333333"/>
          <w:sz w:val="18"/>
          <w:szCs w:val="18"/>
        </w:rPr>
        <w:br/>
        <w:t xml:space="preserve">The </w:t>
      </w:r>
      <w:proofErr w:type="gramStart"/>
      <w:r w:rsidRPr="00BE7FA6">
        <w:rPr>
          <w:rFonts w:ascii="Arial" w:eastAsia="Times New Roman" w:hAnsi="Arial" w:cs="Arial"/>
          <w:color w:val="333333"/>
          <w:sz w:val="18"/>
          <w:szCs w:val="18"/>
        </w:rPr>
        <w:t>Act</w:t>
      </w:r>
      <w:proofErr w:type="gramEnd"/>
      <w:r w:rsidRPr="00BE7FA6">
        <w:rPr>
          <w:rFonts w:ascii="Arial" w:eastAsia="Times New Roman" w:hAnsi="Arial" w:cs="Arial"/>
          <w:color w:val="333333"/>
          <w:sz w:val="18"/>
          <w:szCs w:val="18"/>
        </w:rPr>
        <w:fldChar w:fldCharType="begin"/>
      </w:r>
      <w:r w:rsidRPr="00BE7FA6">
        <w:rPr>
          <w:rFonts w:ascii="Arial" w:eastAsia="Times New Roman" w:hAnsi="Arial" w:cs="Arial"/>
          <w:color w:val="333333"/>
          <w:sz w:val="18"/>
          <w:szCs w:val="18"/>
        </w:rPr>
        <w:instrText xml:space="preserve"> HYPERLINK "https://www.lexology.com/library/detail.aspx?g=f6b0bc1d-d5b5-47fd-83c5-ebb70f908d60" \l "9" </w:instrText>
      </w:r>
      <w:r w:rsidRPr="00BE7FA6">
        <w:rPr>
          <w:rFonts w:ascii="Arial" w:eastAsia="Times New Roman" w:hAnsi="Arial" w:cs="Arial"/>
          <w:color w:val="333333"/>
          <w:sz w:val="18"/>
          <w:szCs w:val="18"/>
        </w:rPr>
        <w:fldChar w:fldCharType="separate"/>
      </w:r>
      <w:r w:rsidRPr="00BE7FA6">
        <w:rPr>
          <w:rFonts w:ascii="Arial" w:eastAsia="Times New Roman" w:hAnsi="Arial" w:cs="Arial"/>
          <w:color w:val="276674"/>
          <w:sz w:val="18"/>
        </w:rPr>
        <w:t>(9)</w:t>
      </w:r>
      <w:r w:rsidRPr="00BE7FA6">
        <w:rPr>
          <w:rFonts w:ascii="Arial" w:eastAsia="Times New Roman" w:hAnsi="Arial" w:cs="Arial"/>
          <w:color w:val="333333"/>
          <w:sz w:val="18"/>
          <w:szCs w:val="18"/>
        </w:rPr>
        <w:fldChar w:fldCharType="end"/>
      </w:r>
      <w:r w:rsidRPr="00BE7FA6">
        <w:rPr>
          <w:rFonts w:ascii="Arial" w:eastAsia="Times New Roman" w:hAnsi="Arial" w:cs="Arial"/>
          <w:color w:val="333333"/>
          <w:sz w:val="18"/>
          <w:szCs w:val="18"/>
        </w:rPr>
        <w:t> also made minor alterations on the information that will be provided for each accounting period of the company for the purpose of calculating the Petroleum Profits Tax. These now include:</w:t>
      </w:r>
    </w:p>
    <w:p w:rsidR="00BE7FA6" w:rsidRPr="00BE7FA6" w:rsidRDefault="00BE7FA6" w:rsidP="00BE7FA6">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a statement of accounts of its profits or losses;</w:t>
      </w:r>
    </w:p>
    <w:p w:rsidR="00BE7FA6" w:rsidRPr="00BE7FA6" w:rsidRDefault="00BE7FA6" w:rsidP="00BE7FA6">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computation of its actual adjusted profit or loss and actual assessable profits of that period;</w:t>
      </w:r>
    </w:p>
    <w:p w:rsidR="00BE7FA6" w:rsidRPr="00BE7FA6" w:rsidRDefault="00BE7FA6" w:rsidP="00BE7FA6">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residues at the end of that period in respect of its assets;</w:t>
      </w:r>
    </w:p>
    <w:p w:rsidR="00BE7FA6" w:rsidRPr="00BE7FA6" w:rsidRDefault="00BE7FA6" w:rsidP="00BE7FA6">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all qualifying petroleum expenditure incurred by it in that period;</w:t>
      </w:r>
    </w:p>
    <w:p w:rsidR="00BE7FA6" w:rsidRPr="00BE7FA6" w:rsidRDefault="00BE7FA6" w:rsidP="00BE7FA6">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values of any of its assets disposed of in that period; and</w:t>
      </w:r>
    </w:p>
    <w:p w:rsidR="00BE7FA6" w:rsidRPr="00BE7FA6" w:rsidRDefault="00BE7FA6" w:rsidP="00BE7FA6">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rPr>
      </w:pPr>
      <w:proofErr w:type="gramStart"/>
      <w:r w:rsidRPr="00BE7FA6">
        <w:rPr>
          <w:rFonts w:ascii="Arial" w:eastAsia="Times New Roman" w:hAnsi="Arial" w:cs="Arial"/>
          <w:color w:val="333333"/>
          <w:sz w:val="18"/>
          <w:szCs w:val="18"/>
        </w:rPr>
        <w:t>the</w:t>
      </w:r>
      <w:proofErr w:type="gramEnd"/>
      <w:r w:rsidRPr="00BE7FA6">
        <w:rPr>
          <w:rFonts w:ascii="Arial" w:eastAsia="Times New Roman" w:hAnsi="Arial" w:cs="Arial"/>
          <w:color w:val="333333"/>
          <w:sz w:val="18"/>
          <w:szCs w:val="18"/>
        </w:rPr>
        <w:t xml:space="preserve"> allowances due to it under the second schedule of the Act.</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These alterations are in line with section 277 of the PIA.</w:t>
      </w:r>
      <w:hyperlink r:id="rId15" w:anchor="10" w:history="1">
        <w:r w:rsidRPr="00BE7FA6">
          <w:rPr>
            <w:rFonts w:ascii="Arial" w:eastAsia="Times New Roman" w:hAnsi="Arial" w:cs="Arial"/>
            <w:color w:val="276674"/>
            <w:sz w:val="18"/>
          </w:rPr>
          <w:t>(10)</w:t>
        </w:r>
      </w:hyperlink>
      <w:r w:rsidRPr="00BE7FA6">
        <w:rPr>
          <w:rFonts w:ascii="Arial" w:eastAsia="Times New Roman" w:hAnsi="Arial" w:cs="Arial"/>
          <w:color w:val="333333"/>
          <w:sz w:val="18"/>
          <w:szCs w:val="18"/>
        </w:rPr>
        <w:t> The PIA in section 277(1)(d) and (g) requires a holder to provide a schedule showing total production allowance from every field of its upstream operations relating to crude oil</w:t>
      </w:r>
      <w:hyperlink r:id="rId16" w:anchor="11" w:history="1">
        <w:r w:rsidRPr="00BE7FA6">
          <w:rPr>
            <w:rFonts w:ascii="Arial" w:eastAsia="Times New Roman" w:hAnsi="Arial" w:cs="Arial"/>
            <w:color w:val="276674"/>
            <w:sz w:val="18"/>
          </w:rPr>
          <w:t>(11)</w:t>
        </w:r>
      </w:hyperlink>
      <w:r w:rsidRPr="00BE7FA6">
        <w:rPr>
          <w:rFonts w:ascii="Arial" w:eastAsia="Times New Roman" w:hAnsi="Arial" w:cs="Arial"/>
          <w:color w:val="333333"/>
          <w:sz w:val="18"/>
          <w:szCs w:val="18"/>
        </w:rPr>
        <w:t> and the computation of chargeable tax for that period.</w:t>
      </w:r>
      <w:hyperlink r:id="rId17" w:anchor="12" w:history="1">
        <w:r w:rsidRPr="00BE7FA6">
          <w:rPr>
            <w:rFonts w:ascii="Arial" w:eastAsia="Times New Roman" w:hAnsi="Arial" w:cs="Arial"/>
            <w:color w:val="276674"/>
            <w:sz w:val="18"/>
          </w:rPr>
          <w:t>(12)</w:t>
        </w:r>
      </w:hyperlink>
      <w:r w:rsidRPr="00BE7FA6">
        <w:rPr>
          <w:rFonts w:ascii="Arial" w:eastAsia="Times New Roman" w:hAnsi="Arial" w:cs="Arial"/>
          <w:color w:val="333333"/>
          <w:sz w:val="18"/>
          <w:szCs w:val="18"/>
        </w:rPr>
        <w:t> However, these provisions are not reflected in the proposed Act.</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b/>
          <w:bCs/>
          <w:i/>
          <w:iCs/>
          <w:color w:val="333333"/>
          <w:sz w:val="18"/>
        </w:rPr>
        <w:t>Audited accounts</w:t>
      </w:r>
      <w:r w:rsidRPr="00BE7FA6">
        <w:rPr>
          <w:rFonts w:ascii="Arial" w:eastAsia="Times New Roman" w:hAnsi="Arial" w:cs="Arial"/>
          <w:color w:val="333333"/>
          <w:sz w:val="18"/>
          <w:szCs w:val="18"/>
        </w:rPr>
        <w:br/>
        <w:t>Section 30</w:t>
      </w:r>
      <w:hyperlink r:id="rId18" w:anchor="13" w:history="1">
        <w:r w:rsidRPr="00BE7FA6">
          <w:rPr>
            <w:rFonts w:ascii="Arial" w:eastAsia="Times New Roman" w:hAnsi="Arial" w:cs="Arial"/>
            <w:color w:val="276674"/>
            <w:sz w:val="18"/>
          </w:rPr>
          <w:t>(13)</w:t>
        </w:r>
      </w:hyperlink>
      <w:r w:rsidRPr="00BE7FA6">
        <w:rPr>
          <w:rFonts w:ascii="Arial" w:eastAsia="Times New Roman" w:hAnsi="Arial" w:cs="Arial"/>
          <w:color w:val="333333"/>
          <w:sz w:val="18"/>
          <w:szCs w:val="18"/>
        </w:rPr>
        <w:t> of the Act requires every newly incorporated company that has not started bulk sales or disposal of chargeable oil to submit its audited accounts and returns within 18 months from its date of incorporation. The Act further states that, in the case of any other company, the audited accounts and returns must be submitted to the service within five months of the accounting period ending on 31 December of the following year. Provided that there is an interval between 31 December of the preceding year and the date on which the company commences the bulk sale or disposal of chargeable oil or condensate, the interval will be deemed to form part of the preceding period. This is in line with the provisions of section 270 of the PIA.</w:t>
      </w:r>
      <w:hyperlink r:id="rId19" w:anchor="14" w:history="1">
        <w:r w:rsidRPr="00BE7FA6">
          <w:rPr>
            <w:rFonts w:ascii="Arial" w:eastAsia="Times New Roman" w:hAnsi="Arial" w:cs="Arial"/>
            <w:color w:val="276674"/>
            <w:sz w:val="18"/>
          </w:rPr>
          <w:t>(14)</w:t>
        </w:r>
      </w:hyperlink>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b/>
          <w:bCs/>
          <w:i/>
          <w:iCs/>
          <w:color w:val="333333"/>
          <w:sz w:val="18"/>
        </w:rPr>
        <w:t>Sanctions</w:t>
      </w:r>
      <w:r w:rsidRPr="00BE7FA6">
        <w:rPr>
          <w:rFonts w:ascii="Arial" w:eastAsia="Times New Roman" w:hAnsi="Arial" w:cs="Arial"/>
          <w:color w:val="333333"/>
          <w:sz w:val="18"/>
          <w:szCs w:val="18"/>
        </w:rPr>
        <w:br/>
      </w:r>
      <w:proofErr w:type="gramStart"/>
      <w:r w:rsidRPr="00BE7FA6">
        <w:rPr>
          <w:rFonts w:ascii="Arial" w:eastAsia="Times New Roman" w:hAnsi="Arial" w:cs="Arial"/>
          <w:color w:val="333333"/>
          <w:sz w:val="18"/>
          <w:szCs w:val="18"/>
        </w:rPr>
        <w:t>Additionally</w:t>
      </w:r>
      <w:proofErr w:type="gramEnd"/>
      <w:r w:rsidRPr="00BE7FA6">
        <w:rPr>
          <w:rFonts w:ascii="Arial" w:eastAsia="Times New Roman" w:hAnsi="Arial" w:cs="Arial"/>
          <w:color w:val="333333"/>
          <w:sz w:val="18"/>
          <w:szCs w:val="18"/>
        </w:rPr>
        <w:t>, section 30</w:t>
      </w:r>
      <w:hyperlink r:id="rId20" w:anchor="15" w:history="1">
        <w:r w:rsidRPr="00BE7FA6">
          <w:rPr>
            <w:rFonts w:ascii="Arial" w:eastAsia="Times New Roman" w:hAnsi="Arial" w:cs="Arial"/>
            <w:color w:val="276674"/>
            <w:sz w:val="18"/>
          </w:rPr>
          <w:t>(15)</w:t>
        </w:r>
      </w:hyperlink>
      <w:r w:rsidRPr="00BE7FA6">
        <w:rPr>
          <w:rFonts w:ascii="Arial" w:eastAsia="Times New Roman" w:hAnsi="Arial" w:cs="Arial"/>
          <w:color w:val="333333"/>
          <w:sz w:val="18"/>
          <w:szCs w:val="18"/>
        </w:rPr>
        <w:t xml:space="preserve"> of the Act also prescribes sanctions for companies that violate section 30 (2) or (3) of the PPTA by failing to provide the service with their audited financial statements and returns within the stipulated period. The Act </w:t>
      </w:r>
      <w:proofErr w:type="spellStart"/>
      <w:r w:rsidRPr="00BE7FA6">
        <w:rPr>
          <w:rFonts w:ascii="Arial" w:eastAsia="Times New Roman" w:hAnsi="Arial" w:cs="Arial"/>
          <w:color w:val="333333"/>
          <w:sz w:val="18"/>
          <w:szCs w:val="18"/>
        </w:rPr>
        <w:t>penalises</w:t>
      </w:r>
      <w:proofErr w:type="spellEnd"/>
      <w:r w:rsidRPr="00BE7FA6">
        <w:rPr>
          <w:rFonts w:ascii="Arial" w:eastAsia="Times New Roman" w:hAnsi="Arial" w:cs="Arial"/>
          <w:color w:val="333333"/>
          <w:sz w:val="18"/>
          <w:szCs w:val="18"/>
        </w:rPr>
        <w:t xml:space="preserve"> the violation with a fine of 10 million naira (approximately £10,265) for the first day the failure occurs, and a two million naira (approximately £2,053) fine for each succeeding day the failure persists, or any other amount that the minister of finance may specify in an order that is published in the </w:t>
      </w:r>
      <w:r w:rsidRPr="00BE7FA6">
        <w:rPr>
          <w:rFonts w:ascii="Arial" w:eastAsia="Times New Roman" w:hAnsi="Arial" w:cs="Arial"/>
          <w:i/>
          <w:iCs/>
          <w:color w:val="333333"/>
          <w:sz w:val="18"/>
        </w:rPr>
        <w:t>Gazette</w:t>
      </w:r>
      <w:r w:rsidRPr="00BE7FA6">
        <w:rPr>
          <w:rFonts w:ascii="Arial" w:eastAsia="Times New Roman" w:hAnsi="Arial" w:cs="Arial"/>
          <w:color w:val="333333"/>
          <w:sz w:val="18"/>
          <w:szCs w:val="18"/>
        </w:rPr>
        <w:t>.</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Act purports to amend the penalty for offences committed under the PPTA. It provides that, where no administrative penalty is prescribed, the person found to be in default will be liable to a fine of 10 million naira (approximately £10,265). This is a major increase from the former fee of ten thousand naira (approximately £9) under the PPTA. The Act also provides for an increase from two thousand (approximately £2) to two million naira (approximately £2,053) for each day the default continues.</w:t>
      </w:r>
      <w:hyperlink r:id="rId21" w:anchor="16" w:history="1">
        <w:r w:rsidRPr="00BE7FA6">
          <w:rPr>
            <w:rFonts w:ascii="Arial" w:eastAsia="Times New Roman" w:hAnsi="Arial" w:cs="Arial"/>
            <w:color w:val="276674"/>
            <w:sz w:val="18"/>
          </w:rPr>
          <w:t>(16)</w:t>
        </w:r>
      </w:hyperlink>
      <w:r w:rsidRPr="00BE7FA6">
        <w:rPr>
          <w:rFonts w:ascii="Arial" w:eastAsia="Times New Roman" w:hAnsi="Arial" w:cs="Arial"/>
          <w:color w:val="333333"/>
          <w:sz w:val="18"/>
          <w:szCs w:val="18"/>
        </w:rPr>
        <w:t xml:space="preserve"> In addition, the Act proposes that, notwithstanding the provisions in section 51(1) of the PPTA, where a person is found guilty in a situation where there is no specified penalty, the defaulter will, upon conviction, pay a fine of 20 million naira (approximately £20,526) or any other amount the minister of finance may prescribe by order or a six-month sentence in prison, or both. The Act also provides that a person is liable to the administrative penalty as earlier stated in section 30 of the PPTA as proposed by the </w:t>
      </w:r>
      <w:proofErr w:type="gramStart"/>
      <w:r w:rsidRPr="00BE7FA6">
        <w:rPr>
          <w:rFonts w:ascii="Arial" w:eastAsia="Times New Roman" w:hAnsi="Arial" w:cs="Arial"/>
          <w:color w:val="333333"/>
          <w:sz w:val="18"/>
          <w:szCs w:val="18"/>
        </w:rPr>
        <w:t>Act</w:t>
      </w:r>
      <w:proofErr w:type="gramEnd"/>
      <w:r w:rsidRPr="00BE7FA6">
        <w:rPr>
          <w:rFonts w:ascii="Arial" w:eastAsia="Times New Roman" w:hAnsi="Arial" w:cs="Arial"/>
          <w:color w:val="333333"/>
          <w:sz w:val="18"/>
          <w:szCs w:val="18"/>
        </w:rPr>
        <w:fldChar w:fldCharType="begin"/>
      </w:r>
      <w:r w:rsidRPr="00BE7FA6">
        <w:rPr>
          <w:rFonts w:ascii="Arial" w:eastAsia="Times New Roman" w:hAnsi="Arial" w:cs="Arial"/>
          <w:color w:val="333333"/>
          <w:sz w:val="18"/>
          <w:szCs w:val="18"/>
        </w:rPr>
        <w:instrText xml:space="preserve"> HYPERLINK "https://www.lexology.com/library/detail.aspx?g=f6b0bc1d-d5b5-47fd-83c5-ebb70f908d60" \l "17" </w:instrText>
      </w:r>
      <w:r w:rsidRPr="00BE7FA6">
        <w:rPr>
          <w:rFonts w:ascii="Arial" w:eastAsia="Times New Roman" w:hAnsi="Arial" w:cs="Arial"/>
          <w:color w:val="333333"/>
          <w:sz w:val="18"/>
          <w:szCs w:val="18"/>
        </w:rPr>
        <w:fldChar w:fldCharType="separate"/>
      </w:r>
      <w:r w:rsidRPr="00BE7FA6">
        <w:rPr>
          <w:rFonts w:ascii="Arial" w:eastAsia="Times New Roman" w:hAnsi="Arial" w:cs="Arial"/>
          <w:color w:val="276674"/>
          <w:sz w:val="18"/>
        </w:rPr>
        <w:t>(17)</w:t>
      </w:r>
      <w:r w:rsidRPr="00BE7FA6">
        <w:rPr>
          <w:rFonts w:ascii="Arial" w:eastAsia="Times New Roman" w:hAnsi="Arial" w:cs="Arial"/>
          <w:color w:val="333333"/>
          <w:sz w:val="18"/>
          <w:szCs w:val="18"/>
        </w:rPr>
        <w:fldChar w:fldCharType="end"/>
      </w:r>
      <w:r w:rsidRPr="00BE7FA6">
        <w:rPr>
          <w:rFonts w:ascii="Arial" w:eastAsia="Times New Roman" w:hAnsi="Arial" w:cs="Arial"/>
          <w:color w:val="333333"/>
          <w:sz w:val="18"/>
          <w:szCs w:val="18"/>
        </w:rPr>
        <w:t> if they disregard:</w:t>
      </w:r>
    </w:p>
    <w:p w:rsidR="00BE7FA6" w:rsidRPr="00BE7FA6" w:rsidRDefault="00BE7FA6" w:rsidP="00BE7FA6">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requirements of a notice served on them under the Act without good reason;</w:t>
      </w:r>
    </w:p>
    <w:p w:rsidR="00BE7FA6" w:rsidRPr="00BE7FA6" w:rsidRDefault="00BE7FA6" w:rsidP="00BE7FA6">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provisions of section 30 of the Act;</w:t>
      </w:r>
    </w:p>
    <w:p w:rsidR="00BE7FA6" w:rsidRPr="00BE7FA6" w:rsidRDefault="00BE7FA6" w:rsidP="00BE7FA6">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a summons served on them under the Act;</w:t>
      </w:r>
    </w:p>
    <w:p w:rsidR="00BE7FA6" w:rsidRPr="00BE7FA6" w:rsidRDefault="00BE7FA6" w:rsidP="00BE7FA6">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a question lawfully put to them after they attend a summons or fail to answer any question lawfully put to them; or</w:t>
      </w:r>
    </w:p>
    <w:p w:rsidR="00BE7FA6" w:rsidRPr="00BE7FA6" w:rsidRDefault="00BE7FA6" w:rsidP="00BE7FA6">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proofErr w:type="gramStart"/>
      <w:r w:rsidRPr="00BE7FA6">
        <w:rPr>
          <w:rFonts w:ascii="Arial" w:eastAsia="Times New Roman" w:hAnsi="Arial" w:cs="Arial"/>
          <w:color w:val="333333"/>
          <w:sz w:val="18"/>
          <w:szCs w:val="18"/>
        </w:rPr>
        <w:t>the</w:t>
      </w:r>
      <w:proofErr w:type="gramEnd"/>
      <w:r w:rsidRPr="00BE7FA6">
        <w:rPr>
          <w:rFonts w:ascii="Arial" w:eastAsia="Times New Roman" w:hAnsi="Arial" w:cs="Arial"/>
          <w:color w:val="333333"/>
          <w:sz w:val="18"/>
          <w:szCs w:val="18"/>
        </w:rPr>
        <w:t xml:space="preserve"> requirements of a return required to be submitted under sections 30 or 33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lastRenderedPageBreak/>
        <w:t>The Act also provides that any offence committed under section 30s subsections (1) and (3) of the PPTA will be considered to have occurred in Nigeria.</w:t>
      </w:r>
      <w:hyperlink r:id="rId22" w:anchor="18" w:history="1">
        <w:r w:rsidRPr="00BE7FA6">
          <w:rPr>
            <w:rFonts w:ascii="Arial" w:eastAsia="Times New Roman" w:hAnsi="Arial" w:cs="Arial"/>
            <w:color w:val="276674"/>
            <w:sz w:val="18"/>
          </w:rPr>
          <w:t>(18)</w:t>
        </w:r>
      </w:hyperlink>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The Act intends to amend the penalties for making false statement of accounts, statements and returns by prescribing an increased fine of 15 million naira (approximately £14,962) and 1% of any tax undercharge or misappropriations made by the defaulter,</w:t>
      </w:r>
      <w:hyperlink r:id="rId23" w:anchor="19" w:history="1">
        <w:r w:rsidRPr="00BE7FA6">
          <w:rPr>
            <w:rFonts w:ascii="Arial" w:eastAsia="Times New Roman" w:hAnsi="Arial" w:cs="Arial"/>
            <w:color w:val="276674"/>
            <w:sz w:val="18"/>
          </w:rPr>
          <w:t>(19)</w:t>
        </w:r>
      </w:hyperlink>
      <w:r w:rsidRPr="00BE7FA6">
        <w:rPr>
          <w:rFonts w:ascii="Arial" w:eastAsia="Times New Roman" w:hAnsi="Arial" w:cs="Arial"/>
          <w:color w:val="333333"/>
          <w:sz w:val="18"/>
          <w:szCs w:val="18"/>
        </w:rPr>
        <w:t> six months' imprisonment or both</w:t>
      </w:r>
      <w:hyperlink r:id="rId24" w:anchor="20" w:history="1">
        <w:r w:rsidRPr="00BE7FA6">
          <w:rPr>
            <w:rFonts w:ascii="Arial" w:eastAsia="Times New Roman" w:hAnsi="Arial" w:cs="Arial"/>
            <w:color w:val="276674"/>
            <w:sz w:val="18"/>
          </w:rPr>
          <w:t>(20)</w:t>
        </w:r>
      </w:hyperlink>
      <w:r w:rsidRPr="00BE7FA6">
        <w:rPr>
          <w:rFonts w:ascii="Arial" w:eastAsia="Times New Roman" w:hAnsi="Arial" w:cs="Arial"/>
          <w:color w:val="333333"/>
          <w:sz w:val="18"/>
          <w:szCs w:val="18"/>
        </w:rPr>
        <w:t> as opposed to one thousand naira (£1) and double the amount of tax specified by the PPTA for the accounting period.</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color w:val="333333"/>
          <w:sz w:val="18"/>
          <w:szCs w:val="18"/>
        </w:rPr>
        <w:t xml:space="preserve">The Act also deleted section 55 of the PPTA which states the penalties for offences by </w:t>
      </w:r>
      <w:proofErr w:type="spellStart"/>
      <w:r w:rsidRPr="00BE7FA6">
        <w:rPr>
          <w:rFonts w:ascii="Arial" w:eastAsia="Times New Roman" w:hAnsi="Arial" w:cs="Arial"/>
          <w:color w:val="333333"/>
          <w:sz w:val="18"/>
          <w:szCs w:val="18"/>
        </w:rPr>
        <w:t>authorised</w:t>
      </w:r>
      <w:proofErr w:type="spellEnd"/>
      <w:r w:rsidRPr="00BE7FA6">
        <w:rPr>
          <w:rFonts w:ascii="Arial" w:eastAsia="Times New Roman" w:hAnsi="Arial" w:cs="Arial"/>
          <w:color w:val="333333"/>
          <w:sz w:val="18"/>
          <w:szCs w:val="18"/>
        </w:rPr>
        <w:t xml:space="preserve"> and </w:t>
      </w:r>
      <w:proofErr w:type="spellStart"/>
      <w:r w:rsidRPr="00BE7FA6">
        <w:rPr>
          <w:rFonts w:ascii="Arial" w:eastAsia="Times New Roman" w:hAnsi="Arial" w:cs="Arial"/>
          <w:color w:val="333333"/>
          <w:sz w:val="18"/>
          <w:szCs w:val="18"/>
        </w:rPr>
        <w:t>unauthorised</w:t>
      </w:r>
      <w:proofErr w:type="spellEnd"/>
      <w:r w:rsidRPr="00BE7FA6">
        <w:rPr>
          <w:rFonts w:ascii="Arial" w:eastAsia="Times New Roman" w:hAnsi="Arial" w:cs="Arial"/>
          <w:color w:val="333333"/>
          <w:sz w:val="18"/>
          <w:szCs w:val="18"/>
        </w:rPr>
        <w:t xml:space="preserve"> persons. It prescribes these modifications because section 44 of the Federal Inland Revenue Service (Establishment) Act 2007 already has sufficient and superseding provisions that are more pertinent considering redundant offenses and penalties.</w:t>
      </w:r>
      <w:hyperlink r:id="rId25" w:anchor="21" w:history="1">
        <w:r w:rsidRPr="00BE7FA6">
          <w:rPr>
            <w:rFonts w:ascii="Arial" w:eastAsia="Times New Roman" w:hAnsi="Arial" w:cs="Arial"/>
            <w:color w:val="276674"/>
            <w:sz w:val="18"/>
          </w:rPr>
          <w:t>(21)</w:t>
        </w:r>
      </w:hyperlink>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i/>
          <w:iCs/>
          <w:color w:val="333333"/>
          <w:sz w:val="18"/>
        </w:rPr>
        <w:t>For further information on this topic please contact </w:t>
      </w:r>
      <w:hyperlink r:id="rId26" w:history="1">
        <w:r w:rsidRPr="00BE7FA6">
          <w:rPr>
            <w:rFonts w:ascii="Arial" w:eastAsia="Times New Roman" w:hAnsi="Arial" w:cs="Arial"/>
            <w:i/>
            <w:iCs/>
            <w:color w:val="276674"/>
            <w:sz w:val="18"/>
          </w:rPr>
          <w:t>Queeneth Agu</w:t>
        </w:r>
      </w:hyperlink>
      <w:r w:rsidRPr="00BE7FA6">
        <w:rPr>
          <w:rFonts w:ascii="Arial" w:eastAsia="Times New Roman" w:hAnsi="Arial" w:cs="Arial"/>
          <w:i/>
          <w:iCs/>
          <w:color w:val="333333"/>
          <w:sz w:val="18"/>
        </w:rPr>
        <w:t xml:space="preserve"> at </w:t>
      </w:r>
      <w:proofErr w:type="spellStart"/>
      <w:r w:rsidRPr="00BE7FA6">
        <w:rPr>
          <w:rFonts w:ascii="Arial" w:eastAsia="Times New Roman" w:hAnsi="Arial" w:cs="Arial"/>
          <w:i/>
          <w:iCs/>
          <w:color w:val="333333"/>
          <w:sz w:val="18"/>
        </w:rPr>
        <w:t>Streamsowers</w:t>
      </w:r>
      <w:proofErr w:type="spellEnd"/>
      <w:r w:rsidRPr="00BE7FA6">
        <w:rPr>
          <w:rFonts w:ascii="Arial" w:eastAsia="Times New Roman" w:hAnsi="Arial" w:cs="Arial"/>
          <w:i/>
          <w:iCs/>
          <w:color w:val="333333"/>
          <w:sz w:val="18"/>
        </w:rPr>
        <w:t xml:space="preserve"> &amp; </w:t>
      </w:r>
      <w:proofErr w:type="spellStart"/>
      <w:r w:rsidRPr="00BE7FA6">
        <w:rPr>
          <w:rFonts w:ascii="Arial" w:eastAsia="Times New Roman" w:hAnsi="Arial" w:cs="Arial"/>
          <w:i/>
          <w:iCs/>
          <w:color w:val="333333"/>
          <w:sz w:val="18"/>
        </w:rPr>
        <w:t>Köhn</w:t>
      </w:r>
      <w:proofErr w:type="spellEnd"/>
      <w:r w:rsidRPr="00BE7FA6">
        <w:rPr>
          <w:rFonts w:ascii="Arial" w:eastAsia="Times New Roman" w:hAnsi="Arial" w:cs="Arial"/>
          <w:i/>
          <w:iCs/>
          <w:color w:val="333333"/>
          <w:sz w:val="18"/>
        </w:rPr>
        <w:t xml:space="preserve"> by telephone (+234 1 271 2276) or email (</w:t>
      </w:r>
      <w:hyperlink r:id="rId27" w:history="1">
        <w:r w:rsidRPr="00BE7FA6">
          <w:rPr>
            <w:rFonts w:ascii="Arial" w:eastAsia="Times New Roman" w:hAnsi="Arial" w:cs="Arial"/>
            <w:i/>
            <w:iCs/>
            <w:color w:val="276674"/>
            <w:sz w:val="18"/>
          </w:rPr>
          <w:t>queeneth@sskohn.com</w:t>
        </w:r>
      </w:hyperlink>
      <w:r w:rsidRPr="00BE7FA6">
        <w:rPr>
          <w:rFonts w:ascii="Arial" w:eastAsia="Times New Roman" w:hAnsi="Arial" w:cs="Arial"/>
          <w:i/>
          <w:iCs/>
          <w:color w:val="333333"/>
          <w:sz w:val="18"/>
        </w:rPr>
        <w:t xml:space="preserve">). The </w:t>
      </w:r>
      <w:proofErr w:type="spellStart"/>
      <w:r w:rsidRPr="00BE7FA6">
        <w:rPr>
          <w:rFonts w:ascii="Arial" w:eastAsia="Times New Roman" w:hAnsi="Arial" w:cs="Arial"/>
          <w:i/>
          <w:iCs/>
          <w:color w:val="333333"/>
          <w:sz w:val="18"/>
        </w:rPr>
        <w:t>Streamsowers</w:t>
      </w:r>
      <w:proofErr w:type="spellEnd"/>
      <w:r w:rsidRPr="00BE7FA6">
        <w:rPr>
          <w:rFonts w:ascii="Arial" w:eastAsia="Times New Roman" w:hAnsi="Arial" w:cs="Arial"/>
          <w:i/>
          <w:iCs/>
          <w:color w:val="333333"/>
          <w:sz w:val="18"/>
        </w:rPr>
        <w:t xml:space="preserve"> &amp; </w:t>
      </w:r>
      <w:proofErr w:type="spellStart"/>
      <w:r w:rsidRPr="00BE7FA6">
        <w:rPr>
          <w:rFonts w:ascii="Arial" w:eastAsia="Times New Roman" w:hAnsi="Arial" w:cs="Arial"/>
          <w:i/>
          <w:iCs/>
          <w:color w:val="333333"/>
          <w:sz w:val="18"/>
        </w:rPr>
        <w:t>Köhn</w:t>
      </w:r>
      <w:proofErr w:type="spellEnd"/>
      <w:r w:rsidRPr="00BE7FA6">
        <w:rPr>
          <w:rFonts w:ascii="Arial" w:eastAsia="Times New Roman" w:hAnsi="Arial" w:cs="Arial"/>
          <w:i/>
          <w:iCs/>
          <w:color w:val="333333"/>
          <w:sz w:val="18"/>
        </w:rPr>
        <w:t xml:space="preserve"> website can be accessed at </w:t>
      </w:r>
      <w:hyperlink r:id="rId28" w:history="1">
        <w:r w:rsidRPr="00BE7FA6">
          <w:rPr>
            <w:rFonts w:ascii="Arial" w:eastAsia="Times New Roman" w:hAnsi="Arial" w:cs="Arial"/>
            <w:i/>
            <w:iCs/>
            <w:color w:val="276674"/>
            <w:sz w:val="18"/>
          </w:rPr>
          <w:t>www.sskohn.com</w:t>
        </w:r>
      </w:hyperlink>
      <w:r w:rsidRPr="00BE7FA6">
        <w:rPr>
          <w:rFonts w:ascii="Arial" w:eastAsia="Times New Roman" w:hAnsi="Arial" w:cs="Arial"/>
          <w:i/>
          <w:iCs/>
          <w:color w:val="333333"/>
          <w:sz w:val="18"/>
        </w:rPr>
        <w:t>.</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r w:rsidRPr="00BE7FA6">
        <w:rPr>
          <w:rFonts w:ascii="Arial" w:eastAsia="Times New Roman" w:hAnsi="Arial" w:cs="Arial"/>
          <w:b/>
          <w:bCs/>
          <w:color w:val="333333"/>
          <w:sz w:val="18"/>
        </w:rPr>
        <w:t>Endnotes</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2" w:name="1"/>
      <w:bookmarkEnd w:id="2"/>
      <w:proofErr w:type="gramStart"/>
      <w:r w:rsidRPr="00BE7FA6">
        <w:rPr>
          <w:rFonts w:ascii="Arial" w:eastAsia="Times New Roman" w:hAnsi="Arial" w:cs="Arial"/>
          <w:color w:val="333333"/>
          <w:sz w:val="18"/>
          <w:szCs w:val="18"/>
        </w:rPr>
        <w:t>(1) Section 21 (1) and (2) of the PPTA.</w:t>
      </w:r>
      <w:proofErr w:type="gramEnd"/>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3" w:name="2"/>
      <w:bookmarkEnd w:id="3"/>
      <w:r w:rsidRPr="00BE7FA6">
        <w:rPr>
          <w:rFonts w:ascii="Arial" w:eastAsia="Times New Roman" w:hAnsi="Arial" w:cs="Arial"/>
          <w:color w:val="333333"/>
          <w:sz w:val="18"/>
          <w:szCs w:val="18"/>
        </w:rPr>
        <w:t>(2) Hydrocarbon tax applies to crude oil, field condensates and natural gas liquids derived from associated gas and produced in the field upstream of measurement points.</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4" w:name="3"/>
      <w:bookmarkEnd w:id="4"/>
      <w:r w:rsidRPr="00BE7FA6">
        <w:rPr>
          <w:rFonts w:ascii="Arial" w:eastAsia="Times New Roman" w:hAnsi="Arial" w:cs="Arial"/>
          <w:color w:val="333333"/>
          <w:sz w:val="18"/>
          <w:szCs w:val="18"/>
        </w:rPr>
        <w:t>(3) Section 267 (a) of the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5" w:name="4"/>
      <w:bookmarkEnd w:id="5"/>
      <w:r w:rsidRPr="00BE7FA6">
        <w:rPr>
          <w:rFonts w:ascii="Arial" w:eastAsia="Times New Roman" w:hAnsi="Arial" w:cs="Arial"/>
          <w:color w:val="333333"/>
          <w:sz w:val="18"/>
          <w:szCs w:val="18"/>
        </w:rPr>
        <w:t>(4) Section 267 (b) of the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6" w:name="5"/>
      <w:bookmarkEnd w:id="6"/>
      <w:r w:rsidRPr="00BE7FA6">
        <w:rPr>
          <w:rFonts w:ascii="Arial" w:eastAsia="Times New Roman" w:hAnsi="Arial" w:cs="Arial"/>
          <w:color w:val="333333"/>
          <w:sz w:val="18"/>
          <w:szCs w:val="18"/>
        </w:rPr>
        <w:t xml:space="preserve">(5) Section 92 (1) </w:t>
      </w:r>
      <w:proofErr w:type="spellStart"/>
      <w:proofErr w:type="gramStart"/>
      <w:r w:rsidRPr="00BE7FA6">
        <w:rPr>
          <w:rFonts w:ascii="Arial" w:eastAsia="Times New Roman" w:hAnsi="Arial" w:cs="Arial"/>
          <w:color w:val="333333"/>
          <w:sz w:val="18"/>
          <w:szCs w:val="18"/>
        </w:rPr>
        <w:t>od</w:t>
      </w:r>
      <w:proofErr w:type="spellEnd"/>
      <w:proofErr w:type="gramEnd"/>
      <w:r w:rsidRPr="00BE7FA6">
        <w:rPr>
          <w:rFonts w:ascii="Arial" w:eastAsia="Times New Roman" w:hAnsi="Arial" w:cs="Arial"/>
          <w:color w:val="333333"/>
          <w:sz w:val="18"/>
          <w:szCs w:val="18"/>
        </w:rPr>
        <w:t xml:space="preserve"> the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7" w:name="6"/>
      <w:bookmarkEnd w:id="7"/>
      <w:r w:rsidRPr="00BE7FA6">
        <w:rPr>
          <w:rFonts w:ascii="Arial" w:eastAsia="Times New Roman" w:hAnsi="Arial" w:cs="Arial"/>
          <w:color w:val="333333"/>
          <w:sz w:val="18"/>
          <w:szCs w:val="18"/>
        </w:rPr>
        <w:t>(6) Section 92 (20) of the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8" w:name="7"/>
      <w:bookmarkEnd w:id="8"/>
      <w:r w:rsidRPr="00BE7FA6">
        <w:rPr>
          <w:rFonts w:ascii="Arial" w:eastAsia="Times New Roman" w:hAnsi="Arial" w:cs="Arial"/>
          <w:color w:val="333333"/>
          <w:sz w:val="18"/>
          <w:szCs w:val="18"/>
        </w:rPr>
        <w:t>(7) Section 15 of the Finance act 2023 which amended Section 10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9" w:name="8"/>
      <w:bookmarkEnd w:id="9"/>
      <w:r w:rsidRPr="00BE7FA6">
        <w:rPr>
          <w:rFonts w:ascii="Arial" w:eastAsia="Times New Roman" w:hAnsi="Arial" w:cs="Arial"/>
          <w:color w:val="333333"/>
          <w:sz w:val="18"/>
          <w:szCs w:val="18"/>
        </w:rPr>
        <w:t>(8) Section 233 (12) of the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0" w:name="9"/>
      <w:bookmarkEnd w:id="10"/>
      <w:r w:rsidRPr="00BE7FA6">
        <w:rPr>
          <w:rFonts w:ascii="Arial" w:eastAsia="Times New Roman" w:hAnsi="Arial" w:cs="Arial"/>
          <w:color w:val="333333"/>
          <w:sz w:val="18"/>
          <w:szCs w:val="18"/>
        </w:rPr>
        <w:t>(9) Section 17 of the Finance Act 2023 which amended Section 30 of the PPTA was amended.</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1" w:name="10"/>
      <w:bookmarkEnd w:id="11"/>
      <w:r w:rsidRPr="00BE7FA6">
        <w:rPr>
          <w:rFonts w:ascii="Arial" w:eastAsia="Times New Roman" w:hAnsi="Arial" w:cs="Arial"/>
          <w:color w:val="333333"/>
          <w:sz w:val="18"/>
          <w:szCs w:val="18"/>
        </w:rPr>
        <w:t>(10)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2" w:name="11"/>
      <w:bookmarkEnd w:id="12"/>
      <w:r w:rsidRPr="00BE7FA6">
        <w:rPr>
          <w:rFonts w:ascii="Arial" w:eastAsia="Times New Roman" w:hAnsi="Arial" w:cs="Arial"/>
          <w:color w:val="333333"/>
          <w:sz w:val="18"/>
          <w:szCs w:val="18"/>
        </w:rPr>
        <w:t>(11) Section 277 (1) (d) of the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3" w:name="12"/>
      <w:bookmarkEnd w:id="13"/>
      <w:r w:rsidRPr="00BE7FA6">
        <w:rPr>
          <w:rFonts w:ascii="Arial" w:eastAsia="Times New Roman" w:hAnsi="Arial" w:cs="Arial"/>
          <w:color w:val="333333"/>
          <w:sz w:val="18"/>
          <w:szCs w:val="18"/>
        </w:rPr>
        <w:t>(12) Section 277 (1) (g) of the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4" w:name="13"/>
      <w:bookmarkEnd w:id="14"/>
      <w:r w:rsidRPr="00BE7FA6">
        <w:rPr>
          <w:rFonts w:ascii="Arial" w:eastAsia="Times New Roman" w:hAnsi="Arial" w:cs="Arial"/>
          <w:color w:val="333333"/>
          <w:sz w:val="18"/>
          <w:szCs w:val="18"/>
        </w:rPr>
        <w:t>(13) Section 17 of the Finance Act 2023 which amended Section 30 (2)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5" w:name="14"/>
      <w:bookmarkEnd w:id="15"/>
      <w:r w:rsidRPr="00BE7FA6">
        <w:rPr>
          <w:rFonts w:ascii="Arial" w:eastAsia="Times New Roman" w:hAnsi="Arial" w:cs="Arial"/>
          <w:color w:val="333333"/>
          <w:sz w:val="18"/>
          <w:szCs w:val="18"/>
        </w:rPr>
        <w:t>(14) PIA 2021.</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6" w:name="15"/>
      <w:bookmarkEnd w:id="16"/>
      <w:r w:rsidRPr="00BE7FA6">
        <w:rPr>
          <w:rFonts w:ascii="Arial" w:eastAsia="Times New Roman" w:hAnsi="Arial" w:cs="Arial"/>
          <w:color w:val="333333"/>
          <w:sz w:val="18"/>
          <w:szCs w:val="18"/>
        </w:rPr>
        <w:t>(15) Section 17 of the Finance Act which amended Section 30 (4)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7" w:name="16"/>
      <w:bookmarkEnd w:id="17"/>
      <w:r w:rsidRPr="00BE7FA6">
        <w:rPr>
          <w:rFonts w:ascii="Arial" w:eastAsia="Times New Roman" w:hAnsi="Arial" w:cs="Arial"/>
          <w:color w:val="333333"/>
          <w:sz w:val="18"/>
          <w:szCs w:val="18"/>
        </w:rPr>
        <w:t>(16) Section 18 of the Finance Act 2023 which amended Section 51 (1)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8" w:name="17"/>
      <w:bookmarkEnd w:id="18"/>
      <w:r w:rsidRPr="00BE7FA6">
        <w:rPr>
          <w:rFonts w:ascii="Arial" w:eastAsia="Times New Roman" w:hAnsi="Arial" w:cs="Arial"/>
          <w:color w:val="333333"/>
          <w:sz w:val="18"/>
          <w:szCs w:val="18"/>
        </w:rPr>
        <w:t>(17) Section 18 of the Finance Act 2023 which amended Section 51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19" w:name="18"/>
      <w:bookmarkEnd w:id="19"/>
      <w:r w:rsidRPr="00BE7FA6">
        <w:rPr>
          <w:rFonts w:ascii="Arial" w:eastAsia="Times New Roman" w:hAnsi="Arial" w:cs="Arial"/>
          <w:color w:val="333333"/>
          <w:sz w:val="18"/>
          <w:szCs w:val="18"/>
        </w:rPr>
        <w:t>(18) Section 18 of the Finance Act 2023 which amended Section 51 (3) and (4)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20" w:name="19"/>
      <w:bookmarkEnd w:id="20"/>
      <w:r w:rsidRPr="00BE7FA6">
        <w:rPr>
          <w:rFonts w:ascii="Arial" w:eastAsia="Times New Roman" w:hAnsi="Arial" w:cs="Arial"/>
          <w:color w:val="333333"/>
          <w:sz w:val="18"/>
          <w:szCs w:val="18"/>
        </w:rPr>
        <w:t>(19) Section 18 of the Finance Act 2023 which amended Section 52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21" w:name="20"/>
      <w:bookmarkEnd w:id="21"/>
      <w:r w:rsidRPr="00BE7FA6">
        <w:rPr>
          <w:rFonts w:ascii="Arial" w:eastAsia="Times New Roman" w:hAnsi="Arial" w:cs="Arial"/>
          <w:color w:val="333333"/>
          <w:sz w:val="18"/>
          <w:szCs w:val="18"/>
        </w:rPr>
        <w:t>(20) Section 19 of the Finance Act 2023 which amended Section 53 of the PPTA.</w:t>
      </w:r>
    </w:p>
    <w:p w:rsidR="00BE7FA6" w:rsidRPr="00BE7FA6" w:rsidRDefault="00BE7FA6" w:rsidP="00BE7FA6">
      <w:pPr>
        <w:shd w:val="clear" w:color="auto" w:fill="FFFFFF"/>
        <w:spacing w:after="121" w:line="240" w:lineRule="auto"/>
        <w:rPr>
          <w:rFonts w:ascii="Arial" w:eastAsia="Times New Roman" w:hAnsi="Arial" w:cs="Arial"/>
          <w:color w:val="333333"/>
          <w:sz w:val="18"/>
          <w:szCs w:val="18"/>
        </w:rPr>
      </w:pPr>
      <w:bookmarkStart w:id="22" w:name="21"/>
      <w:bookmarkEnd w:id="22"/>
      <w:r w:rsidRPr="00BE7FA6">
        <w:rPr>
          <w:rFonts w:ascii="Arial" w:eastAsia="Times New Roman" w:hAnsi="Arial" w:cs="Arial"/>
          <w:color w:val="333333"/>
          <w:sz w:val="18"/>
          <w:szCs w:val="18"/>
        </w:rPr>
        <w:t>(21) Section 20 of the Finance Act 2023 which deleted Section 55 of the PPTA.</w:t>
      </w:r>
    </w:p>
    <w:p w:rsidR="00A35542" w:rsidRDefault="00A35542"/>
    <w:sectPr w:rsidR="00A35542" w:rsidSect="00A355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1B9" w:rsidRDefault="002461B9" w:rsidP="00BE7FA6">
      <w:pPr>
        <w:spacing w:after="0" w:line="240" w:lineRule="auto"/>
      </w:pPr>
      <w:r>
        <w:separator/>
      </w:r>
    </w:p>
  </w:endnote>
  <w:endnote w:type="continuationSeparator" w:id="0">
    <w:p w:rsidR="002461B9" w:rsidRDefault="002461B9" w:rsidP="00BE7F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1B9" w:rsidRDefault="002461B9" w:rsidP="00BE7FA6">
      <w:pPr>
        <w:spacing w:after="0" w:line="240" w:lineRule="auto"/>
      </w:pPr>
      <w:r>
        <w:separator/>
      </w:r>
    </w:p>
  </w:footnote>
  <w:footnote w:type="continuationSeparator" w:id="0">
    <w:p w:rsidR="002461B9" w:rsidRDefault="002461B9" w:rsidP="00BE7FA6">
      <w:pPr>
        <w:spacing w:after="0" w:line="240" w:lineRule="auto"/>
      </w:pPr>
      <w:r>
        <w:continuationSeparator/>
      </w:r>
    </w:p>
  </w:footnote>
  <w:footnote w:id="1">
    <w:p w:rsidR="00BE7FA6" w:rsidRPr="00BE7FA6" w:rsidRDefault="00BE7FA6" w:rsidP="00BE7FA6">
      <w:pPr>
        <w:shd w:val="clear" w:color="auto" w:fill="FFFFFF"/>
        <w:spacing w:after="48" w:line="240" w:lineRule="auto"/>
        <w:rPr>
          <w:rFonts w:ascii="Times New Roman" w:eastAsia="Times New Roman" w:hAnsi="Times New Roman" w:cs="Times New Roman"/>
          <w:sz w:val="20"/>
          <w:szCs w:val="20"/>
        </w:rPr>
      </w:pPr>
      <w:r w:rsidRPr="00BE7FA6">
        <w:rPr>
          <w:rStyle w:val="FootnoteReference"/>
          <w:rFonts w:ascii="Times New Roman" w:hAnsi="Times New Roman" w:cs="Times New Roman"/>
          <w:sz w:val="20"/>
          <w:szCs w:val="20"/>
        </w:rPr>
        <w:footnoteRef/>
      </w:r>
      <w:r w:rsidRPr="00BE7FA6">
        <w:rPr>
          <w:rFonts w:ascii="Times New Roman" w:hAnsi="Times New Roman" w:cs="Times New Roman"/>
          <w:sz w:val="20"/>
          <w:szCs w:val="20"/>
        </w:rPr>
        <w:t xml:space="preserve"> </w:t>
      </w:r>
      <w:hyperlink r:id="rId1" w:history="1">
        <w:proofErr w:type="spellStart"/>
        <w:r w:rsidRPr="00BE7FA6">
          <w:rPr>
            <w:rFonts w:ascii="Times New Roman" w:eastAsia="Times New Roman" w:hAnsi="Times New Roman" w:cs="Times New Roman"/>
            <w:bCs/>
            <w:sz w:val="20"/>
            <w:szCs w:val="20"/>
          </w:rPr>
          <w:t>Streamsowers</w:t>
        </w:r>
        <w:proofErr w:type="spellEnd"/>
        <w:r w:rsidRPr="00BE7FA6">
          <w:rPr>
            <w:rFonts w:ascii="Times New Roman" w:eastAsia="Times New Roman" w:hAnsi="Times New Roman" w:cs="Times New Roman"/>
            <w:bCs/>
            <w:sz w:val="20"/>
            <w:szCs w:val="20"/>
          </w:rPr>
          <w:t xml:space="preserve"> &amp; </w:t>
        </w:r>
        <w:proofErr w:type="spellStart"/>
        <w:r w:rsidRPr="00BE7FA6">
          <w:rPr>
            <w:rFonts w:ascii="Times New Roman" w:eastAsia="Times New Roman" w:hAnsi="Times New Roman" w:cs="Times New Roman"/>
            <w:bCs/>
            <w:sz w:val="20"/>
            <w:szCs w:val="20"/>
          </w:rPr>
          <w:t>Köhn</w:t>
        </w:r>
        <w:proofErr w:type="spellEnd"/>
      </w:hyperlink>
      <w:r w:rsidRPr="00BE7FA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BE7FA6">
        <w:rPr>
          <w:rFonts w:ascii="Times New Roman" w:eastAsia="Times New Roman" w:hAnsi="Times New Roman" w:cs="Times New Roman"/>
          <w:kern w:val="36"/>
          <w:sz w:val="20"/>
          <w:szCs w:val="20"/>
        </w:rPr>
        <w:t>Petroleum Profits Tax Act, Petroleum Industry Act and proposed amendments in Finance Act</w:t>
      </w:r>
      <w:r>
        <w:rPr>
          <w:rFonts w:ascii="Times New Roman" w:eastAsia="Times New Roman" w:hAnsi="Times New Roman" w:cs="Times New Roman"/>
          <w:kern w:val="36"/>
          <w:sz w:val="20"/>
          <w:szCs w:val="20"/>
        </w:rPr>
        <w:t>’ (2023)</w:t>
      </w:r>
      <w:r w:rsidRPr="00BE7FA6">
        <w:rPr>
          <w:rFonts w:ascii="Times New Roman" w:eastAsia="Times New Roman" w:hAnsi="Times New Roman" w:cs="Times New Roman"/>
          <w:sz w:val="20"/>
          <w:szCs w:val="20"/>
        </w:rPr>
        <w:t xml:space="preserve"> </w:t>
      </w:r>
      <w:hyperlink r:id="rId2" w:history="1">
        <w:proofErr w:type="spellStart"/>
        <w:r w:rsidRPr="00BE7FA6">
          <w:rPr>
            <w:rFonts w:ascii="Times New Roman" w:eastAsia="Times New Roman" w:hAnsi="Times New Roman" w:cs="Times New Roman"/>
            <w:bCs/>
            <w:i/>
            <w:sz w:val="20"/>
            <w:szCs w:val="20"/>
          </w:rPr>
          <w:t>Streamsowers</w:t>
        </w:r>
        <w:proofErr w:type="spellEnd"/>
        <w:r w:rsidRPr="00BE7FA6">
          <w:rPr>
            <w:rFonts w:ascii="Times New Roman" w:eastAsia="Times New Roman" w:hAnsi="Times New Roman" w:cs="Times New Roman"/>
            <w:bCs/>
            <w:i/>
            <w:sz w:val="20"/>
            <w:szCs w:val="20"/>
          </w:rPr>
          <w:t xml:space="preserve"> and Köhn</w:t>
        </w:r>
      </w:hyperlink>
      <w:r w:rsidRPr="00BE7FA6">
        <w:rPr>
          <w:rFonts w:ascii="Times New Roman" w:eastAsia="Times New Roman" w:hAnsi="Times New Roman" w:cs="Times New Roman"/>
          <w:i/>
          <w:sz w:val="20"/>
          <w:szCs w:val="20"/>
        </w:rPr>
        <w:t xml:space="preserve"> &amp; Co</w:t>
      </w:r>
      <w:r>
        <w:rPr>
          <w:rFonts w:ascii="Times New Roman" w:eastAsia="Times New Roman" w:hAnsi="Times New Roman" w:cs="Times New Roman"/>
          <w:i/>
          <w:sz w:val="20"/>
          <w:szCs w:val="20"/>
        </w:rPr>
        <w:t xml:space="preserve"> </w:t>
      </w:r>
      <w:hyperlink r:id="rId3" w:history="1">
        <w:r w:rsidRPr="00A91FCE">
          <w:rPr>
            <w:rStyle w:val="Hyperlink"/>
            <w:rFonts w:ascii="Times New Roman" w:eastAsia="Times New Roman" w:hAnsi="Times New Roman" w:cs="Times New Roman"/>
            <w:sz w:val="20"/>
            <w:szCs w:val="20"/>
          </w:rPr>
          <w:t>https://www.lexology.com/library/detail.aspx?g=f6b0bc1d-d5b5-47fd-83c5-ebb70f908d60</w:t>
        </w:r>
      </w:hyperlink>
      <w:r>
        <w:rPr>
          <w:rFonts w:ascii="Times New Roman" w:eastAsia="Times New Roman" w:hAnsi="Times New Roman" w:cs="Times New Roman"/>
          <w:sz w:val="20"/>
          <w:szCs w:val="20"/>
        </w:rPr>
        <w:t xml:space="preserve"> accessed May 22, 2024.</w:t>
      </w:r>
    </w:p>
    <w:p w:rsidR="00BE7FA6" w:rsidRPr="00BE7FA6" w:rsidRDefault="00BE7FA6" w:rsidP="00BE7FA6">
      <w:pPr>
        <w:shd w:val="clear" w:color="auto" w:fill="FFFFFF"/>
        <w:spacing w:after="48" w:line="240" w:lineRule="auto"/>
        <w:rPr>
          <w:rFonts w:ascii="Arial" w:eastAsia="Times New Roman" w:hAnsi="Arial" w:cs="Arial"/>
          <w:color w:val="333333"/>
          <w:sz w:val="18"/>
          <w:szCs w:val="18"/>
        </w:rPr>
      </w:pPr>
    </w:p>
    <w:p w:rsidR="00BE7FA6" w:rsidRDefault="00BE7FA6" w:rsidP="00BE7FA6">
      <w:pPr>
        <w:pStyle w:val="FootnoteText"/>
        <w:tabs>
          <w:tab w:val="left" w:pos="2335"/>
        </w:tabs>
      </w:pPr>
      <w:r>
        <w:tab/>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378E"/>
    <w:multiLevelType w:val="multilevel"/>
    <w:tmpl w:val="F2E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F3F4C"/>
    <w:multiLevelType w:val="multilevel"/>
    <w:tmpl w:val="1C10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A34DE"/>
    <w:multiLevelType w:val="multilevel"/>
    <w:tmpl w:val="BF7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27D2F"/>
    <w:multiLevelType w:val="multilevel"/>
    <w:tmpl w:val="A7B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945E90"/>
    <w:multiLevelType w:val="multilevel"/>
    <w:tmpl w:val="E9F0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footnotePr>
    <w:footnote w:id="-1"/>
    <w:footnote w:id="0"/>
  </w:footnotePr>
  <w:endnotePr>
    <w:endnote w:id="-1"/>
    <w:endnote w:id="0"/>
  </w:endnotePr>
  <w:compat/>
  <w:rsids>
    <w:rsidRoot w:val="00BE7FA6"/>
    <w:rsid w:val="002461B9"/>
    <w:rsid w:val="00A35542"/>
    <w:rsid w:val="00BE7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542"/>
  </w:style>
  <w:style w:type="paragraph" w:styleId="Heading1">
    <w:name w:val="heading 1"/>
    <w:basedOn w:val="Normal"/>
    <w:link w:val="Heading1Char"/>
    <w:uiPriority w:val="9"/>
    <w:qFormat/>
    <w:rsid w:val="00BE7F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FA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E7FA6"/>
    <w:rPr>
      <w:color w:val="0000FF"/>
      <w:u w:val="single"/>
    </w:rPr>
  </w:style>
  <w:style w:type="character" w:customStyle="1" w:styleId="article-jurisdictions">
    <w:name w:val="article-jurisdictions"/>
    <w:basedOn w:val="DefaultParagraphFont"/>
    <w:rsid w:val="00BE7FA6"/>
  </w:style>
  <w:style w:type="character" w:customStyle="1" w:styleId="publication">
    <w:name w:val="publication"/>
    <w:basedOn w:val="DefaultParagraphFont"/>
    <w:rsid w:val="00BE7FA6"/>
  </w:style>
  <w:style w:type="paragraph" w:styleId="NormalWeb">
    <w:name w:val="Normal (Web)"/>
    <w:basedOn w:val="Normal"/>
    <w:uiPriority w:val="99"/>
    <w:semiHidden/>
    <w:unhideWhenUsed/>
    <w:rsid w:val="00BE7F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FA6"/>
    <w:rPr>
      <w:b/>
      <w:bCs/>
    </w:rPr>
  </w:style>
  <w:style w:type="character" w:styleId="Emphasis">
    <w:name w:val="Emphasis"/>
    <w:basedOn w:val="DefaultParagraphFont"/>
    <w:uiPriority w:val="20"/>
    <w:qFormat/>
    <w:rsid w:val="00BE7FA6"/>
    <w:rPr>
      <w:i/>
      <w:iCs/>
    </w:rPr>
  </w:style>
  <w:style w:type="paragraph" w:styleId="BalloonText">
    <w:name w:val="Balloon Text"/>
    <w:basedOn w:val="Normal"/>
    <w:link w:val="BalloonTextChar"/>
    <w:uiPriority w:val="99"/>
    <w:semiHidden/>
    <w:unhideWhenUsed/>
    <w:rsid w:val="00BE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FA6"/>
    <w:rPr>
      <w:rFonts w:ascii="Tahoma" w:hAnsi="Tahoma" w:cs="Tahoma"/>
      <w:sz w:val="16"/>
      <w:szCs w:val="16"/>
    </w:rPr>
  </w:style>
  <w:style w:type="paragraph" w:styleId="FootnoteText">
    <w:name w:val="footnote text"/>
    <w:basedOn w:val="Normal"/>
    <w:link w:val="FootnoteTextChar"/>
    <w:uiPriority w:val="99"/>
    <w:semiHidden/>
    <w:unhideWhenUsed/>
    <w:rsid w:val="00BE7F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FA6"/>
    <w:rPr>
      <w:sz w:val="20"/>
      <w:szCs w:val="20"/>
    </w:rPr>
  </w:style>
  <w:style w:type="character" w:styleId="FootnoteReference">
    <w:name w:val="footnote reference"/>
    <w:basedOn w:val="DefaultParagraphFont"/>
    <w:uiPriority w:val="99"/>
    <w:semiHidden/>
    <w:unhideWhenUsed/>
    <w:rsid w:val="00BE7FA6"/>
    <w:rPr>
      <w:vertAlign w:val="superscript"/>
    </w:rPr>
  </w:style>
</w:styles>
</file>

<file path=word/webSettings.xml><?xml version="1.0" encoding="utf-8"?>
<w:webSettings xmlns:r="http://schemas.openxmlformats.org/officeDocument/2006/relationships" xmlns:w="http://schemas.openxmlformats.org/wordprocessingml/2006/main">
  <w:divs>
    <w:div w:id="153688685">
      <w:bodyDiv w:val="1"/>
      <w:marLeft w:val="0"/>
      <w:marRight w:val="0"/>
      <w:marTop w:val="0"/>
      <w:marBottom w:val="0"/>
      <w:divBdr>
        <w:top w:val="none" w:sz="0" w:space="0" w:color="auto"/>
        <w:left w:val="none" w:sz="0" w:space="0" w:color="auto"/>
        <w:bottom w:val="none" w:sz="0" w:space="0" w:color="auto"/>
        <w:right w:val="none" w:sz="0" w:space="0" w:color="auto"/>
      </w:divBdr>
      <w:divsChild>
        <w:div w:id="1303584817">
          <w:marLeft w:val="0"/>
          <w:marRight w:val="0"/>
          <w:marTop w:val="0"/>
          <w:marBottom w:val="0"/>
          <w:divBdr>
            <w:top w:val="none" w:sz="0" w:space="0" w:color="auto"/>
            <w:left w:val="none" w:sz="0" w:space="0" w:color="auto"/>
            <w:bottom w:val="none" w:sz="0" w:space="0" w:color="auto"/>
            <w:right w:val="none" w:sz="0" w:space="0" w:color="auto"/>
          </w:divBdr>
          <w:divsChild>
            <w:div w:id="1052536340">
              <w:marLeft w:val="0"/>
              <w:marRight w:val="0"/>
              <w:marTop w:val="0"/>
              <w:marBottom w:val="48"/>
              <w:divBdr>
                <w:top w:val="none" w:sz="0" w:space="0" w:color="auto"/>
                <w:left w:val="none" w:sz="0" w:space="0" w:color="auto"/>
                <w:bottom w:val="none" w:sz="0" w:space="0" w:color="auto"/>
                <w:right w:val="none" w:sz="0" w:space="0" w:color="auto"/>
              </w:divBdr>
            </w:div>
            <w:div w:id="1248229626">
              <w:marLeft w:val="0"/>
              <w:marRight w:val="0"/>
              <w:marTop w:val="182"/>
              <w:marBottom w:val="182"/>
              <w:divBdr>
                <w:top w:val="single" w:sz="4" w:space="19" w:color="CCCCCC"/>
                <w:left w:val="none" w:sz="0" w:space="0" w:color="auto"/>
                <w:bottom w:val="single" w:sz="4" w:space="6" w:color="CCCCCC"/>
                <w:right w:val="none" w:sz="0" w:space="0" w:color="auto"/>
              </w:divBdr>
              <w:divsChild>
                <w:div w:id="616789465">
                  <w:marLeft w:val="0"/>
                  <w:marRight w:val="0"/>
                  <w:marTop w:val="0"/>
                  <w:marBottom w:val="0"/>
                  <w:divBdr>
                    <w:top w:val="none" w:sz="0" w:space="0" w:color="auto"/>
                    <w:left w:val="none" w:sz="0" w:space="0" w:color="auto"/>
                    <w:bottom w:val="none" w:sz="0" w:space="0" w:color="auto"/>
                    <w:right w:val="none" w:sz="0" w:space="0" w:color="auto"/>
                  </w:divBdr>
                  <w:divsChild>
                    <w:div w:id="543175191">
                      <w:marLeft w:val="0"/>
                      <w:marRight w:val="0"/>
                      <w:marTop w:val="0"/>
                      <w:marBottom w:val="0"/>
                      <w:divBdr>
                        <w:top w:val="none" w:sz="0" w:space="0" w:color="auto"/>
                        <w:left w:val="none" w:sz="0" w:space="0" w:color="auto"/>
                        <w:bottom w:val="none" w:sz="0" w:space="0" w:color="auto"/>
                        <w:right w:val="none" w:sz="0" w:space="0" w:color="auto"/>
                      </w:divBdr>
                    </w:div>
                  </w:divsChild>
                </w:div>
                <w:div w:id="331179674">
                  <w:marLeft w:val="0"/>
                  <w:marRight w:val="0"/>
                  <w:marTop w:val="0"/>
                  <w:marBottom w:val="0"/>
                  <w:divBdr>
                    <w:top w:val="none" w:sz="0" w:space="0" w:color="auto"/>
                    <w:left w:val="none" w:sz="0" w:space="0" w:color="auto"/>
                    <w:bottom w:val="none" w:sz="0" w:space="0" w:color="auto"/>
                    <w:right w:val="none" w:sz="0" w:space="0" w:color="auto"/>
                  </w:divBdr>
                  <w:divsChild>
                    <w:div w:id="473640683">
                      <w:marLeft w:val="0"/>
                      <w:marRight w:val="0"/>
                      <w:marTop w:val="0"/>
                      <w:marBottom w:val="0"/>
                      <w:divBdr>
                        <w:top w:val="none" w:sz="0" w:space="0" w:color="auto"/>
                        <w:left w:val="none" w:sz="0" w:space="0" w:color="auto"/>
                        <w:bottom w:val="none" w:sz="0" w:space="0" w:color="auto"/>
                        <w:right w:val="none" w:sz="0" w:space="0" w:color="auto"/>
                      </w:divBdr>
                      <w:divsChild>
                        <w:div w:id="1901669907">
                          <w:marLeft w:val="0"/>
                          <w:marRight w:val="0"/>
                          <w:marTop w:val="0"/>
                          <w:marBottom w:val="0"/>
                          <w:divBdr>
                            <w:top w:val="none" w:sz="0" w:space="0" w:color="auto"/>
                            <w:left w:val="none" w:sz="0" w:space="0" w:color="auto"/>
                            <w:bottom w:val="none" w:sz="0" w:space="0" w:color="auto"/>
                            <w:right w:val="none" w:sz="0" w:space="0" w:color="auto"/>
                          </w:divBdr>
                          <w:divsChild>
                            <w:div w:id="1906453039">
                              <w:marLeft w:val="0"/>
                              <w:marRight w:val="0"/>
                              <w:marTop w:val="0"/>
                              <w:marBottom w:val="0"/>
                              <w:divBdr>
                                <w:top w:val="none" w:sz="0" w:space="0" w:color="auto"/>
                                <w:left w:val="none" w:sz="0" w:space="0" w:color="auto"/>
                                <w:bottom w:val="none" w:sz="0" w:space="0" w:color="auto"/>
                                <w:right w:val="none" w:sz="0" w:space="0" w:color="auto"/>
                              </w:divBdr>
                              <w:divsChild>
                                <w:div w:id="735468213">
                                  <w:marLeft w:val="0"/>
                                  <w:marRight w:val="12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95961">
          <w:marLeft w:val="0"/>
          <w:marRight w:val="0"/>
          <w:marTop w:val="0"/>
          <w:marBottom w:val="0"/>
          <w:divBdr>
            <w:top w:val="none" w:sz="0" w:space="0" w:color="auto"/>
            <w:left w:val="none" w:sz="0" w:space="0" w:color="auto"/>
            <w:bottom w:val="none" w:sz="0" w:space="0" w:color="auto"/>
            <w:right w:val="none" w:sz="0" w:space="0" w:color="auto"/>
          </w:divBdr>
          <w:divsChild>
            <w:div w:id="2119135655">
              <w:marLeft w:val="0"/>
              <w:marRight w:val="0"/>
              <w:marTop w:val="240"/>
              <w:marBottom w:val="240"/>
              <w:divBdr>
                <w:top w:val="none" w:sz="0" w:space="0" w:color="auto"/>
                <w:left w:val="none" w:sz="0" w:space="0" w:color="auto"/>
                <w:bottom w:val="none" w:sz="0" w:space="0" w:color="auto"/>
                <w:right w:val="none" w:sz="0" w:space="0" w:color="auto"/>
              </w:divBdr>
            </w:div>
            <w:div w:id="13432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lexology.com/library/detail.aspx?g=f6b0bc1d-d5b5-47fd-83c5-ebb70f908d60" TargetMode="External"/><Relationship Id="rId13" Type="http://schemas.openxmlformats.org/officeDocument/2006/relationships/hyperlink" Target="https://www.lexology.com/library/detail.aspx?g=f6b0bc1d-d5b5-47fd-83c5-ebb70f908d60" TargetMode="External"/><Relationship Id="rId18" Type="http://schemas.openxmlformats.org/officeDocument/2006/relationships/hyperlink" Target="https://www.lexology.com/library/detail.aspx?g=f6b0bc1d-d5b5-47fd-83c5-ebb70f908d60" TargetMode="External"/><Relationship Id="rId26" Type="http://schemas.openxmlformats.org/officeDocument/2006/relationships/hyperlink" Target="https://www.lexology.com/1051929/author/Queeneth_Agu" TargetMode="External"/><Relationship Id="rId3" Type="http://schemas.openxmlformats.org/officeDocument/2006/relationships/settings" Target="settings.xml"/><Relationship Id="rId21" Type="http://schemas.openxmlformats.org/officeDocument/2006/relationships/hyperlink" Target="https://www.lexology.com/library/detail.aspx?g=f6b0bc1d-d5b5-47fd-83c5-ebb70f908d60" TargetMode="External"/><Relationship Id="rId7" Type="http://schemas.openxmlformats.org/officeDocument/2006/relationships/hyperlink" Target="https://www.lexology.com/library/detail.aspx?g=f6b0bc1d-d5b5-47fd-83c5-ebb70f908d60" TargetMode="External"/><Relationship Id="rId12" Type="http://schemas.openxmlformats.org/officeDocument/2006/relationships/hyperlink" Target="https://www.lexology.com/library/detail.aspx?g=f6b0bc1d-d5b5-47fd-83c5-ebb70f908d60" TargetMode="External"/><Relationship Id="rId17" Type="http://schemas.openxmlformats.org/officeDocument/2006/relationships/hyperlink" Target="https://www.lexology.com/library/detail.aspx?g=f6b0bc1d-d5b5-47fd-83c5-ebb70f908d60" TargetMode="External"/><Relationship Id="rId25" Type="http://schemas.openxmlformats.org/officeDocument/2006/relationships/hyperlink" Target="https://www.lexology.com/library/detail.aspx?g=f6b0bc1d-d5b5-47fd-83c5-ebb70f908d60" TargetMode="External"/><Relationship Id="rId2" Type="http://schemas.openxmlformats.org/officeDocument/2006/relationships/styles" Target="styles.xml"/><Relationship Id="rId16" Type="http://schemas.openxmlformats.org/officeDocument/2006/relationships/hyperlink" Target="https://www.lexology.com/library/detail.aspx?g=f6b0bc1d-d5b5-47fd-83c5-ebb70f908d60" TargetMode="External"/><Relationship Id="rId20" Type="http://schemas.openxmlformats.org/officeDocument/2006/relationships/hyperlink" Target="https://www.lexology.com/library/detail.aspx?g=f6b0bc1d-d5b5-47fd-83c5-ebb70f908d6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xology.com/library/detail.aspx?g=f6b0bc1d-d5b5-47fd-83c5-ebb70f908d60" TargetMode="External"/><Relationship Id="rId24" Type="http://schemas.openxmlformats.org/officeDocument/2006/relationships/hyperlink" Target="https://www.lexology.com/library/detail.aspx?g=f6b0bc1d-d5b5-47fd-83c5-ebb70f908d60" TargetMode="External"/><Relationship Id="rId5" Type="http://schemas.openxmlformats.org/officeDocument/2006/relationships/footnotes" Target="footnotes.xml"/><Relationship Id="rId15" Type="http://schemas.openxmlformats.org/officeDocument/2006/relationships/hyperlink" Target="https://www.lexology.com/library/detail.aspx?g=f6b0bc1d-d5b5-47fd-83c5-ebb70f908d60" TargetMode="External"/><Relationship Id="rId23" Type="http://schemas.openxmlformats.org/officeDocument/2006/relationships/hyperlink" Target="https://www.lexology.com/library/detail.aspx?g=f6b0bc1d-d5b5-47fd-83c5-ebb70f908d60" TargetMode="External"/><Relationship Id="rId28" Type="http://schemas.openxmlformats.org/officeDocument/2006/relationships/hyperlink" Target="http://www.sskohn.com/" TargetMode="External"/><Relationship Id="rId10" Type="http://schemas.openxmlformats.org/officeDocument/2006/relationships/hyperlink" Target="https://www.lexology.com/library/detail.aspx?g=f6b0bc1d-d5b5-47fd-83c5-ebb70f908d60" TargetMode="External"/><Relationship Id="rId19" Type="http://schemas.openxmlformats.org/officeDocument/2006/relationships/hyperlink" Target="https://www.lexology.com/library/detail.aspx?g=f6b0bc1d-d5b5-47fd-83c5-ebb70f908d60" TargetMode="External"/><Relationship Id="rId4" Type="http://schemas.openxmlformats.org/officeDocument/2006/relationships/webSettings" Target="webSettings.xml"/><Relationship Id="rId9" Type="http://schemas.openxmlformats.org/officeDocument/2006/relationships/hyperlink" Target="https://www.lexology.com/library/detail.aspx?g=f6b0bc1d-d5b5-47fd-83c5-ebb70f908d60" TargetMode="External"/><Relationship Id="rId14" Type="http://schemas.openxmlformats.org/officeDocument/2006/relationships/hyperlink" Target="https://www.lexology.com/library/detail.aspx?g=f6b0bc1d-d5b5-47fd-83c5-ebb70f908d60" TargetMode="External"/><Relationship Id="rId22" Type="http://schemas.openxmlformats.org/officeDocument/2006/relationships/hyperlink" Target="https://www.lexology.com/library/detail.aspx?g=f6b0bc1d-d5b5-47fd-83c5-ebb70f908d60" TargetMode="External"/><Relationship Id="rId27" Type="http://schemas.openxmlformats.org/officeDocument/2006/relationships/hyperlink" Target="mailto:queeneth@sskohn.com?subject=ILO%20articl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exology.com/library/detail.aspx?g=f6b0bc1d-d5b5-47fd-83c5-ebb70f908d60" TargetMode="External"/><Relationship Id="rId2" Type="http://schemas.openxmlformats.org/officeDocument/2006/relationships/hyperlink" Target="https://www.lexology.com/contributors/streamsowers-and-kohn" TargetMode="External"/><Relationship Id="rId1" Type="http://schemas.openxmlformats.org/officeDocument/2006/relationships/hyperlink" Target="https://www.lexology.com/contributors/streamsowers-and-ko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1738</Words>
  <Characters>9911</Characters>
  <Application>Microsoft Office Word</Application>
  <DocSecurity>0</DocSecurity>
  <Lines>82</Lines>
  <Paragraphs>23</Paragraphs>
  <ScaleCrop>false</ScaleCrop>
  <Company>Hewlett-Packard</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cp:revision>
  <dcterms:created xsi:type="dcterms:W3CDTF">2024-05-22T06:46:00Z</dcterms:created>
  <dcterms:modified xsi:type="dcterms:W3CDTF">2024-05-22T06:53:00Z</dcterms:modified>
</cp:coreProperties>
</file>