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B2A4A"/>
          <w:sz w:val="44"/>
          <w:szCs w:val="44"/>
        </w:rPr>
        <w:t xml:space="preserve">Development Host Setup Guide</w:t>
      </w:r>
    </w:p>
    <w:p>
      <w:pPr>
        <w:spacing w:after="60"/>
      </w:pPr>
      <w:r>
        <w:rPr>
          <w:b/>
          <w:bCs/>
          <w:color w:val="1E7F7A"/>
          <w:sz w:val="26"/>
          <w:szCs w:val="26"/>
        </w:rPr>
        <w:t xml:space="preserve">Blueprint Progress Tracking Web Interface</w:t>
      </w:r>
    </w:p>
    <w:p>
      <w:pPr>
        <w:spacing w:after="380"/>
      </w:pPr>
      <w:r>
        <w:rPr>
          <w:i/>
          <w:iCs/>
          <w:color w:val="595959"/>
          <w:sz w:val="20"/>
          <w:szCs w:val="20"/>
        </w:rPr>
        <w:t xml:space="preserve">Project Team Working Document</w:t>
      </w:r>
    </w:p>
    <w:p>
      <w:pPr>
        <w:pStyle w:val="Heading1"/>
        <w:spacing w:after="140" w:before="320"/>
      </w:pPr>
      <w:r>
        <w:t xml:space="preserve">Purpose &amp; Scope</w:t>
      </w:r>
    </w:p>
    <w:p>
      <w:pPr>
        <w:spacing w:after="140"/>
      </w:pPr>
      <w:r>
        <w:t xml:space="preserve">This document walks through setting up a machine to develop BlueTrack: the ASP.NET Core API (App/Api), the Vue frontend (App/Web), and the SQL Server database scripts (Database/). It assumes a clean machine with none of this tooling installed yet. It does not cover installing BlueTrack on a server for real use — see Installation_Guide.docx for that.</w:t>
      </w:r>
    </w:p>
    <w:p>
      <w:pPr>
        <w:pStyle w:val="Heading1"/>
        <w:spacing w:after="140" w:before="320"/>
      </w:pPr>
      <w:r>
        <w:t xml:space="preserve">Prerequisites</w:t>
      </w:r>
    </w:p>
    <w:p>
      <w:pPr>
        <w:pStyle w:val="ListParagraph"/>
        <w:numPr>
          <w:ilvl w:val="0"/>
          <w:numId w:val="2"/>
        </w:numPr>
        <w:spacing w:after="60"/>
      </w:pPr>
      <w:r>
        <w:t xml:space="preserve">.NET 10 SDK — required; both App/Api and App/Migrator target net10.0.</w:t>
      </w:r>
    </w:p>
    <w:p>
      <w:pPr>
        <w:pStyle w:val="ListParagraph"/>
        <w:numPr>
          <w:ilvl w:val="0"/>
          <w:numId w:val="2"/>
        </w:numPr>
        <w:spacing w:after="60"/>
      </w:pPr>
      <w:r>
        <w:t xml:space="preserve">Node.js 20 LTS (or any release matching ^18.0.0 || &gt;=20.0.0) and npm — required to run/build App/Web. This is Vite 5's own stated requirement (confirmed against the npm registry, not assumed).</w:t>
      </w:r>
    </w:p>
    <w:p>
      <w:pPr>
        <w:pStyle w:val="ListParagraph"/>
        <w:numPr>
          <w:ilvl w:val="0"/>
          <w:numId w:val="2"/>
        </w:numPr>
        <w:spacing w:after="60"/>
      </w:pPr>
      <w:r>
        <w:t xml:space="preserve">Git — to clone the repository.</w:t>
      </w:r>
    </w:p>
    <w:p>
      <w:pPr>
        <w:pStyle w:val="ListParagraph"/>
        <w:numPr>
          <w:ilvl w:val="0"/>
          <w:numId w:val="2"/>
        </w:numPr>
        <w:spacing w:after="60"/>
      </w:pPr>
      <w:r>
        <w:t xml:space="preserve">Access to a SQL Server instance (2017 or later) reachable with Windows Integrated Authentication, with permission to create a database — or an existing BlueTrack database someone else has already set up for you.</w:t>
      </w:r>
    </w:p>
    <w:p>
      <w:pPr>
        <w:pStyle w:val="ListParagraph"/>
        <w:numPr>
          <w:ilvl w:val="0"/>
          <w:numId w:val="2"/>
        </w:numPr>
        <w:spacing w:after="60"/>
      </w:pPr>
      <w:r>
        <w:t xml:space="preserve">SQL Server Management Studio (SSMS), or another client capable of running .sql scripts — used throughout this project's Database/ folder.</w:t>
      </w:r>
    </w:p>
    <w:p>
      <w:pPr>
        <w:pStyle w:val="ListParagraph"/>
        <w:numPr>
          <w:ilvl w:val="0"/>
          <w:numId w:val="2"/>
        </w:numPr>
        <w:spacing w:after="60"/>
      </w:pPr>
      <w:r>
        <w:t xml:space="preserve">A code editor. This project doesn't require a specific one — Visual Studio, VS Code, and JetBrains Rider are all capable of opening the .NET solution and the Vue project.</w:t>
      </w:r>
    </w:p>
    <w:p>
      <w:pPr>
        <w:pStyle w:val="ListParagraph"/>
        <w:numPr>
          <w:ilvl w:val="0"/>
          <w:numId w:val="2"/>
        </w:numPr>
        <w:spacing w:after="60"/>
      </w:pPr>
      <w:r>
        <w:t xml:space="preserve">CyberArk Credential Provider (Application Password SDK) — required only to build or run App/Api, which references NetStandardPasswordSDK.dll directly from the CP’s local install (Design_Secrets_Storage.md, D-76). Defaults to C:\Program Files\CyberArk\ApplicationPasswordSdk; if installed elsewhere, override CyberArkSdkPath in a local, git-ignored App/Api/BlueTrack.Api.csproj.user (a template already exists there) rather than editing the tracked BlueTrack.Api.csproj.</w:t>
      </w:r>
    </w:p>
    <w:p>
      <w:pPr>
        <w:pStyle w:val="Heading1"/>
        <w:spacing w:after="140" w:before="320"/>
      </w:pPr>
      <w:r>
        <w:t xml:space="preserve">Step 1: Clone the Repository</w:t>
      </w:r>
    </w:p>
    <w:p>
      <w:pPr>
        <w:shd w:fill="F2F2F2" w:color="auto" w:val="clear"/>
        <w:spacing w:after="140"/>
      </w:pPr>
      <w:r>
        <w:rPr>
          <w:rFonts w:ascii="Consolas" w:cs="Consolas" w:eastAsia="Consolas" w:hAnsi="Consolas"/>
          <w:color w:val="1B2A4A"/>
          <w:sz w:val="19"/>
          <w:szCs w:val="19"/>
        </w:rPr>
        <w:t xml:space="preserve">git clone https://github.com/JesseMcWilliams/BlueTrack.git</w:t>
      </w:r>
    </w:p>
    <w:p>
      <w:pPr>
        <w:shd w:fill="F2F2F2" w:color="auto" w:val="clear"/>
        <w:spacing w:after="140"/>
      </w:pPr>
      <w:r>
        <w:rPr>
          <w:rFonts w:ascii="Consolas" w:cs="Consolas" w:eastAsia="Consolas" w:hAnsi="Consolas"/>
          <w:color w:val="1B2A4A"/>
          <w:sz w:val="19"/>
          <w:szCs w:val="19"/>
        </w:rPr>
        <w:t xml:space="preserve">cd BlueTrack</w:t>
      </w:r>
    </w:p>
    <w:p>
      <w:pPr>
        <w:pStyle w:val="Heading1"/>
        <w:spacing w:after="140" w:before="320"/>
      </w:pPr>
      <w:r>
        <w:t xml:space="preserve">Step 2: Set Up the Database</w:t>
      </w:r>
    </w:p>
    <w:p>
      <w:pPr>
        <w:spacing w:after="140"/>
      </w:pPr>
      <w:r>
        <w:t xml:space="preserve">Follow Database/Import_Load_Process_Guide.docx for full operational detail. For a development host, at minimum:</w:t>
      </w:r>
    </w:p>
    <w:p>
      <w:pPr>
        <w:pStyle w:val="ListParagraph"/>
        <w:numPr>
          <w:ilvl w:val="0"/>
          <w:numId w:val="2"/>
        </w:numPr>
        <w:spacing w:after="60"/>
      </w:pPr>
      <w:r>
        <w:t xml:space="preserve">Run 01 through 07 in Database/, in numeric order, against a database you have access to. 01 creates the database itself, so nothing needs to exist beforehand.</w:t>
      </w:r>
    </w:p>
    <w:p>
      <w:pPr>
        <w:pStyle w:val="ListParagraph"/>
        <w:numPr>
          <w:ilvl w:val="0"/>
          <w:numId w:val="2"/>
        </w:numPr>
        <w:spacing w:after="60"/>
      </w:pPr>
      <w:r>
        <w:t xml:space="preserve">Edit the @AdminGroupName placeholder in 07_BlueTrack_WebInterface_Seed.sql before running it — otherwise that step just prints a skip message rather than mapping a fake group.</w:t>
      </w:r>
    </w:p>
    <w:p>
      <w:pPr>
        <w:pStyle w:val="ListParagraph"/>
        <w:numPr>
          <w:ilvl w:val="0"/>
          <w:numId w:val="2"/>
        </w:numPr>
        <w:spacing w:after="60"/>
      </w:pPr>
      <w:r>
        <w:t xml:space="preserve">You don't need real Privilege Cloud/Self-Hosted export data to develop against. Most of the API and UI can be exercised with an empty bulk-data set; GET /api/account-progress just returns an empty list until real data is loaded via 05 and usp_RunFullLoad.</w:t>
      </w:r>
    </w:p>
    <w:p>
      <w:pPr>
        <w:pStyle w:val="Heading1"/>
        <w:spacing w:after="140" w:before="320"/>
      </w:pPr>
      <w:r>
        <w:t xml:space="preserve">Step 3: Set Up the Backend (App/Api)</w:t>
      </w:r>
    </w:p>
    <w:p>
      <w:pPr>
        <w:spacing w:after="60" w:before="180"/>
      </w:pPr>
      <w:r>
        <w:rPr>
          <w:b/>
          <w:bCs/>
          <w:color w:val="1E7F7A"/>
        </w:rPr>
        <w:t xml:space="preserve">Step 3a: </w:t>
      </w:r>
      <w:r>
        <w:rPr>
          <w:b/>
          <w:bCs/>
        </w:rPr>
        <w:t xml:space="preserve">Move into the project folder</w:t>
      </w:r>
    </w:p>
    <w:p>
      <w:pPr>
        <w:shd w:fill="F2F2F2" w:color="auto" w:val="clear"/>
        <w:spacing w:after="140"/>
      </w:pPr>
      <w:r>
        <w:rPr>
          <w:rFonts w:ascii="Consolas" w:cs="Consolas" w:eastAsia="Consolas" w:hAnsi="Consolas"/>
          <w:color w:val="1B2A4A"/>
          <w:sz w:val="19"/>
          <w:szCs w:val="19"/>
        </w:rPr>
        <w:t xml:space="preserve">cd App\Api</w:t>
      </w:r>
    </w:p>
    <w:p>
      <w:pPr>
        <w:spacing w:after="60" w:before="180"/>
      </w:pPr>
      <w:r>
        <w:rPr>
          <w:b/>
          <w:bCs/>
          <w:color w:val="1E7F7A"/>
        </w:rPr>
        <w:t xml:space="preserve">Step 3b: </w:t>
      </w:r>
      <w:r>
        <w:rPr>
          <w:b/>
          <w:bCs/>
        </w:rPr>
        <w:t xml:space="preserve">Point it at your database</w:t>
      </w:r>
    </w:p>
    <w:p>
      <w:pPr>
        <w:spacing w:after="140"/>
      </w:pPr>
      <w:r>
        <w:t xml:space="preserve">Edit appsettings.json — set ConnectionStrings:BlueTrackDb to your database. This project uses Windows Integrated Authentication (no username/password) throughout, so no SQL login is needed — just a Windows account with a login on the target database.</w:t>
      </w:r>
    </w:p>
    <w:p>
      <w:pPr>
        <w:spacing w:after="60" w:before="180"/>
      </w:pPr>
      <w:r>
        <w:rPr>
          <w:b/>
          <w:bCs/>
          <w:color w:val="1E7F7A"/>
        </w:rPr>
        <w:t xml:space="preserve">Step 3c: </w:t>
      </w:r>
      <w:r>
        <w:rPr>
          <w:b/>
          <w:bCs/>
        </w:rPr>
        <w:t xml:space="preserve">Run it</w:t>
      </w:r>
    </w:p>
    <w:p>
      <w:pPr>
        <w:shd w:fill="F2F2F2" w:color="auto" w:val="clear"/>
        <w:spacing w:after="140"/>
      </w:pPr>
      <w:r>
        <w:rPr>
          <w:rFonts w:ascii="Consolas" w:cs="Consolas" w:eastAsia="Consolas" w:hAnsi="Consolas"/>
          <w:color w:val="1B2A4A"/>
          <w:sz w:val="19"/>
          <w:szCs w:val="19"/>
        </w:rPr>
        <w:t xml:space="preserve">dotnet run</w:t>
      </w:r>
    </w:p>
    <w:p>
      <w:pPr>
        <w:spacing w:after="140"/>
      </w:pPr>
      <w:r>
        <w:t xml:space="preserve">Starts on https://localhost:7033 and http://localhost:5106 by default (see Properties/launchSettings.json — these are fixed values in this project's checked-in file, not something the tool picks arbitrarily).</w:t>
      </w:r>
    </w:p>
    <w:p>
      <w:pPr>
        <w:spacing w:after="60" w:before="180"/>
      </w:pPr>
      <w:r>
        <w:rPr>
          <w:b/>
          <w:bCs/>
          <w:color w:val="1E7F7A"/>
        </w:rPr>
        <w:t xml:space="preserve">Step 3d: </w:t>
      </w:r>
      <w:r>
        <w:rPr>
          <w:b/>
          <w:bCs/>
        </w:rPr>
        <w:t xml:space="preserve">Confirm it's working</w:t>
      </w:r>
    </w:p>
    <w:p>
      <w:pPr>
        <w:shd w:fill="F2F2F2" w:color="auto" w:val="clear"/>
        <w:spacing w:after="140"/>
      </w:pPr>
      <w:r>
        <w:rPr>
          <w:rFonts w:ascii="Consolas" w:cs="Consolas" w:eastAsia="Consolas" w:hAnsi="Consolas"/>
          <w:color w:val="1B2A4A"/>
          <w:sz w:val="19"/>
          <w:szCs w:val="19"/>
        </w:rPr>
        <w:t xml:space="preserve">curl -k https://localhost:7033/api/me</w:t>
      </w:r>
    </w:p>
    <w:p>
      <w:pPr>
        <w:spacing w:after="140"/>
      </w:pPr>
      <w:r>
        <w:t xml:space="preserve">Should return your Windows identity, once a WindowsIntegrated row exists in web.identity_provider_config (from Step 2). The -k flag skips certificate validation for the local dev certificate — fine here, not something to carry into a real deployment.</w:t>
      </w:r>
    </w:p>
    <w:p>
      <w:pPr>
        <w:pStyle w:val="Heading1"/>
        <w:spacing w:after="140" w:before="320"/>
      </w:pPr>
      <w:r>
        <w:t xml:space="preserve">Step 4: Set Up the Frontend (App/Web)</w:t>
      </w:r>
    </w:p>
    <w:p>
      <w:pPr>
        <w:shd w:fill="F2F2F2" w:color="auto" w:val="clear"/>
        <w:spacing w:after="140"/>
      </w:pPr>
      <w:r>
        <w:rPr>
          <w:rFonts w:ascii="Consolas" w:cs="Consolas" w:eastAsia="Consolas" w:hAnsi="Consolas"/>
          <w:color w:val="1B2A4A"/>
          <w:sz w:val="19"/>
          <w:szCs w:val="19"/>
        </w:rPr>
        <w:t xml:space="preserve">cd App\Web</w:t>
      </w:r>
    </w:p>
    <w:p>
      <w:pPr>
        <w:shd w:fill="F2F2F2" w:color="auto" w:val="clear"/>
        <w:spacing w:after="140"/>
      </w:pPr>
      <w:r>
        <w:rPr>
          <w:rFonts w:ascii="Consolas" w:cs="Consolas" w:eastAsia="Consolas" w:hAnsi="Consolas"/>
          <w:color w:val="1B2A4A"/>
          <w:sz w:val="19"/>
          <w:szCs w:val="19"/>
        </w:rPr>
        <w:t xml:space="preserve">npm install</w:t>
      </w:r>
    </w:p>
    <w:p>
      <w:pPr>
        <w:shd w:fill="F2F2F2" w:color="auto" w:val="clear"/>
        <w:spacing w:after="140"/>
      </w:pPr>
      <w:r>
        <w:rPr>
          <w:rFonts w:ascii="Consolas" w:cs="Consolas" w:eastAsia="Consolas" w:hAnsi="Consolas"/>
          <w:color w:val="1B2A4A"/>
          <w:sz w:val="19"/>
          <w:szCs w:val="19"/>
        </w:rPr>
        <w:t xml:space="preserve">npm run dev</w:t>
      </w:r>
    </w:p>
    <w:p>
      <w:pPr>
        <w:spacing w:after="140"/>
      </w:pPr>
      <w:r>
        <w:t xml:space="preserve">Starts the Vite dev server, which prints the URL it's listening on (Vite's own default is port 5173, but check the actual console output rather than assuming). The dev server proxies /api requests to the backend's HTTPS port — see vite.config.js — so make sure Step 3 is already running.</w:t>
      </w:r>
    </w:p>
    <w:p>
      <w:pPr>
        <w:pStyle w:val="Heading1"/>
        <w:spacing w:after="140" w:before="320"/>
      </w:pPr>
      <w:r>
        <w:t xml:space="preserve">Step 5: Verify</w:t>
      </w:r>
    </w:p>
    <w:p>
      <w:pPr>
        <w:pStyle w:val="ListParagraph"/>
        <w:numPr>
          <w:ilvl w:val="0"/>
          <w:numId w:val="2"/>
        </w:numPr>
        <w:spacing w:after="60"/>
      </w:pPr>
      <w:r>
        <w:t xml:space="preserve">Open the Vite dev server URL in a browser.</w:t>
      </w:r>
    </w:p>
    <w:p>
      <w:pPr>
        <w:pStyle w:val="ListParagraph"/>
        <w:numPr>
          <w:ilvl w:val="0"/>
          <w:numId w:val="2"/>
        </w:numPr>
        <w:spacing w:after="60"/>
      </w:pPr>
      <w:r>
        <w:t xml:space="preserve">Confirm the top-level nav (Dashboard | Accounts | Exceptions | Reports | Admin) renders.</w:t>
      </w:r>
    </w:p>
    <w:p>
      <w:pPr>
        <w:pStyle w:val="ListParagraph"/>
        <w:numPr>
          <w:ilvl w:val="0"/>
          <w:numId w:val="2"/>
        </w:numPr>
        <w:spacing w:after="60"/>
      </w:pPr>
      <w:r>
        <w:t xml:space="preserve">Confirm the Accounts page loads without an error — it calls the real API, so this proves the full front-to-back chain works.</w:t>
      </w:r>
    </w:p>
    <w:p>
      <w:r>
        <w:br w:type="page"/>
      </w:r>
    </w:p>
    <w:p>
      <w:pPr>
        <w:pStyle w:val="Heading1"/>
        <w:spacing w:after="140" w:before="320"/>
      </w:pPr>
      <w:r>
        <w:t xml:space="preserve">Troubleshooting &amp; Common Issues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3000"/>
      </w:tblGrid>
      <w:tr>
        <w:trPr>
          <w:tblHeader/>
        </w:trPr>
        <w:tc>
          <w:tcPr>
            <w:tcW w:type="pct" w:w="30%"/>
            <w:shd w:fill="1B2A4A" w:color="auto" w:val="clear"/>
            <w:tcMar>
              <w:top w:type="dxa" w:w="90"/>
              <w:left w:type="dxa" w:w="110"/>
              <w:bottom w:type="dxa" w:w="90"/>
              <w:right w:type="dxa" w:w="110"/>
            </w:tcMar>
            <w:vAlign w:val="center"/>
          </w:tcPr>
          <w:p>
            <w:r>
              <w:rPr>
                <w:b/>
                <w:bCs/>
                <w:color w:val="FFFFFF"/>
                <w:sz w:val="18"/>
                <w:szCs w:val="18"/>
              </w:rPr>
              <w:t xml:space="preserve">Symptom</w:t>
            </w:r>
          </w:p>
        </w:tc>
        <w:tc>
          <w:tcPr>
            <w:tcW w:type="pct" w:w="40%"/>
            <w:shd w:fill="1B2A4A" w:color="auto" w:val="clear"/>
            <w:tcMar>
              <w:top w:type="dxa" w:w="90"/>
              <w:left w:type="dxa" w:w="110"/>
              <w:bottom w:type="dxa" w:w="90"/>
              <w:right w:type="dxa" w:w="110"/>
            </w:tcMar>
            <w:vAlign w:val="center"/>
          </w:tcPr>
          <w:p>
            <w:r>
              <w:rPr>
                <w:b/>
                <w:bCs/>
                <w:color w:val="FFFFFF"/>
                <w:sz w:val="18"/>
                <w:szCs w:val="18"/>
              </w:rPr>
              <w:t xml:space="preserve">Likely Cause</w:t>
            </w:r>
          </w:p>
        </w:tc>
        <w:tc>
          <w:tcPr>
            <w:tcW w:type="pct" w:w="30%"/>
            <w:shd w:fill="1B2A4A" w:color="auto" w:val="clear"/>
            <w:tcMar>
              <w:top w:type="dxa" w:w="90"/>
              <w:left w:type="dxa" w:w="110"/>
              <w:bottom w:type="dxa" w:w="90"/>
              <w:right w:type="dxa" w:w="110"/>
            </w:tcMar>
            <w:vAlign w:val="center"/>
          </w:tcPr>
          <w:p>
            <w:r>
              <w:rPr>
                <w:b/>
                <w:bCs/>
                <w:color w:val="FFFFFF"/>
                <w:sz w:val="18"/>
                <w:szCs w:val="18"/>
              </w:rPr>
              <w:t xml:space="preserve">Where to Look</w:t>
            </w:r>
          </w:p>
        </w:tc>
      </w:tr>
      <w:tr>
        <w:tc>
          <w:tcPr>
            <w:tcW w:type="pct" w:w="30%"/>
            <w:tcMar>
              <w:top w:type="dxa" w:w="90"/>
              <w:left w:type="dxa" w:w="110"/>
              <w:bottom w:type="dxa" w:w="90"/>
              <w:right w:type="dxa" w:w="110"/>
            </w:tcMar>
          </w:tcPr>
          <w:p>
            <w:r>
              <w:rPr>
                <w:sz w:val="18"/>
                <w:szCs w:val="18"/>
              </w:rPr>
              <w:t xml:space="preserve">"dotnet" is not recognized as a command</w:t>
            </w:r>
          </w:p>
        </w:tc>
        <w:tc>
          <w:tcPr>
            <w:tcW w:type="pct" w:w="40%"/>
            <w:tcMar>
              <w:top w:type="dxa" w:w="90"/>
              <w:left w:type="dxa" w:w="110"/>
              <w:bottom w:type="dxa" w:w="90"/>
              <w:right w:type="dxa" w:w="110"/>
            </w:tcMar>
          </w:tcPr>
          <w:p>
            <w:r>
              <w:rPr>
                <w:sz w:val="18"/>
                <w:szCs w:val="18"/>
              </w:rPr>
              <w:t xml:space="preserve">The .NET SDK isn't installed, or isn't on PATH</w:t>
            </w:r>
          </w:p>
        </w:tc>
        <w:tc>
          <w:tcPr>
            <w:tcW w:type="pct" w:w="30%"/>
            <w:tcMar>
              <w:top w:type="dxa" w:w="90"/>
              <w:left w:type="dxa" w:w="110"/>
              <w:bottom w:type="dxa" w:w="90"/>
              <w:right w:type="dxa" w:w="110"/>
            </w:tcMar>
          </w:tcPr>
          <w:p>
            <w:r>
              <w:rPr>
                <w:sz w:val="18"/>
                <w:szCs w:val="18"/>
              </w:rPr>
              <w:t xml:space="preserve">Re-install the .NET 10 SDK and restart your terminal</w:t>
            </w:r>
          </w:p>
        </w:tc>
      </w:tr>
      <w:tr>
        <w:tc>
          <w:tcPr>
            <w:tcW w:type="pct" w:w="30%"/>
            <w:shd w:fill="EAF1F1" w:color="auto" w:val="clear"/>
            <w:tcMar>
              <w:top w:type="dxa" w:w="90"/>
              <w:left w:type="dxa" w:w="110"/>
              <w:bottom w:type="dxa" w:w="90"/>
              <w:right w:type="dxa" w:w="110"/>
            </w:tcMar>
          </w:tcPr>
          <w:p>
            <w:r>
              <w:rPr>
                <w:sz w:val="18"/>
                <w:szCs w:val="18"/>
              </w:rPr>
              <w:t xml:space="preserve">npm/vite errors mentioning the Node version</w:t>
            </w:r>
          </w:p>
        </w:tc>
        <w:tc>
          <w:tcPr>
            <w:tcW w:type="pct" w:w="40%"/>
            <w:shd w:fill="EAF1F1" w:color="auto" w:val="clear"/>
            <w:tcMar>
              <w:top w:type="dxa" w:w="90"/>
              <w:left w:type="dxa" w:w="110"/>
              <w:bottom w:type="dxa" w:w="90"/>
              <w:right w:type="dxa" w:w="110"/>
            </w:tcMar>
          </w:tcPr>
          <w:p>
            <w:r>
              <w:rPr>
                <w:sz w:val="18"/>
                <w:szCs w:val="18"/>
              </w:rPr>
              <w:t xml:space="preserve">Node.js is missing or older than Vite 5 requires (^18.0.0 || &gt;=20.0.0)</w:t>
            </w:r>
          </w:p>
        </w:tc>
        <w:tc>
          <w:tcPr>
            <w:tcW w:type="pct" w:w="30%"/>
            <w:shd w:fill="EAF1F1" w:color="auto" w:val="clear"/>
            <w:tcMar>
              <w:top w:type="dxa" w:w="90"/>
              <w:left w:type="dxa" w:w="110"/>
              <w:bottom w:type="dxa" w:w="90"/>
              <w:right w:type="dxa" w:w="110"/>
            </w:tcMar>
          </w:tcPr>
          <w:p>
            <w:r>
              <w:rPr>
                <w:sz w:val="18"/>
                <w:szCs w:val="18"/>
              </w:rPr>
              <w:t xml:space="preserve">node --version; install/upgrade Node if needed</w:t>
            </w:r>
          </w:p>
        </w:tc>
      </w:tr>
      <w:tr>
        <w:tc>
          <w:tcPr>
            <w:tcW w:type="pct" w:w="30%"/>
            <w:tcMar>
              <w:top w:type="dxa" w:w="90"/>
              <w:left w:type="dxa" w:w="110"/>
              <w:bottom w:type="dxa" w:w="90"/>
              <w:right w:type="dxa" w:w="110"/>
            </w:tcMar>
          </w:tcPr>
          <w:p>
            <w:r>
              <w:rPr>
                <w:sz w:val="18"/>
                <w:szCs w:val="18"/>
              </w:rPr>
              <w:t xml:space="preserve">GET /api/me returns a 503</w:t>
            </w:r>
          </w:p>
        </w:tc>
        <w:tc>
          <w:tcPr>
            <w:tcW w:type="pct" w:w="40%"/>
            <w:tcMar>
              <w:top w:type="dxa" w:w="90"/>
              <w:left w:type="dxa" w:w="110"/>
              <w:bottom w:type="dxa" w:w="90"/>
              <w:right w:type="dxa" w:w="110"/>
            </w:tcMar>
          </w:tcPr>
          <w:p>
            <w:r>
              <w:rPr>
                <w:sz w:val="18"/>
                <w:szCs w:val="18"/>
              </w:rPr>
              <w:t xml:space="preserve">No WindowsIntegrated row in web.identity_provider_config yet</w:t>
            </w:r>
          </w:p>
        </w:tc>
        <w:tc>
          <w:tcPr>
            <w:tcW w:type="pct" w:w="30%"/>
            <w:tcMar>
              <w:top w:type="dxa" w:w="90"/>
              <w:left w:type="dxa" w:w="110"/>
              <w:bottom w:type="dxa" w:w="90"/>
              <w:right w:type="dxa" w:w="110"/>
            </w:tcMar>
          </w:tcPr>
          <w:p>
            <w:r>
              <w:rPr>
                <w:sz w:val="18"/>
                <w:szCs w:val="18"/>
              </w:rPr>
              <w:t xml:space="preserve">Re-run Database/07_BlueTrack_WebInterface_Seed.sql (see Step 2)</w:t>
            </w:r>
          </w:p>
        </w:tc>
      </w:tr>
      <w:tr>
        <w:tc>
          <w:tcPr>
            <w:tcW w:type="pct" w:w="30%"/>
            <w:shd w:fill="EAF1F1" w:color="auto" w:val="clear"/>
            <w:tcMar>
              <w:top w:type="dxa" w:w="90"/>
              <w:left w:type="dxa" w:w="110"/>
              <w:bottom w:type="dxa" w:w="90"/>
              <w:right w:type="dxa" w:w="110"/>
            </w:tcMar>
          </w:tcPr>
          <w:p>
            <w:r>
              <w:rPr>
                <w:sz w:val="18"/>
                <w:szCs w:val="18"/>
              </w:rPr>
              <w:t xml:space="preserve">The frontend can't reach the API / CORS-looking errors</w:t>
            </w:r>
          </w:p>
        </w:tc>
        <w:tc>
          <w:tcPr>
            <w:tcW w:type="pct" w:w="40%"/>
            <w:shd w:fill="EAF1F1" w:color="auto" w:val="clear"/>
            <w:tcMar>
              <w:top w:type="dxa" w:w="90"/>
              <w:left w:type="dxa" w:w="110"/>
              <w:bottom w:type="dxa" w:w="90"/>
              <w:right w:type="dxa" w:w="110"/>
            </w:tcMar>
          </w:tcPr>
          <w:p>
            <w:r>
              <w:rPr>
                <w:sz w:val="18"/>
                <w:szCs w:val="18"/>
              </w:rPr>
              <w:t xml:space="preserve">The backend isn't running, or is running on a different port than vite.config.js expects</w:t>
            </w:r>
          </w:p>
        </w:tc>
        <w:tc>
          <w:tcPr>
            <w:tcW w:type="pct" w:w="30%"/>
            <w:shd w:fill="EAF1F1" w:color="auto" w:val="clear"/>
            <w:tcMar>
              <w:top w:type="dxa" w:w="90"/>
              <w:left w:type="dxa" w:w="110"/>
              <w:bottom w:type="dxa" w:w="90"/>
              <w:right w:type="dxa" w:w="110"/>
            </w:tcMar>
          </w:tcPr>
          <w:p>
            <w:r>
              <w:rPr>
                <w:sz w:val="18"/>
                <w:szCs w:val="18"/>
              </w:rPr>
              <w:t xml:space="preserve">Confirm App/Api is running and that Properties/launchSettings.json's port matches vite.config.js's proxy target</w:t>
            </w:r>
          </w:p>
        </w:tc>
      </w:tr>
      <w:tr>
        <w:tc>
          <w:tcPr>
            <w:tcW w:type="pct" w:w="30%"/>
            <w:tcMar>
              <w:top w:type="dxa" w:w="90"/>
              <w:left w:type="dxa" w:w="110"/>
              <w:bottom w:type="dxa" w:w="90"/>
              <w:right w:type="dxa" w:w="110"/>
            </w:tcMar>
          </w:tcPr>
          <w:p>
            <w:r>
              <w:rPr>
                <w:sz w:val="18"/>
                <w:szCs w:val="18"/>
              </w:rPr>
              <w:t xml:space="preserve">SSMS/dotnet can't connect to SQL Server</w:t>
            </w:r>
          </w:p>
        </w:tc>
        <w:tc>
          <w:tcPr>
            <w:tcW w:type="pct" w:w="40%"/>
            <w:tcMar>
              <w:top w:type="dxa" w:w="90"/>
              <w:left w:type="dxa" w:w="110"/>
              <w:bottom w:type="dxa" w:w="90"/>
              <w:right w:type="dxa" w:w="110"/>
            </w:tcMar>
          </w:tcPr>
          <w:p>
            <w:r>
              <w:rPr>
                <w:sz w:val="18"/>
                <w:szCs w:val="18"/>
              </w:rPr>
              <w:t xml:space="preserve">Your Windows account doesn't have a login on the target SQL Server instance yet</w:t>
            </w:r>
          </w:p>
        </w:tc>
        <w:tc>
          <w:tcPr>
            <w:tcW w:type="pct" w:w="30%"/>
            <w:tcMar>
              <w:top w:type="dxa" w:w="90"/>
              <w:left w:type="dxa" w:w="110"/>
              <w:bottom w:type="dxa" w:w="90"/>
              <w:right w:type="dxa" w:w="110"/>
            </w:tcMar>
          </w:tcPr>
          <w:p>
            <w:r>
              <w:rPr>
                <w:sz w:val="18"/>
                <w:szCs w:val="18"/>
              </w:rPr>
              <w:t xml:space="preserve">Ask whoever administers that instance to grant you access</w:t>
            </w:r>
          </w:p>
        </w:tc>
      </w:tr>
    </w:tbl>
    <w:p>
      <w:r>
        <w:br w:type="page"/>
      </w:r>
    </w:p>
    <w:p>
      <w:pPr>
        <w:pStyle w:val="Heading1"/>
        <w:spacing w:after="140" w:before="320"/>
      </w:pPr>
      <w:r>
        <w:t xml:space="preserve">Appendix: Solution Layout</w:t>
      </w:r>
    </w:p>
    <w:p>
      <w:pPr>
        <w:pStyle w:val="ListParagraph"/>
        <w:numPr>
          <w:ilvl w:val="0"/>
          <w:numId w:val="2"/>
        </w:numPr>
        <w:spacing w:after="60"/>
      </w:pPr>
      <w:r>
        <w:t xml:space="preserve">App/BlueTrack.slnx — the .NET solution (Api + Migrator)</w:t>
      </w:r>
    </w:p>
    <w:p>
      <w:pPr>
        <w:pStyle w:val="ListParagraph"/>
        <w:numPr>
          <w:ilvl w:val="0"/>
          <w:numId w:val="2"/>
        </w:numPr>
        <w:spacing w:after="60"/>
      </w:pPr>
      <w:r>
        <w:t xml:space="preserve">App/Api — ASP.NET Core Web API backend</w:t>
      </w:r>
    </w:p>
    <w:p>
      <w:pPr>
        <w:pStyle w:val="ListParagraph"/>
        <w:numPr>
          <w:ilvl w:val="0"/>
          <w:numId w:val="2"/>
        </w:numPr>
        <w:spacing w:after="60"/>
      </w:pPr>
      <w:r>
        <w:t xml:space="preserve">App/Web — Vue 3 + Vite frontend</w:t>
      </w:r>
    </w:p>
    <w:p>
      <w:pPr>
        <w:pStyle w:val="ListParagraph"/>
        <w:numPr>
          <w:ilvl w:val="0"/>
          <w:numId w:val="2"/>
        </w:numPr>
        <w:spacing w:after="60"/>
      </w:pPr>
      <w:r>
        <w:t xml:space="preserve">App/Migrator — DbUp-based schema migration tool, run against Database/ once past the initial setup (see Design_Decision_Register.md, D-58)</w:t>
      </w:r>
    </w:p>
    <w:p>
      <w:pPr>
        <w:pStyle w:val="ListParagraph"/>
        <w:numPr>
          <w:ilvl w:val="0"/>
          <w:numId w:val="2"/>
        </w:numPr>
        <w:spacing w:after="60"/>
      </w:pPr>
      <w:r>
        <w:t xml:space="preserve">Database/ — numbered SQL scripts, run in order; see Import_Load_Process_Guide.docx</w:t>
      </w:r>
    </w:p>
    <w:p>
      <w:pPr>
        <w:pStyle w:val="ListParagraph"/>
        <w:numPr>
          <w:ilvl w:val="0"/>
          <w:numId w:val="2"/>
        </w:numPr>
        <w:spacing w:after="60"/>
      </w:pPr>
      <w:r>
        <w:t xml:space="preserve">Design Documents/ — the full design record for this project; start with Design_Decision_Register.md</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2026-08-27T03:11:08.371Z</dcterms:created>
  <dcterms:modified xsi:type="dcterms:W3CDTF">2026-08-27T03:11:08.384Z</dcterms:modified>
</cp:coreProperties>
</file>

<file path=docProps/custom.xml><?xml version="1.0" encoding="utf-8"?>
<Properties xmlns="http://schemas.openxmlformats.org/officeDocument/2006/custom-properties" xmlns:vt="http://schemas.openxmlformats.org/officeDocument/2006/docPropsVTypes"/>
</file>