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Idle Timeout (minutes)</w:t>
            </w:r>
          </w:p>
        </w:tc>
        <w:tc>
          <w:tcPr>
            <w:tcW w:type="dxa" w:w="1728"/>
          </w:tcPr>
          <w:p>
            <w:r>
              <w:t>How long a user's cached rights last without activity. After that, BlueTrack works out their roles again and records a new Logon event.</w:t>
            </w:r>
          </w:p>
        </w:tc>
        <w:tc>
          <w:tcPr>
            <w:tcW w:type="dxa" w:w="1728"/>
          </w:tcPr>
          <w:p>
            <w:r>
              <w:t>30</w:t>
            </w:r>
          </w:p>
        </w:tc>
        <w:tc>
          <w:tcPr>
            <w:tcW w:type="dxa" w:w="1728"/>
          </w:tcPr>
          <w:p>
            <w:r>
              <w:t>15</w:t>
            </w:r>
          </w:p>
        </w:tc>
        <w:tc>
          <w:tcPr>
            <w:tcW w:type="dxa" w:w="1728"/>
          </w:tcPr>
          <w:p>
            <w:r>
              <w:t>Cached rights expire after 15 minutes regardless (see below), so values above 15 make no practical difference.</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bl>
    <w:p/>
    <w:p>
      <w:r>
        <w:rPr>
          <w:b/>
        </w:rPr>
        <w:t>Idle timeout.</w:t>
      </w:r>
      <w:r>
        <w:t xml:space="preserve"> This setting does not sign anyone out. It controls how long BlueTrack keeps a user's roles and permissions in its cache between requests. Cached rights also expire 15 minutes after they were worked out, even for an active user, and any change to a role, group mapping or identity provider clears every user's cache. An OIDC sign-in is held by a session cookie that lasts 8 hours; that lifetime is fixed and is not changed by this setting. There is no range check, so always enter a positive number of minutes.</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Write, approval and logon events are always logged. Read logging adds an entry for every record opened, which makes the log much larger.</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logout URL. Optional.</w:t>
            </w:r>
          </w:p>
        </w:tc>
        <w:tc>
          <w:tcPr>
            <w:tcW w:type="dxa" w:w="1728"/>
          </w:tcPr>
          <w:p>
            <w:r>
              <w:t>Blank</w:t>
            </w:r>
          </w:p>
        </w:tc>
        <w:tc>
          <w:tcPr>
            <w:tcW w:type="dxa" w:w="1728"/>
          </w:tcPr>
          <w:p>
            <w:r>
              <w:t>Optional</w:t>
            </w:r>
          </w:p>
        </w:tc>
        <w:tc>
          <w:tcPr>
            <w:tcW w:type="dxa" w:w="1728"/>
          </w:tcPr>
          <w:p>
            <w:r>
              <w:t>Stored for future use: signing out of BlueTrack currently ends only the BlueTrack session, not the identity provider's.</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in the Development environment. Keep it disabled in every other environment. BlueTrack sends a "DevFakeAuth enabled too long" alert if it stays enabled for more than 7 days.</w:t>
      </w:r>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Heading1"/>
      </w:pPr>
      <w:r>
        <w:t>3.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or </w:t>
      </w:r>
      <w:r>
        <w:rPr>
          <w:b/>
        </w:rPr>
        <w:t>Save</w:t>
      </w:r>
      <w:r>
        <w:t xml:space="preserve"> on the active backend. </w:t>
      </w:r>
      <w:r>
        <w:rPr>
          <w:b/>
        </w:rPr>
        <w:t>Test Connection</w:t>
      </w:r>
      <w:r>
        <w:t xml:space="preserve"> fetches one secret from the active backend and reports success with the user name and address, never the secret itself.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and LDAP bind accounts.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pPr>
        <w:pStyle w:val="Heading1"/>
      </w:pPr>
      <w:r>
        <w:t>4. Notifications</w:t>
      </w:r>
    </w:p>
    <w:p>
      <w:r>
        <w:rPr>
          <w:b/>
        </w:rPr>
        <w:t>Admin &gt; Notifications</w:t>
      </w:r>
      <w:r>
        <w:t xml:space="preserve"> (permission </w:t>
      </w:r>
      <w:r>
        <w:rPr>
          <w:rFonts w:ascii="Consolas" w:hAnsi="Consolas"/>
          <w:sz w:val="19"/>
        </w:rPr>
        <w:t>ManageNotifications</w:t>
      </w:r>
      <w:r>
        <w:t>). SMTP settings, notification types and recipients for BlueTrack's alerts.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authentication with a credential and STARTTLS off is refused.</w:t>
            </w:r>
          </w:p>
        </w:tc>
      </w:tr>
      <w:tr>
        <w:tc>
          <w:tcPr>
            <w:tcW w:type="dxa" w:w="1728"/>
          </w:tcPr>
          <w:p>
            <w:r>
              <w:t>Auth Method</w:t>
            </w:r>
          </w:p>
        </w:tc>
        <w:tc>
          <w:tcPr>
            <w:tcW w:type="dxa" w:w="1728"/>
          </w:tcPr>
          <w:p>
            <w:r>
              <w:t>None (relay without sign-in) or Basic (user name and password).</w:t>
            </w:r>
          </w:p>
        </w:tc>
        <w:tc>
          <w:tcPr>
            <w:tcW w:type="dxa" w:w="1728"/>
          </w:tcPr>
          <w:p>
            <w:r>
              <w:t>Basic</w:t>
            </w:r>
          </w:p>
        </w:tc>
        <w:tc>
          <w:tcPr>
            <w:tcW w:type="dxa" w:w="1728"/>
          </w:tcPr>
          <w:p>
            <w:r>
              <w:t>Basic, with a dedicated credential</w:t>
            </w:r>
          </w:p>
        </w:tc>
        <w:tc>
          <w:tcPr>
            <w:tcW w:type="dxa" w:w="1728"/>
          </w:tcPr>
          <w:p>
            <w:r>
              <w:t>The relay knows who is sending. Use None only for a relay that accepts only this server.</w:t>
            </w:r>
          </w:p>
        </w:tc>
      </w:tr>
      <w:tr>
        <w:tc>
          <w:tcPr>
            <w:tcW w:type="dxa" w:w="1728"/>
          </w:tcPr>
          <w:p>
            <w:r>
              <w:t>Credential</w:t>
            </w:r>
          </w:p>
        </w:tc>
        <w:tc>
          <w:tcPr>
            <w:tcW w:type="dxa" w:w="1728"/>
          </w:tcPr>
          <w:p>
            <w:r>
              <w:t>The credential to sign in with (from Credentials &amp; LDAP).</w:t>
            </w:r>
          </w:p>
        </w:tc>
        <w:tc>
          <w:tcPr>
            <w:tcW w:type="dxa" w:w="1728"/>
          </w:tcPr>
          <w:p>
            <w:r>
              <w:t>None</w:t>
            </w:r>
          </w:p>
        </w:tc>
        <w:tc>
          <w:tcPr>
            <w:tcW w:type="dxa" w:w="1728"/>
          </w:tcPr>
          <w:p>
            <w:r>
              <w:t>A dedicated mail account</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rPr>
          <w:b/>
        </w:rPr>
        <w:t>Notification types.</w:t>
      </w:r>
      <w:r>
        <w:t xml:space="preserve"> Each alert type can have a </w:t>
      </w:r>
      <w:r>
        <w:rPr>
          <w:b/>
        </w:rPr>
        <w:t>Target Role</w:t>
      </w:r>
      <w:r>
        <w:t xml:space="preserve">. The alert then also goes to that role's Notification Email and, if LDAP is set up, to members of the role's mapped AD groups, in addition to the recipient list. One type exists: </w:t>
      </w:r>
      <w:r>
        <w:rPr>
          <w:b/>
        </w:rPr>
        <w:t>DevFakeAuthEnabledTooLong</w:t>
      </w:r>
      <w:r>
        <w:t>, checked once a day; it fires when DevFakeAuth has been enabled for more than 7 days and repeats at most every 7 days. Recommended: set its target role to your Admin role.</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with no recipients, alerts go nowhere.</w:t>
      </w:r>
    </w:p>
    <w:p>
      <w:r>
        <w:rPr>
          <w:b/>
        </w:rPr>
        <w:t>Send Test Email</w:t>
      </w:r>
      <w:r>
        <w:t xml:space="preserve"> sends a real message to every active recipient using the saved settings. Use it after every SMTP change.</w:t>
      </w:r>
    </w:p>
    <w:p>
      <w:r>
        <w:t xml:space="preserve">Changing the host, port, STARTTLS, "Ignore all SSL errors", authentication method or credential while a credential is in use also needs </w:t>
      </w:r>
      <w:r>
        <w:rPr>
          <w:rFonts w:ascii="Consolas" w:hAnsi="Consolas"/>
          <w:sz w:val="19"/>
        </w:rPr>
        <w:t>ManageCredentials</w:t>
      </w:r>
      <w:r>
        <w:t>.</w:t>
      </w:r>
    </w:p>
    <w:p>
      <w:pPr>
        <w:pStyle w:val="Heading1"/>
      </w:pPr>
      <w:r>
        <w:t>5.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or Safe → application assignments.</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explicitly when the file isn't in template format</w:t>
            </w:r>
          </w:p>
        </w:tc>
        <w:tc>
          <w:tcPr>
            <w:tcW w:type="dxa" w:w="1728"/>
          </w:tcPr>
          <w:p>
            <w:r>
              <w:t>With None, the import uses the oldest active profile for that import type, if there is one, otherwise the template's own column names. Choosing one avoids surprises.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may be used.</w:t>
            </w:r>
          </w:p>
        </w:tc>
        <w:tc>
          <w:tcPr>
            <w:tcW w:type="dxa" w:w="1728"/>
          </w:tcPr>
          <w:p>
            <w:r>
              <w:t>On</w:t>
            </w:r>
          </w:p>
        </w:tc>
        <w:tc>
          <w:tcPr>
            <w:tcW w:type="dxa" w:w="1728"/>
          </w:tcPr>
          <w:p>
            <w:r>
              <w:t>One active profile per feed type</w:t>
            </w:r>
          </w:p>
        </w:tc>
        <w:tc>
          <w:tcPr>
            <w:tcW w:type="dxa" w:w="1728"/>
          </w:tcPr>
          <w:p>
            <w:r>
              <w:t>When no profile is chosen, the oldest active one is used. Several active profiles make it unclear which applies.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Not shown on the page. It is the </w:t>
            </w:r>
            <w:r>
              <w:rPr>
                <w:rFonts w:ascii="Consolas" w:hAnsi="Consolas"/>
                <w:sz w:val="19"/>
              </w:rPr>
              <w:t>RequiredPermission</w:t>
            </w:r>
            <w:r>
              <w:t xml:space="preserve"> column in the field metadata table; ask your database administrator to set it.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w:t>
      </w:r>
    </w:p>
    <w:p>
      <w:pPr>
        <w:pStyle w:val="Heading1"/>
      </w:pPr>
      <w:r>
        <w:t>6.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shows the environment name, version and build time, the health checks, SQL Server's last backup times and recent BlueTrack backups.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or SAML lacks SP Entity ID, IdP Entity ID or sign-on destination.</w:t>
            </w:r>
          </w:p>
        </w:tc>
        <w:tc>
          <w:tcPr>
            <w:tcW w:type="dxa" w:w="2160"/>
          </w:tcPr>
          <w:p>
            <w:r>
              <w:t>Fill in the fields or disable the provider.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7.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Names the settings file and turns development-only features on or off.</w:t>
            </w:r>
          </w:p>
        </w:tc>
        <w:tc>
          <w:tcPr>
            <w:tcW w:type="dxa" w:w="1728"/>
          </w:tcPr>
          <w:p>
            <w:r>
              <w:t>Prompted</w:t>
            </w:r>
          </w:p>
        </w:tc>
        <w:tc>
          <w:tcPr>
            <w:tcW w:type="dxa" w:w="1728"/>
          </w:tcPr>
          <w:p>
            <w:r>
              <w:t>Production for live use</w:t>
            </w:r>
          </w:p>
        </w:tc>
        <w:tc>
          <w:tcPr>
            <w:tcW w:type="dxa" w:w="1728"/>
          </w:tcPr>
          <w:p>
            <w:r>
              <w:t>Development enables test-only sign-in features. Never run a live install as Development.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w:t>
            </w:r>
          </w:p>
        </w:tc>
        <w:tc>
          <w:tcPr>
            <w:tcW w:type="dxa" w:w="1728"/>
          </w:tcPr>
          <w:p>
            <w:r>
              <w:t>Prompted if needed</w:t>
            </w:r>
          </w:p>
        </w:tc>
        <w:tc>
          <w:tcPr>
            <w:tcW w:type="dxa" w:w="1728"/>
          </w:tcPr>
          <w:p>
            <w:r>
              <w:t>A local folder on the SQL Server</w:t>
            </w:r>
          </w:p>
        </w:tc>
        <w:tc>
          <w:tcPr>
            <w:tcW w:type="dxa" w:w="1728"/>
          </w:tcPr>
          <w:p>
            <w:r>
              <w:t>SQL Server reads it directly.</w:t>
            </w:r>
          </w:p>
        </w:tc>
      </w:tr>
      <w:tr>
        <w:tc>
          <w:tcPr>
            <w:tcW w:type="dxa" w:w="1728"/>
          </w:tcPr>
          <w:p>
            <w:r>
              <w:rPr>
                <w:rFonts w:ascii="Consolas" w:hAnsi="Consolas"/>
                <w:sz w:val="19"/>
              </w:rPr>
              <w:t>-EvdDatabaseName</w:t>
            </w:r>
          </w:p>
        </w:tc>
        <w:tc>
          <w:tcPr>
            <w:tcW w:type="dxa" w:w="1728"/>
          </w:tcPr>
          <w:p>
            <w:r>
              <w:t>The Self-Hosted EVD database, on the same SQL Server instance.</w:t>
            </w:r>
          </w:p>
        </w:tc>
        <w:tc>
          <w:tcPr>
            <w:tcW w:type="dxa" w:w="1728"/>
          </w:tcPr>
          <w:p>
            <w:r>
              <w:t>Prompted if needed</w:t>
            </w:r>
          </w:p>
        </w:tc>
        <w:tc>
          <w:tcPr>
            <w:tcW w:type="dxa" w:w="1728"/>
          </w:tcPr>
          <w:p>
            <w:r>
              <w:t>Your EVD database</w:t>
            </w:r>
          </w:p>
        </w:tc>
        <w:tc>
          <w:tcPr>
            <w:tcW w:type="dxa" w:w="1728"/>
          </w:tcPr>
          <w:p>
            <w:r>
              <w:t>Needed for the Self-Hosted import.</w:t>
            </w:r>
          </w:p>
        </w:tc>
      </w:tr>
    </w:tbl>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 writes </w:t>
      </w:r>
      <w:r>
        <w:rPr>
          <w:rFonts w:ascii="Consolas" w:hAnsi="Consolas"/>
          <w:sz w:val="19"/>
        </w:rPr>
        <w:t>appsettings.&lt;Environment&gt;.json</w:t>
      </w:r>
      <w:r>
        <w:t xml:space="preserve"> into the API folder with three settings: the database connection string, </w:t>
      </w:r>
      <w:r>
        <w:rPr>
          <w:rFonts w:ascii="Consolas" w:hAnsi="Consolas"/>
          <w:sz w:val="19"/>
        </w:rPr>
        <w:t>Security:EnableHsts</w:t>
      </w:r>
      <w:r>
        <w:t xml:space="preserve"> (on only when the certificate isn't self-signed) and </w:t>
      </w:r>
      <w:r>
        <w:rPr>
          <w:rFonts w:ascii="Consolas" w:hAnsi="Consolas"/>
          <w:sz w:val="19"/>
        </w:rPr>
        <w:t>FileAccess:AllowedRoots</w:t>
      </w:r>
      <w:r>
        <w:t xml:space="preserve">. The web pages can't change any of them. To change allowed folders later, re-run the installer with the new </w:t>
      </w:r>
      <w:r>
        <w:rPr>
          <w:rFonts w:ascii="Consolas" w:hAnsi="Consolas"/>
          <w:sz w:val="19"/>
        </w:rPr>
        <w:t>-AllowedFileRoots</w:t>
      </w:r>
      <w:r>
        <w:t xml:space="preserve"> (step </w:t>
      </w:r>
      <w:r>
        <w:rPr>
          <w:rFonts w:ascii="Consolas" w:hAnsi="Consolas"/>
          <w:sz w:val="19"/>
        </w:rPr>
        <w:t>Db.AppSettings</w:t>
      </w:r>
      <w:r>
        <w:t>) rather than editing the file by hand, so the saved answers stay in step. When the connection string holds a SQL password, the installer limits the file to Administrators, SYSTEM and IIS worker processes.</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Alert checks</w:t>
            </w:r>
          </w:p>
        </w:tc>
        <w:tc>
          <w:tcPr>
            <w:tcW w:type="dxa" w:w="4320"/>
          </w:tcPr>
          <w:p>
            <w:r>
              <w:t>Once a day</w:t>
            </w:r>
          </w:p>
        </w:tc>
      </w:tr>
      <w:tr>
        <w:tc>
          <w:tcPr>
            <w:tcW w:type="dxa" w:w="4320"/>
          </w:tcPr>
          <w:p>
            <w:r>
              <w:t>OIDC changes</w:t>
            </w:r>
          </w:p>
        </w:tc>
        <w:tc>
          <w:tcPr>
            <w:tcW w:type="dxa" w:w="4320"/>
          </w:tcPr>
          <w:p>
            <w:r>
              <w:t>Need an application restart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