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 When a save is refused, the page gives the reason (for example a name already in use, or something that still uses the record); a save that returns to a list says so there.</w:t>
      </w:r>
    </w:p>
    <w:p>
      <w:r>
        <w:t xml:space="preserve">This guide has two parts. This file covers sections 1 to 5. Sections 6 (Secrets Store and Credentials, including LDAP), 7 (Notifications) 8 (SIEM Forwarding) and 9 (API Keys) are in </w:t>
      </w:r>
      <w:r>
        <w:t>Admin_SettingsReference_Notifications.md</w:t>
      </w:r>
      <w:r>
        <w:t>. Both are published together as the Administrator Settings Guide.</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Site URL</w:t>
            </w:r>
          </w:p>
        </w:tc>
        <w:tc>
          <w:tcPr>
            <w:tcW w:type="dxa" w:w="1728"/>
          </w:tcPr>
          <w:p>
            <w:r>
              <w:t xml:space="preserve">The address people open BlueTrack at, for example </w:t>
            </w:r>
            <w:r>
              <w:rPr>
                <w:rFonts w:ascii="Consolas" w:hAnsi="Consolas"/>
                <w:sz w:val="19"/>
              </w:rPr>
              <w:t>https://bluetrack.company.com</w:t>
            </w:r>
            <w:r>
              <w:t xml:space="preserve">. Notification emails link to the pages they mention under it; blank means they name the pages instead. Must start with </w:t>
            </w:r>
            <w:r>
              <w:rPr>
                <w:rFonts w:ascii="Consolas" w:hAnsi="Consolas"/>
                <w:sz w:val="19"/>
              </w:rPr>
              <w:t>https://</w:t>
            </w:r>
            <w:r>
              <w:t xml:space="preserve"> (</w:t>
            </w:r>
            <w:r>
              <w:rPr>
                <w:rFonts w:ascii="Consolas" w:hAnsi="Consolas"/>
                <w:sz w:val="19"/>
              </w:rPr>
              <w:t>http://</w:t>
            </w:r>
            <w:r>
              <w:t xml:space="preserve"> only for localhost), with no user name, query or </w:t>
            </w:r>
            <w:r>
              <w:rPr>
                <w:rFonts w:ascii="Consolas" w:hAnsi="Consolas"/>
                <w:sz w:val="19"/>
              </w:rPr>
              <w:t>#</w:t>
            </w:r>
            <w:r>
              <w:t xml:space="preserve"> part.</w:t>
            </w:r>
          </w:p>
        </w:tc>
        <w:tc>
          <w:tcPr>
            <w:tcW w:type="dxa" w:w="1728"/>
          </w:tcPr>
          <w:p>
            <w:r>
              <w:t>Filled in by the installer (</w:t>
            </w:r>
            <w:r>
              <w:rPr>
                <w:rFonts w:ascii="Consolas" w:hAnsi="Consolas"/>
                <w:sz w:val="19"/>
              </w:rPr>
              <w:t>https://&lt;Hostname&gt;</w:t>
            </w:r>
            <w:r>
              <w:t xml:space="preserve">, plus </w:t>
            </w:r>
            <w:r>
              <w:rPr>
                <w:rFonts w:ascii="Consolas" w:hAnsi="Consolas"/>
                <w:sz w:val="19"/>
              </w:rPr>
              <w:t>:&lt;HttpsPort&gt;</w:t>
            </w:r>
            <w:r>
              <w:t xml:space="preserve"> when that isn't 443) when blank</w:t>
            </w:r>
          </w:p>
        </w:tc>
        <w:tc>
          <w:tcPr>
            <w:tcW w:type="dxa" w:w="1728"/>
          </w:tcPr>
          <w:p>
            <w:r>
              <w:t>The address users type, matching the certificate</w:t>
            </w:r>
          </w:p>
        </w:tc>
        <w:tc>
          <w:tcPr>
            <w:tcW w:type="dxa" w:w="1728"/>
          </w:tcPr>
          <w:p>
            <w:r>
              <w:t>Links in emails only work if they point where users can reach the site. The installer never changes a value you've set; blank it here to clear it.</w:t>
            </w:r>
          </w:p>
        </w:tc>
      </w:tr>
      <w:tr>
        <w:tc>
          <w:tcPr>
            <w:tcW w:type="dxa" w:w="1728"/>
          </w:tcPr>
          <w:p>
            <w:r>
              <w:t>Idle Timeout (minutes)</w:t>
            </w:r>
          </w:p>
        </w:tc>
        <w:tc>
          <w:tcPr>
            <w:tcW w:type="dxa" w:w="1728"/>
          </w:tcPr>
          <w:p>
            <w:r>
              <w:t>Signs a user out after this many minutes without activity in any BlueTrack tab. OIDC and SAML sessions also end on the server after this long without a request, even if the tab was closed.</w:t>
            </w:r>
          </w:p>
        </w:tc>
        <w:tc>
          <w:tcPr>
            <w:tcW w:type="dxa" w:w="1728"/>
          </w:tcPr>
          <w:p>
            <w:r>
              <w:t>30</w:t>
            </w:r>
          </w:p>
        </w:tc>
        <w:tc>
          <w:tcPr>
            <w:tcW w:type="dxa" w:w="1728"/>
          </w:tcPr>
          <w:p>
            <w:r>
              <w:t>15 to 30</w:t>
            </w:r>
          </w:p>
        </w:tc>
        <w:tc>
          <w:tcPr>
            <w:tcW w:type="dxa" w:w="1728"/>
          </w:tcPr>
          <w:p>
            <w:r>
              <w:t>Short enough that an unattended screen doesn't stay signed in to privileged-access data, long enough not to interrupt normal work. Allowed: 5 to 720.</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Number and date format</w:t>
            </w:r>
          </w:p>
        </w:tc>
        <w:tc>
          <w:tcPr>
            <w:tcW w:type="dxa" w:w="1728"/>
          </w:tcPr>
          <w:p>
            <w:r>
              <w:t xml:space="preserve">The number and date format of text the server writes: notification emails and the data feed and Self-Hosted pull summaries. A culture name such as </w:t>
            </w:r>
            <w:r>
              <w:rPr>
                <w:rFonts w:ascii="Consolas" w:hAnsi="Consolas"/>
                <w:sz w:val="19"/>
              </w:rPr>
              <w:t>en-US</w:t>
            </w:r>
            <w:r>
              <w:t xml:space="preserve">, </w:t>
            </w:r>
            <w:r>
              <w:rPr>
                <w:rFonts w:ascii="Consolas" w:hAnsi="Consolas"/>
                <w:sz w:val="19"/>
              </w:rPr>
              <w:t>en-GB</w:t>
            </w:r>
            <w:r>
              <w:t xml:space="preserve">, </w:t>
            </w:r>
            <w:r>
              <w:rPr>
                <w:rFonts w:ascii="Consolas" w:hAnsi="Consolas"/>
                <w:sz w:val="19"/>
              </w:rPr>
              <w:t>de-DE</w:t>
            </w:r>
            <w:r>
              <w:t xml:space="preserve"> or </w:t>
            </w:r>
            <w:r>
              <w:rPr>
                <w:rFonts w:ascii="Consolas" w:hAnsi="Consolas"/>
                <w:sz w:val="19"/>
              </w:rPr>
              <w:t>fr-FR</w:t>
            </w:r>
            <w:r>
              <w:t>; the field suggests common ones and shows an example (a number and a date) as you type.</w:t>
            </w:r>
          </w:p>
        </w:tc>
        <w:tc>
          <w:tcPr>
            <w:tcW w:type="dxa" w:w="1728"/>
          </w:tcPr>
          <w:p>
            <w:r>
              <w:rPr>
                <w:rFonts w:ascii="Consolas" w:hAnsi="Consolas"/>
                <w:sz w:val="19"/>
              </w:rPr>
              <w:t>en-US</w:t>
            </w:r>
          </w:p>
        </w:tc>
        <w:tc>
          <w:tcPr>
            <w:tcW w:type="dxa" w:w="1728"/>
          </w:tcPr>
          <w:p>
            <w:r>
              <w:t>The format your administrators and email recipients read</w:t>
            </w:r>
          </w:p>
        </w:tc>
        <w:tc>
          <w:tcPr>
            <w:tcW w:type="dxa" w:w="1728"/>
          </w:tcPr>
          <w:p>
            <w:r>
              <w:t>An email goes to an address, not to a browser, so it can't follow each reader's language. The pages themselves always use each person's own browser or chosen language. CSV and Excel exports and audit details keep a fixed format.</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r>
        <w:tc>
          <w:tcPr>
            <w:tcW w:type="dxa" w:w="1728"/>
          </w:tcPr>
          <w:p>
            <w:r>
              <w:t>Export Max Rows</w:t>
            </w:r>
          </w:p>
        </w:tc>
        <w:tc>
          <w:tcPr>
            <w:tcW w:type="dxa" w:w="1728"/>
          </w:tcPr>
          <w:p>
            <w:r>
              <w:t>The most rows one report export (</w:t>
            </w:r>
            <w:r>
              <w:rPr>
                <w:b/>
              </w:rPr>
              <w:t>Export CSV</w:t>
            </w:r>
            <w:r>
              <w:t xml:space="preserve"> or </w:t>
            </w:r>
            <w:r>
              <w:rPr>
                <w:b/>
              </w:rPr>
              <w:t>Export Excel</w:t>
            </w:r>
            <w:r>
              <w:t xml:space="preserve"> on any report, or on the Audit Log Viewer) may hold. When more rows match the filters, the export is refused with the number of rows, never cut short. Allowed: 1 to 1,000,000.</w:t>
            </w:r>
          </w:p>
        </w:tc>
        <w:tc>
          <w:tcPr>
            <w:tcW w:type="dxa" w:w="1728"/>
          </w:tcPr>
          <w:p>
            <w:r>
              <w:t>100,000</w:t>
            </w:r>
          </w:p>
        </w:tc>
        <w:tc>
          <w:tcPr>
            <w:tcW w:type="dxa" w:w="1728"/>
          </w:tcPr>
          <w:p>
            <w:r>
              <w:t>100,000</w:t>
            </w:r>
          </w:p>
        </w:tc>
        <w:tc>
          <w:tcPr>
            <w:tcW w:type="dxa" w:w="1728"/>
          </w:tcPr>
          <w:p>
            <w:r>
              <w:t>Large enough for any normal report, small enough that one export can't tie up the server. Users narrow the filters when they hit it.</w:t>
            </w:r>
          </w:p>
        </w:tc>
      </w:tr>
      <w:tr>
        <w:tc>
          <w:tcPr>
            <w:tcW w:type="dxa" w:w="1728"/>
          </w:tcPr>
          <w:p>
            <w:r>
              <w:t>API key default lifetime (days)</w:t>
            </w:r>
          </w:p>
        </w:tc>
        <w:tc>
          <w:tcPr>
            <w:tcW w:type="dxa" w:w="1728"/>
          </w:tcPr>
          <w:p>
            <w:r>
              <w:t>How long a new API key lasts before it expires. Allowed: 1 to 365. You can choose another lifetime for each key when you create it (see section 9, API Keys).</w:t>
            </w:r>
          </w:p>
        </w:tc>
        <w:tc>
          <w:tcPr>
            <w:tcW w:type="dxa" w:w="1728"/>
          </w:tcPr>
          <w:p>
            <w:r>
              <w:t>90</w:t>
            </w:r>
          </w:p>
        </w:tc>
        <w:tc>
          <w:tcPr>
            <w:tcW w:type="dxa" w:w="1728"/>
          </w:tcPr>
          <w:p>
            <w:r>
              <w:t>90</w:t>
            </w:r>
          </w:p>
        </w:tc>
        <w:tc>
          <w:tcPr>
            <w:tcW w:type="dxa" w:w="1728"/>
          </w:tcPr>
          <w:p>
            <w:r>
              <w:t>Short enough that a forgotten key stops working, long enough that you aren't replacing keys constantly. Raise it only if a system can't be given a new key as often.</w:t>
            </w:r>
          </w:p>
        </w:tc>
      </w:tr>
      <w:tr>
        <w:tc>
          <w:tcPr>
            <w:tcW w:type="dxa" w:w="1728"/>
          </w:tcPr>
          <w:p>
            <w:r>
              <w:t>API requests per minute, per key</w:t>
            </w:r>
          </w:p>
        </w:tc>
        <w:tc>
          <w:tcPr>
            <w:tcW w:type="dxa" w:w="1728"/>
          </w:tcPr>
          <w:p>
            <w:r>
              <w:t>The most requests one API key may make in a minute. Allowed: 1 to 100,000. Over it, the API answers "too many requests" (HTTP 429) until the minute is up.</w:t>
            </w:r>
          </w:p>
        </w:tc>
        <w:tc>
          <w:tcPr>
            <w:tcW w:type="dxa" w:w="1728"/>
          </w:tcPr>
          <w:p>
            <w:r>
              <w:t>600</w:t>
            </w:r>
          </w:p>
        </w:tc>
        <w:tc>
          <w:tcPr>
            <w:tcW w:type="dxa" w:w="1728"/>
          </w:tcPr>
          <w:p>
            <w:r>
              <w:t>600</w:t>
            </w:r>
          </w:p>
        </w:tc>
        <w:tc>
          <w:tcPr>
            <w:tcW w:type="dxa" w:w="1728"/>
          </w:tcPr>
          <w:p>
            <w:r>
              <w:t>Far above what a normal script needs, low enough that a runaway loop can't flood the server. Raise it for a busy integration.</w:t>
            </w:r>
          </w:p>
        </w:tc>
      </w:tr>
      <w:tr>
        <w:tc>
          <w:tcPr>
            <w:tcW w:type="dxa" w:w="1728"/>
          </w:tcPr>
          <w:p>
            <w:r>
              <w:t>API key expiry reminder lead time (days)</w:t>
            </w:r>
          </w:p>
        </w:tc>
        <w:tc>
          <w:tcPr>
            <w:tcW w:type="dxa" w:w="1728"/>
          </w:tcPr>
          <w:p>
            <w:r>
              <w:t>How many days before an API key expires its owner is emailed (the owner is emailed again on the day, and the administrators on the day). Allowed: 1 to 90.</w:t>
            </w:r>
          </w:p>
        </w:tc>
        <w:tc>
          <w:tcPr>
            <w:tcW w:type="dxa" w:w="1728"/>
          </w:tcPr>
          <w:p>
            <w:r>
              <w:t>7</w:t>
            </w:r>
          </w:p>
        </w:tc>
        <w:tc>
          <w:tcPr>
            <w:tcW w:type="dxa" w:w="1728"/>
          </w:tcPr>
          <w:p>
            <w:r>
              <w:t>7</w:t>
            </w:r>
          </w:p>
        </w:tc>
        <w:tc>
          <w:tcPr>
            <w:tcW w:type="dxa" w:w="1728"/>
          </w:tcPr>
          <w:p>
            <w:r>
              <w:t>A week is enough to get a new key into a script. Lengthen it for scripts that are changed only at set times.</w:t>
            </w:r>
          </w:p>
        </w:tc>
      </w:tr>
      <w:tr>
        <w:tc>
          <w:tcPr>
            <w:tcW w:type="dxa" w:w="1728"/>
          </w:tcPr>
          <w:p>
            <w:r>
              <w:t>Delete expired API keys after (days)</w:t>
            </w:r>
          </w:p>
        </w:tc>
        <w:tc>
          <w:tcPr>
            <w:tcW w:type="dxa" w:w="1728"/>
          </w:tcPr>
          <w:p>
            <w:r>
              <w:t>How many days an expired API key stays on the API Keys list before it is deleted automatically. Allowed: 0 to 3,650; 0 keeps them for ever. A key that is only disabled is never deleted automatically.</w:t>
            </w:r>
          </w:p>
        </w:tc>
        <w:tc>
          <w:tcPr>
            <w:tcW w:type="dxa" w:w="1728"/>
          </w:tcPr>
          <w:p>
            <w:r>
              <w:t>365</w:t>
            </w:r>
          </w:p>
        </w:tc>
        <w:tc>
          <w:tcPr>
            <w:tcW w:type="dxa" w:w="1728"/>
          </w:tcPr>
          <w:p>
            <w:r>
              <w:t>365</w:t>
            </w:r>
          </w:p>
        </w:tc>
        <w:tc>
          <w:tcPr>
            <w:tcW w:type="dxa" w:w="1728"/>
          </w:tcPr>
          <w:p>
            <w:r>
              <w:t>Long enough to see which key expired and when, short enough that the list doesn't fill with dead keys. Each deletion is in the Audit Log.</w:t>
            </w:r>
          </w:p>
        </w:tc>
      </w:tr>
    </w:tbl>
    <w:p/>
    <w:p>
      <w:r>
        <w:rPr>
          <w:b/>
        </w:rPr>
        <w:t>Idle timeout.</w:t>
      </w:r>
      <w:r>
        <w:t xml:space="preserve"> In the browser, BlueTrack signs the user out after this many minutes with no mouse, keyboard or touch activity in any of its tabs, and the sign-in page says why. OIDC and SAML sessions are also ended on the server once no request has arrived for this long, so a closed tab doesn't leave a usable session behind; each OIDC session also ends after 8 hours regardless. Windows sign-in has no session to end: if Windows Integrated is the default method, the user is signed in again as soon as they leave the sign-in page. Separately, a user's cached roles and permissions last at most 15 minutes, and any change to a role, group mapping or identity provider clears every user's cache.</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 xml:space="preserve">Write, approval and logon events are always logged. Read logging adds an entry for every record opened, which makes the log much larger. Report exports are always logged (event type </w:t>
            </w:r>
            <w:r>
              <w:rPr>
                <w:rFonts w:ascii="Consolas" w:hAnsi="Consolas"/>
                <w:sz w:val="19"/>
              </w:rPr>
              <w:t>ReportExport</w:t>
            </w:r>
            <w:r>
              <w:t>), whatever this setting says.</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 While SIEM forwarding is on (section 8), the job keeps events not yet forwarded, however old.</w:t>
      </w:r>
    </w:p>
    <w:p>
      <w:r>
        <w:rPr>
          <w:b/>
        </w:rPr>
        <w:t>Seals and Verify.</w:t>
      </w:r>
      <w:r>
        <w:t xml:space="preserve"> BlueTrack seals every audit event within seconds of writing it: a fingerprint of the event, made with a key only BlueTrack can read and linked to the event before it. </w:t>
      </w:r>
      <w:r>
        <w:rPr>
          <w:b/>
        </w:rPr>
        <w:t>Verify</w:t>
      </w:r>
      <w:r>
        <w:t xml:space="preserve">, at the top of the Audit Log page, checks every seal and lists any event that was changed or deleted outside BlueTrack, and any seal that was removed. The </w:t>
      </w:r>
      <w:r>
        <w:rPr>
          <w:b/>
        </w:rPr>
        <w:t>AuditChainBroken</w:t>
      </w:r>
      <w:r>
        <w:t xml:space="preserve"> notification runs the same check once a day (section 7). The purge job deletes only sealed events and records what it deleted, so the check still passes after a purge. Nothing here is configurable. To record who changes the audit log as well, the installer can add a SQL Server audit to the Windows Security log (section 5, *Record audit log changes in the Windows Security log*).</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Single Logout URL (Redirect binding). Optional.</w:t>
            </w:r>
          </w:p>
        </w:tc>
        <w:tc>
          <w:tcPr>
            <w:tcW w:type="dxa" w:w="1728"/>
          </w:tcPr>
          <w:p>
            <w:r>
              <w:t>Blank</w:t>
            </w:r>
          </w:p>
        </w:tc>
        <w:tc>
          <w:tcPr>
            <w:tcW w:type="dxa" w:w="1728"/>
          </w:tcPr>
          <w:p>
            <w:r>
              <w:t>Set it, and give the IdP BlueTrack's logout address (below)</w:t>
            </w:r>
          </w:p>
        </w:tc>
        <w:tc>
          <w:tcPr>
            <w:tcW w:type="dxa" w:w="1728"/>
          </w:tcPr>
          <w:p>
            <w:r>
              <w:t xml:space="preserve">With it set, </w:t>
            </w:r>
            <w:r>
              <w:rPr>
                <w:b/>
              </w:rPr>
              <w:t>Sign out</w:t>
            </w:r>
            <w:r>
              <w:t xml:space="preserve"> of a SAML session also signs out at the identity provider, and signing out at the identity provider ends the BlueTrack session too (SAML Single Logout). Without it, Sign out ends only the BlueTrack session.</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r>
        <w:tc>
          <w:tcPr>
            <w:tcW w:type="dxa" w:w="1728"/>
          </w:tcPr>
          <w:p>
            <w:r>
              <w:t>Remember each browser's last method</w:t>
            </w:r>
          </w:p>
        </w:tc>
        <w:tc>
          <w:tcPr>
            <w:tcW w:type="dxa" w:w="1728"/>
          </w:tcPr>
          <w:p>
            <w:r>
              <w:t>When ticked, the sign-in page starts the method that browser last signed in with (while that method is still enabled) instead of the default. A browser that hasn't signed in since uses the default. Saved with the default method.</w:t>
            </w:r>
          </w:p>
        </w:tc>
        <w:tc>
          <w:tcPr>
            <w:tcW w:type="dxa" w:w="1728"/>
          </w:tcPr>
          <w:p>
            <w:r>
              <w:t>Off</w:t>
            </w:r>
          </w:p>
        </w:tc>
        <w:tc>
          <w:tcPr>
            <w:tcW w:type="dxa" w:w="1728"/>
          </w:tcPr>
          <w:p>
            <w:r>
              <w:t>Off, unless people regularly use different methods</w:t>
            </w:r>
          </w:p>
        </w:tc>
        <w:tc>
          <w:tcPr>
            <w:tcW w:type="dxa" w:w="1728"/>
          </w:tcPr>
          <w:p>
            <w:r>
              <w:t>Saves a click for people who sign in with a method other than the default. It is remembered in the browser (a cookie that grants nothing); signing out keeps it, and the sign-in page still lists every method after a sign-out. The methods are listed in each provider's Display Order.</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as the ASP.NET Core Development environment, which happens only on a developer's machine (</w:t>
      </w:r>
      <w:r>
        <w:rPr>
          <w:rFonts w:ascii="Consolas" w:hAnsi="Consolas"/>
          <w:sz w:val="19"/>
        </w:rPr>
        <w:t>dotnet run</w:t>
      </w:r>
      <w:r>
        <w:t xml:space="preserve"> and the automated tests). A site installed on IIS always runs as Production, whatever the installer's </w:t>
      </w:r>
      <w:r>
        <w:rPr>
          <w:rFonts w:ascii="Consolas" w:hAnsi="Consolas"/>
          <w:sz w:val="19"/>
        </w:rPr>
        <w:t>-Environment</w:t>
      </w:r>
      <w:r>
        <w:t xml:space="preserve"> answer, so DevFakeAuth sign-in never works there. Keep it disabled on every installed site. BlueTrack sends a "DevFakeAuth enabled too long" alert if it stays enabled for more than 7 days.</w:t>
      </w:r>
    </w:p>
    <w:p>
      <w:r>
        <w:rPr>
          <w:b/>
        </w:rPr>
        <w:t>Break-glass accounts</w:t>
      </w:r>
      <w:r>
        <w:t xml:space="preserve"> (at the bottom of the page). Emergency accounts, such as the server's local Administrator, whose credential you keep in CyberArk. They sign in like any other account; BlueTrack adds no separate sign-in. Each sign-in by one is recorded in the Audit Log as </w:t>
      </w:r>
      <w:r>
        <w:rPr>
          <w:b/>
        </w:rPr>
        <w:t>BreakGlassLogon</w:t>
      </w:r>
      <w:r>
        <w:t xml:space="preserve"> and emailed to the </w:t>
      </w:r>
      <w:r>
        <w:rPr>
          <w:b/>
        </w:rPr>
        <w:t>BreakGlassLogon</w:t>
      </w:r>
      <w:r>
        <w:t xml:space="preserve"> notification's recipients, every time, with no cooldown.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w:t>
            </w:r>
          </w:p>
        </w:tc>
        <w:tc>
          <w:tcPr>
            <w:tcW w:type="dxa" w:w="1728"/>
          </w:tcPr>
          <w:p>
            <w:r>
              <w:t xml:space="preserve">The account: </w:t>
            </w:r>
            <w:r>
              <w:rPr>
                <w:rFonts w:ascii="Consolas" w:hAnsi="Consolas"/>
                <w:sz w:val="19"/>
              </w:rPr>
              <w:t>DOMAIN\name</w:t>
            </w:r>
            <w:r>
              <w:t xml:space="preserve">, or </w:t>
            </w:r>
            <w:r>
              <w:rPr>
                <w:rFonts w:ascii="Consolas" w:hAnsi="Consolas"/>
                <w:sz w:val="19"/>
              </w:rPr>
              <w:t>.\name</w:t>
            </w:r>
            <w:r>
              <w:t xml:space="preserve"> for a local account on the BlueTrack server (both stored as the account's SID), a SID, or an OIDC/SAML user identifier.</w:t>
            </w:r>
          </w:p>
        </w:tc>
        <w:tc>
          <w:tcPr>
            <w:tcW w:type="dxa" w:w="1728"/>
          </w:tcPr>
          <w:p>
            <w:r>
              <w:t>None</w:t>
            </w:r>
          </w:p>
        </w:tc>
        <w:tc>
          <w:tcPr>
            <w:tcW w:type="dxa" w:w="1728"/>
          </w:tcPr>
          <w:p>
            <w:r>
              <w:t>The accounts in your emergency procedure</w:t>
            </w:r>
          </w:p>
        </w:tc>
        <w:tc>
          <w:tcPr>
            <w:tcW w:type="dxa" w:w="1728"/>
          </w:tcPr>
          <w:p>
            <w:r>
              <w:t>Only these accounts' sign-ins alert.</w:t>
            </w:r>
          </w:p>
        </w:tc>
      </w:tr>
      <w:tr>
        <w:tc>
          <w:tcPr>
            <w:tcW w:type="dxa" w:w="1728"/>
          </w:tcPr>
          <w:p>
            <w:r>
              <w:t>Display name</w:t>
            </w:r>
          </w:p>
        </w:tc>
        <w:tc>
          <w:tcPr>
            <w:tcW w:type="dxa" w:w="1728"/>
          </w:tcPr>
          <w:p>
            <w:r>
              <w:t>How the account appears in the list and the alert.</w:t>
            </w:r>
          </w:p>
        </w:tc>
        <w:tc>
          <w:tcPr>
            <w:tcW w:type="dxa" w:w="1728"/>
          </w:tcPr>
          <w:p>
            <w:r>
              <w:t>The account as entered</w:t>
            </w:r>
          </w:p>
        </w:tc>
        <w:tc>
          <w:tcPr>
            <w:tcW w:type="dxa" w:w="1728"/>
          </w:tcPr>
          <w:p>
            <w:r>
              <w:t>A name people recognize</w:t>
            </w:r>
          </w:p>
        </w:tc>
        <w:tc>
          <w:tcPr>
            <w:tcW w:type="dxa" w:w="1728"/>
          </w:tcPr>
          <w:p>
            <w:r>
              <w:t>The alert email names it.</w:t>
            </w:r>
          </w:p>
        </w:tc>
      </w:tr>
      <w:tr>
        <w:tc>
          <w:tcPr>
            <w:tcW w:type="dxa" w:w="1728"/>
          </w:tcPr>
          <w:p>
            <w:r>
              <w:t>Notes</w:t>
            </w:r>
          </w:p>
        </w:tc>
        <w:tc>
          <w:tcPr>
            <w:tcW w:type="dxa" w:w="1728"/>
          </w:tcPr>
          <w:p>
            <w:r>
              <w:t>Free text.</w:t>
            </w:r>
          </w:p>
        </w:tc>
        <w:tc>
          <w:tcPr>
            <w:tcW w:type="dxa" w:w="1728"/>
          </w:tcPr>
          <w:p>
            <w:r>
              <w:t>Blank</w:t>
            </w:r>
          </w:p>
        </w:tc>
        <w:tc>
          <w:tcPr>
            <w:tcW w:type="dxa" w:w="1728"/>
          </w:tcPr>
          <w:p>
            <w:r>
              <w:t>Where the credential is kept in CyberArk</w:t>
            </w:r>
          </w:p>
        </w:tc>
        <w:tc>
          <w:tcPr>
            <w:tcW w:type="dxa" w:w="1728"/>
          </w:tcPr>
          <w:p>
            <w:r>
              <w:t>Helps whoever responds to the alert.</w:t>
            </w:r>
          </w:p>
        </w:tc>
      </w:tr>
    </w:tbl>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 Analyst</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and export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ListBullet"/>
      </w:pPr>
      <w:r>
        <w:t xml:space="preserve">Each page opens only with its permission; otherwise the user sees </w:t>
      </w:r>
      <w:r>
        <w:rPr>
          <w:b/>
        </w:rPr>
        <w:t>Access Denied</w:t>
      </w:r>
      <w:r>
        <w:t xml:space="preserve">. A signed-in user with no role at all sees only a "You don't have access to BlueTrack yet" page naming their account, with </w:t>
      </w:r>
      <w:r>
        <w:rPr>
          <w:b/>
        </w:rPr>
        <w:t>Check again</w:t>
      </w:r>
      <w:r>
        <w:t xml:space="preserve"> to re-read their roles once you've mapped one.</w:t>
      </w:r>
    </w:p>
    <w:p>
      <w:pPr>
        <w:pStyle w:val="Heading1"/>
      </w:pPr>
      <w:r>
        <w:t>3.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Safe → application assignments, Account → application assignments, or Account inventory (accounts from another system).</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 Account inventory has no template: see below.</w:t>
            </w:r>
          </w:p>
        </w:tc>
      </w:tr>
      <w:tr>
        <w:tc>
          <w:tcPr>
            <w:tcW w:type="dxa" w:w="1728"/>
          </w:tcPr>
          <w:p>
            <w:r>
              <w:t>Source system</w:t>
            </w:r>
          </w:p>
        </w:tc>
        <w:tc>
          <w:tcPr>
            <w:tcW w:type="dxa" w:w="1728"/>
          </w:tcPr>
          <w:p>
            <w:r>
              <w:t xml:space="preserve">Account inventory only: the system the accounts come from. </w:t>
            </w:r>
            <w:r>
              <w:rPr>
                <w:b/>
              </w:rPr>
              <w:t>+ New source system</w:t>
            </w:r>
            <w:r>
              <w:t xml:space="preserve"> adds one (a name, and a short code of letters, digits and underscores).</w:t>
            </w:r>
          </w:p>
        </w:tc>
        <w:tc>
          <w:tcPr>
            <w:tcW w:type="dxa" w:w="1728"/>
          </w:tcPr>
          <w:p>
            <w:r>
              <w:t>None</w:t>
            </w:r>
          </w:p>
        </w:tc>
        <w:tc>
          <w:tcPr>
            <w:tcW w:type="dxa" w:w="1728"/>
          </w:tcPr>
          <w:p>
            <w:r>
              <w:t>One source system per system you import from</w:t>
            </w:r>
          </w:p>
        </w:tc>
        <w:tc>
          <w:tcPr>
            <w:tcW w:type="dxa" w:w="1728"/>
          </w:tcPr>
          <w:p>
            <w:r>
              <w:t>Each source system can have only one account inventory feed, because its accounts missing from the file are marked deleted.</w:t>
            </w:r>
          </w:p>
        </w:tc>
      </w:tr>
      <w:tr>
        <w:tc>
          <w:tcPr>
            <w:tcW w:type="dxa" w:w="1728"/>
          </w:tcPr>
          <w:p>
            <w:r>
              <w:t>Skip group rows</w:t>
            </w:r>
          </w:p>
        </w:tc>
        <w:tc>
          <w:tcPr>
            <w:tcW w:type="dxa" w:w="1728"/>
          </w:tcPr>
          <w:p>
            <w:r>
              <w:t xml:space="preserve">Account inventory only: skip rows whose </w:t>
            </w:r>
            <w:r>
              <w:rPr>
                <w:rFonts w:ascii="Consolas" w:hAnsi="Consolas"/>
                <w:sz w:val="19"/>
              </w:rPr>
              <w:t>UserName</w:t>
            </w:r>
            <w:r>
              <w:t xml:space="preserve"> starts and ends with </w:t>
            </w:r>
            <w:r>
              <w:rPr>
                <w:rFonts w:ascii="Consolas" w:hAnsi="Consolas"/>
                <w:sz w:val="19"/>
              </w:rPr>
              <w:t>*</w:t>
            </w:r>
            <w:r>
              <w:t xml:space="preserve"> and contains the word </w:t>
            </w:r>
            <w:r>
              <w:rPr>
                <w:rFonts w:ascii="Consolas" w:hAnsi="Consolas"/>
                <w:sz w:val="19"/>
              </w:rPr>
              <w:t>group</w:t>
            </w:r>
            <w:r>
              <w:t xml:space="preserve">, in any case. A pending-accounts export lists its local and domain groups that way, for example </w:t>
            </w:r>
            <w:r>
              <w:rPr>
                <w:rFonts w:ascii="Consolas" w:hAnsi="Consolas"/>
                <w:sz w:val="19"/>
              </w:rPr>
              <w:t>*Domain Admins Group*</w:t>
            </w:r>
            <w:r>
              <w:t>.</w:t>
            </w:r>
          </w:p>
        </w:tc>
        <w:tc>
          <w:tcPr>
            <w:tcW w:type="dxa" w:w="1728"/>
          </w:tcPr>
          <w:p>
            <w:r>
              <w:t>Off</w:t>
            </w:r>
          </w:p>
        </w:tc>
        <w:tc>
          <w:tcPr>
            <w:tcW w:type="dxa" w:w="1728"/>
          </w:tcPr>
          <w:p>
            <w:r>
              <w:t>On for a pending-accounts export</w:t>
            </w:r>
          </w:p>
        </w:tc>
        <w:tc>
          <w:tcPr>
            <w:tcW w:type="dxa" w:w="1728"/>
          </w:tcPr>
          <w:p>
            <w:r>
              <w:t>Skipped rows aren't accounts and aren't errors; the run's summary says how many were skipped. A group an earlier run imported is marked deleted by the next run.</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when the file isn't in template format</w:t>
            </w:r>
          </w:p>
        </w:tc>
        <w:tc>
          <w:tcPr>
            <w:tcW w:type="dxa" w:w="1728"/>
          </w:tcPr>
          <w:p>
            <w:r>
              <w:t>None means the file uses the template's own column names.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r>
        <w:rPr>
          <w:b/>
        </w:rPr>
        <w:t>Account inventory feeds</w:t>
      </w:r>
      <w:r>
        <w:t xml:space="preserve"> add another system's accounts to Account Progress, at </w:t>
      </w:r>
      <w:r>
        <w:rPr>
          <w:b/>
        </w:rPr>
        <w:t>Discovered</w:t>
      </w:r>
      <w:r>
        <w:t xml:space="preserve">, under the feed's source system. The file needs </w:t>
      </w:r>
      <w:r>
        <w:rPr>
          <w:rFonts w:ascii="Consolas" w:hAnsi="Consolas"/>
          <w:sz w:val="19"/>
        </w:rPr>
        <w:t>UserName</w:t>
      </w:r>
      <w:r>
        <w:t xml:space="preserve"> and </w:t>
      </w:r>
      <w:r>
        <w:rPr>
          <w:rFonts w:ascii="Consolas" w:hAnsi="Consolas"/>
          <w:sz w:val="19"/>
        </w:rPr>
        <w:t>Address</w:t>
      </w:r>
      <w:r>
        <w:t xml:space="preserve">; </w:t>
      </w:r>
      <w:r>
        <w:rPr>
          <w:rFonts w:ascii="Consolas" w:hAnsi="Consolas"/>
          <w:sz w:val="19"/>
        </w:rPr>
        <w:t>AccountName</w:t>
      </w:r>
      <w:r>
        <w:t xml:space="preserve"> (default </w:t>
      </w:r>
      <w:r>
        <w:rPr>
          <w:rFonts w:ascii="Consolas" w:hAnsi="Consolas"/>
          <w:sz w:val="19"/>
        </w:rPr>
        <w:t>username@address</w:t>
      </w:r>
      <w:r>
        <w:t xml:space="preserve">), </w:t>
      </w:r>
      <w:r>
        <w:rPr>
          <w:rFonts w:ascii="Consolas" w:hAnsi="Consolas"/>
          <w:sz w:val="19"/>
        </w:rPr>
        <w:t>PlatformName</w:t>
      </w:r>
      <w:r>
        <w:t xml:space="preserve"> (a CyberArk platform's name or ID, used to suggest the account type), </w:t>
      </w:r>
      <w:r>
        <w:rPr>
          <w:rFonts w:ascii="Consolas" w:hAnsi="Consolas"/>
          <w:sz w:val="19"/>
        </w:rPr>
        <w:t>OwnerName</w:t>
      </w:r>
      <w:r>
        <w:t xml:space="preserve"> and </w:t>
      </w:r>
      <w:r>
        <w:rPr>
          <w:rFonts w:ascii="Consolas" w:hAnsi="Consolas"/>
          <w:sz w:val="19"/>
        </w:rPr>
        <w:t>Notes</w:t>
      </w:r>
      <w:r>
        <w:t xml:space="preserve"> are optional. An account is identified by its user name and address (ignoring case) within the source system. The two together can be up to 400 characters; a longer row is reported as a row error. On later runs, the account's name, address and platform are updated from the file; its owner, notes and stage are BlueTrack's and aren't overwritten. An account missing from the file is marked deleted, and comes back if it reappears. A file with no valid rows fails the run and changes nothing. These accounts never move past Discovered on their own; after each run, an account CyberArk also has (the same user name and address, ignoring case and spaces) is </w:t>
      </w:r>
      <w:r>
        <w:rPr>
          <w:b/>
        </w:rPr>
        <w:t>linked</w:t>
      </w:r>
      <w:r>
        <w:t xml:space="preserve"> to the CyberArk account and moves to Onboarded to Vault, recorded in the Audit Log. A linked account is hidden from Account Progress and the reports (the </w:t>
      </w:r>
      <w:r>
        <w:rPr>
          <w:b/>
        </w:rPr>
        <w:t>Linked feed accounts</w:t>
      </w:r>
      <w:r>
        <w:t xml:space="preserve"> filter shows it). Feeds run after the nightly CyberArk load, so an account onboarded today is linked that night. An account that only nearly matches (the same user name, with addresses that agree by host name or DNS) is suggested on </w:t>
      </w:r>
      <w:r>
        <w:rPr>
          <w:b/>
        </w:rPr>
        <w:t>Reports &gt; Possible Account Matches</w:t>
      </w:r>
      <w:r>
        <w:t xml:space="preserve"> instead, for someone with </w:t>
      </w:r>
      <w:r>
        <w:rPr>
          <w:rFonts w:ascii="Consolas" w:hAnsi="Consolas"/>
          <w:sz w:val="19"/>
        </w:rPr>
        <w:t>ConfirmReconciliation</w:t>
      </w:r>
      <w:r>
        <w:t xml:space="preserve"> to link or dismiss. The DNS lookups are made by the App Pool's account during the run.</w:t>
      </w:r>
    </w:p>
    <w:p>
      <w:pPr>
        <w:pStyle w:val="Heading2"/>
      </w:pPr>
      <w:r>
        <w:t>CyberArk sources</w:t>
      </w:r>
    </w:p>
    <w:p>
      <w:r>
        <w:rPr>
          <w:b/>
        </w:rPr>
        <w:t>Admin &gt; Data Sources</w:t>
      </w:r>
      <w:r>
        <w:t xml:space="preserve">, the "CyberArk sources" section at the top, then </w:t>
      </w:r>
      <w:r>
        <w:rPr>
          <w:b/>
        </w:rPr>
        <w:t>Edit CyberArk sources</w:t>
      </w:r>
      <w:r>
        <w:t xml:space="preserve"> (permission </w:t>
      </w:r>
      <w:r>
        <w:rPr>
          <w:rFonts w:ascii="Consolas" w:hAnsi="Consolas"/>
          <w:sz w:val="19"/>
        </w:rPr>
        <w:t>ManageDataSources</w:t>
      </w:r>
      <w:r>
        <w:t xml:space="preserve">). These settings are read by the nightly Import+Load job's Import step (02:00); changes apply from the next nightly run. Privilege Cloud has no Run now; Self-Hosted has </w:t>
      </w:r>
      <w:r>
        <w:rPr>
          <w:b/>
        </w:rPr>
        <w:t>Pull now</w:t>
      </w:r>
      <w:r>
        <w:t xml:space="preserve"> (below). The installer sets them on first install (section 5, "Nightly import"); until they're saved, the page shows "Not set up yet" and the nightly import fails.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Import Privilege Cloud</w:t>
            </w:r>
          </w:p>
        </w:tc>
        <w:tc>
          <w:tcPr>
            <w:tcW w:type="dxa" w:w="1728"/>
          </w:tcPr>
          <w:p>
            <w:r>
              <w:t>Import the Privilege Cloud CSV exports. At least one source must be on.</w:t>
            </w:r>
          </w:p>
        </w:tc>
        <w:tc>
          <w:tcPr>
            <w:tcW w:type="dxa" w:w="1728"/>
          </w:tcPr>
          <w:p>
            <w:r>
              <w:t>Installer's answer</w:t>
            </w:r>
          </w:p>
        </w:tc>
        <w:tc>
          <w:tcPr>
            <w:tcW w:type="dxa" w:w="1728"/>
          </w:tcPr>
          <w:p>
            <w:r>
              <w:t>On if you have Privilege Cloud</w:t>
            </w:r>
          </w:p>
        </w:tc>
        <w:tc>
          <w:tcPr>
            <w:tcW w:type="dxa" w:w="1728"/>
          </w:tcPr>
          <w:p>
            <w:r>
              <w:t>A source that is on but missing fails the job each night.</w:t>
            </w:r>
          </w:p>
        </w:tc>
      </w:tr>
      <w:tr>
        <w:tc>
          <w:tcPr>
            <w:tcW w:type="dxa" w:w="1728"/>
          </w:tcPr>
          <w:p>
            <w:r>
              <w:t>Export folder</w:t>
            </w:r>
          </w:p>
        </w:tc>
        <w:tc>
          <w:tcPr>
            <w:tcW w:type="dxa" w:w="1728"/>
          </w:tcPr>
          <w:p>
            <w:r>
              <w:t>The folder holding the exports, up to 400 characters. Must be inside the server's allowed folders (without any set: local folders only, no network shares).</w:t>
            </w:r>
          </w:p>
        </w:tc>
        <w:tc>
          <w:tcPr>
            <w:tcW w:type="dxa" w:w="1728"/>
          </w:tcPr>
          <w:p>
            <w:r>
              <w:t>Installer's answer</w:t>
            </w:r>
          </w:p>
        </w:tc>
        <w:tc>
          <w:tcPr>
            <w:tcW w:type="dxa" w:w="1728"/>
          </w:tcPr>
          <w:p>
            <w:r>
              <w:t>A local folder on the SQL Server</w:t>
            </w:r>
          </w:p>
        </w:tc>
        <w:tc>
          <w:tcPr>
            <w:tcW w:type="dxa" w:w="1728"/>
          </w:tcPr>
          <w:p>
            <w:r>
              <w:t>SQL Server's service account reads the files, so it needs read access.</w:t>
            </w:r>
          </w:p>
        </w:tc>
      </w:tr>
      <w:tr>
        <w:tc>
          <w:tcPr>
            <w:tcW w:type="dxa" w:w="1728"/>
          </w:tcPr>
          <w:p>
            <w:r>
              <w:t>Platforms, Users, Groups, Local group members, Safes, Accounts, Entitlements file</w:t>
            </w:r>
          </w:p>
        </w:tc>
        <w:tc>
          <w:tcPr>
            <w:tcW w:type="dxa" w:w="1728"/>
          </w:tcPr>
          <w:p>
            <w:r>
              <w:t xml:space="preserve">The file name of each export, up to 200 characters. A date format in braces, such as </w:t>
            </w:r>
            <w:r>
              <w:rPr>
                <w:rFonts w:ascii="Consolas" w:hAnsi="Consolas"/>
                <w:sz w:val="19"/>
              </w:rPr>
              <w:t>{yyyy-MM-dd}</w:t>
            </w:r>
            <w:r>
              <w:t xml:space="preserve">, becomes the run's date; </w:t>
            </w:r>
            <w:r>
              <w:rPr>
                <w:rFonts w:ascii="Consolas" w:hAnsi="Consolas"/>
                <w:sz w:val="19"/>
              </w:rPr>
              <w:t>*</w:t>
            </w:r>
            <w:r>
              <w:t xml:space="preserve"> and </w:t>
            </w:r>
            <w:r>
              <w:rPr>
                <w:rFonts w:ascii="Consolas" w:hAnsi="Consolas"/>
                <w:sz w:val="19"/>
              </w:rPr>
              <w:t>?</w:t>
            </w:r>
            <w:r>
              <w:t xml:space="preserve"> aren't allowed.</w:t>
            </w:r>
          </w:p>
        </w:tc>
        <w:tc>
          <w:tcPr>
            <w:tcW w:type="dxa" w:w="1728"/>
          </w:tcPr>
          <w:p>
            <w:r>
              <w:rPr>
                <w:rFonts w:ascii="Consolas" w:hAnsi="Consolas"/>
                <w:sz w:val="19"/>
              </w:rPr>
              <w:t>Export_PlatformsList.csv</w:t>
            </w:r>
            <w:r>
              <w:t xml:space="preserve">, </w:t>
            </w:r>
            <w:r>
              <w:rPr>
                <w:rFonts w:ascii="Consolas" w:hAnsi="Consolas"/>
                <w:sz w:val="19"/>
              </w:rPr>
              <w:t>Export_UsersList.csv</w:t>
            </w:r>
            <w:r>
              <w:t xml:space="preserve">, </w:t>
            </w:r>
            <w:r>
              <w:rPr>
                <w:rFonts w:ascii="Consolas" w:hAnsi="Consolas"/>
                <w:sz w:val="19"/>
              </w:rPr>
              <w:t>Export_GroupsList.csv</w:t>
            </w:r>
            <w:r>
              <w:t xml:space="preserve">, </w:t>
            </w:r>
            <w:r>
              <w:rPr>
                <w:rFonts w:ascii="Consolas" w:hAnsi="Consolas"/>
                <w:sz w:val="19"/>
              </w:rPr>
              <w:t>Export Local Group Members {yyyy-MM-dd}.csv</w:t>
            </w:r>
            <w:r>
              <w:t xml:space="preserve">, </w:t>
            </w:r>
            <w:r>
              <w:rPr>
                <w:rFonts w:ascii="Consolas" w:hAnsi="Consolas"/>
                <w:sz w:val="19"/>
              </w:rPr>
              <w:t>Export_SafesList.csv</w:t>
            </w:r>
            <w:r>
              <w:t xml:space="preserve">, </w:t>
            </w:r>
            <w:r>
              <w:rPr>
                <w:rFonts w:ascii="Consolas" w:hAnsi="Consolas"/>
                <w:sz w:val="19"/>
              </w:rPr>
              <w:t>Export_AccountsList.csv</w:t>
            </w:r>
            <w:r>
              <w:t xml:space="preserve">, </w:t>
            </w:r>
            <w:r>
              <w:rPr>
                <w:rFonts w:ascii="Consolas" w:hAnsi="Consolas"/>
                <w:sz w:val="19"/>
              </w:rPr>
              <w:t>Export Entitlements {yyyy-MM-dd}.csv</w:t>
            </w:r>
          </w:p>
        </w:tc>
        <w:tc>
          <w:tcPr>
            <w:tcW w:type="dxa" w:w="1728"/>
          </w:tcPr>
          <w:p>
            <w:r>
              <w:t>The defaults, unless your exports are named differently</w:t>
            </w:r>
          </w:p>
        </w:tc>
        <w:tc>
          <w:tcPr>
            <w:tcW w:type="dxa" w:w="1728"/>
          </w:tcPr>
          <w:p>
            <w:r>
              <w:t>SQL Server needs the exact file name.</w:t>
            </w:r>
          </w:p>
        </w:tc>
      </w:tr>
      <w:tr>
        <w:tc>
          <w:tcPr>
            <w:tcW w:type="dxa" w:w="1728"/>
          </w:tcPr>
          <w:p>
            <w:r>
              <w:t>Import Self-Hosted</w:t>
            </w:r>
          </w:p>
        </w:tc>
        <w:tc>
          <w:tcPr>
            <w:tcW w:type="dxa" w:w="1728"/>
          </w:tcPr>
          <w:p>
            <w:r>
              <w:t>Read Self-Hosted from PVWA each night (Self-Hosted Direct); its settings are below.</w:t>
            </w:r>
          </w:p>
        </w:tc>
        <w:tc>
          <w:tcPr>
            <w:tcW w:type="dxa" w:w="1728"/>
          </w:tcPr>
          <w:p>
            <w:r>
              <w:t>Installer's answer</w:t>
            </w:r>
          </w:p>
        </w:tc>
        <w:tc>
          <w:tcPr>
            <w:tcW w:type="dxa" w:w="1728"/>
          </w:tcPr>
          <w:p>
            <w:r>
              <w:t>On if you have Self-Hosted</w:t>
            </w:r>
          </w:p>
        </w:tc>
        <w:tc>
          <w:tcPr>
            <w:tcW w:type="dxa" w:w="1728"/>
          </w:tcPr>
          <w:p>
            <w:r>
              <w:t>As above.</w:t>
            </w:r>
          </w:p>
        </w:tc>
      </w:tr>
    </w:tbl>
    <w:p/>
    <w:p>
      <w:r>
        <w:rPr>
          <w:b/>
        </w:rPr>
        <w:t>Self-Hosted Direct.</w:t>
      </w:r>
      <w:r>
        <w:t xml:space="preserve"> BlueTrack reads Safes, accounts, Safe members, users, groups and platforms from PVWA's REST API each night, at the pull time, before the import job. It sees only what its account can see, and doesn't read pending (discovered) accounts. It needs PAM Self-Hosted 14.2 or later.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PVWA address</w:t>
            </w:r>
          </w:p>
        </w:tc>
        <w:tc>
          <w:tcPr>
            <w:tcW w:type="dxa" w:w="1728"/>
          </w:tcPr>
          <w:p>
            <w:r>
              <w:t xml:space="preserve">The PVWA's address, </w:t>
            </w:r>
            <w:r>
              <w:rPr>
                <w:rFonts w:ascii="Consolas" w:hAnsi="Consolas"/>
                <w:sz w:val="19"/>
              </w:rPr>
              <w:t>https://</w:t>
            </w:r>
            <w:r>
              <w:t xml:space="preserve"> only; the </w:t>
            </w:r>
            <w:r>
              <w:rPr>
                <w:rFonts w:ascii="Consolas" w:hAnsi="Consolas"/>
                <w:sz w:val="19"/>
              </w:rPr>
              <w:t>/PasswordVault</w:t>
            </w:r>
            <w:r>
              <w:t xml:space="preserve"> part is optional. Up to 400 characters.</w:t>
            </w:r>
          </w:p>
        </w:tc>
        <w:tc>
          <w:tcPr>
            <w:tcW w:type="dxa" w:w="1728"/>
          </w:tcPr>
          <w:p>
            <w:r>
              <w:t>Blank</w:t>
            </w:r>
          </w:p>
        </w:tc>
        <w:tc>
          <w:tcPr>
            <w:tcW w:type="dxa" w:w="1728"/>
          </w:tcPr>
          <w:p>
            <w:r>
              <w:t>Your PVWA's address, as reachable from the BlueTrack server</w:t>
            </w:r>
          </w:p>
        </w:tc>
        <w:tc>
          <w:tcPr>
            <w:tcW w:type="dxa" w:w="1728"/>
          </w:tcPr>
          <w:p>
            <w:r>
              <w:t>The credential's password is sent over this connection, so plain HTTP is refused.</w:t>
            </w:r>
          </w:p>
        </w:tc>
      </w:tr>
      <w:tr>
        <w:tc>
          <w:tcPr>
            <w:tcW w:type="dxa" w:w="1728"/>
          </w:tcPr>
          <w:p>
            <w:r>
              <w:t>Credential</w:t>
            </w:r>
          </w:p>
        </w:tc>
        <w:tc>
          <w:tcPr>
            <w:tcW w:type="dxa" w:w="1728"/>
          </w:tcPr>
          <w:p>
            <w:r>
              <w:t xml:space="preserve">A named credential from </w:t>
            </w:r>
            <w:r>
              <w:rPr>
                <w:b/>
              </w:rPr>
              <w:t>Admin &gt; Credentials &amp; LDAP</w:t>
            </w:r>
            <w:r>
              <w:t xml:space="preserve">. A CyberArk CP or CCP credential is fetched from the Vault at each pull. </w:t>
            </w:r>
            <w:r>
              <w:rPr>
                <w:b/>
              </w:rPr>
              <w:t>Create a credential</w:t>
            </w:r>
            <w:r>
              <w:t xml:space="preserve"> opens that page and returns here with the new one chosen, keeping what you typed.</w:t>
            </w:r>
          </w:p>
        </w:tc>
        <w:tc>
          <w:tcPr>
            <w:tcW w:type="dxa" w:w="1728"/>
          </w:tcPr>
          <w:p>
            <w:r>
              <w:t>None</w:t>
            </w:r>
          </w:p>
        </w:tc>
        <w:tc>
          <w:tcPr>
            <w:tcW w:type="dxa" w:w="1728"/>
          </w:tcPr>
          <w:p>
            <w:r>
              <w:t>A CP or CCP credential for a dedicated PVWA user</w:t>
            </w:r>
          </w:p>
        </w:tc>
        <w:tc>
          <w:tcPr>
            <w:tcW w:type="dxa" w:w="1728"/>
          </w:tcPr>
          <w:p>
            <w:r>
              <w:t>The password then stays in the Vault and can be rotated there.</w:t>
            </w:r>
          </w:p>
        </w:tc>
      </w:tr>
      <w:tr>
        <w:tc>
          <w:tcPr>
            <w:tcW w:type="dxa" w:w="1728"/>
          </w:tcPr>
          <w:p>
            <w:r>
              <w:t>Logon method</w:t>
            </w:r>
          </w:p>
        </w:tc>
        <w:tc>
          <w:tcPr>
            <w:tcW w:type="dxa" w:w="1728"/>
          </w:tcPr>
          <w:p>
            <w:r>
              <w:rPr>
                <w:b/>
              </w:rPr>
              <w:t>CyberArk</w:t>
            </w:r>
            <w:r>
              <w:t xml:space="preserve"> or </w:t>
            </w:r>
            <w:r>
              <w:rPr>
                <w:b/>
              </w:rPr>
              <w:t>LDAP</w:t>
            </w:r>
            <w:r>
              <w:t>; both use the credential's user name and password.</w:t>
            </w:r>
          </w:p>
        </w:tc>
        <w:tc>
          <w:tcPr>
            <w:tcW w:type="dxa" w:w="1728"/>
          </w:tcPr>
          <w:p>
            <w:r>
              <w:t>CyberArk</w:t>
            </w:r>
          </w:p>
        </w:tc>
        <w:tc>
          <w:tcPr>
            <w:tcW w:type="dxa" w:w="1728"/>
          </w:tcPr>
          <w:p>
            <w:r>
              <w:t>The method the PVWA user is set up for</w:t>
            </w:r>
          </w:p>
        </w:tc>
        <w:tc>
          <w:tcPr>
            <w:tcW w:type="dxa" w:w="1728"/>
          </w:tcPr>
          <w:p>
            <w:r>
              <w:t>Windows and SAML logon aren't supported.</w:t>
            </w:r>
          </w:p>
        </w:tc>
      </w:tr>
      <w:tr>
        <w:tc>
          <w:tcPr>
            <w:tcW w:type="dxa" w:w="1728"/>
          </w:tcPr>
          <w:p>
            <w:r>
              <w:t>Pull time limit (minutes)</w:t>
            </w:r>
          </w:p>
        </w:tc>
        <w:tc>
          <w:tcPr>
            <w:tcW w:type="dxa" w:w="1728"/>
          </w:tcPr>
          <w:p>
            <w:r>
              <w:t xml:space="preserve">A pull (nightly or </w:t>
            </w:r>
            <w:r>
              <w:rPr>
                <w:b/>
              </w:rPr>
              <w:t>Pull now</w:t>
            </w:r>
            <w:r>
              <w:t>) still running after this long is stopped and logged as failed; the staged data the nightly load reads is left as it was. Allowed: 5 to 720.</w:t>
            </w:r>
          </w:p>
        </w:tc>
        <w:tc>
          <w:tcPr>
            <w:tcW w:type="dxa" w:w="1728"/>
          </w:tcPr>
          <w:p>
            <w:r>
              <w:t>45</w:t>
            </w:r>
          </w:p>
        </w:tc>
        <w:tc>
          <w:tcPr>
            <w:tcW w:type="dxa" w:w="1728"/>
          </w:tcPr>
          <w:p>
            <w:r>
              <w:t>45, or longer if your pulls take longer</w:t>
            </w:r>
          </w:p>
        </w:tc>
        <w:tc>
          <w:tcPr>
            <w:tcW w:type="dxa" w:w="1728"/>
          </w:tcPr>
          <w:p>
            <w:r>
              <w:t xml:space="preserve">A PVWA that stops answering can't hold the pull past the import. Check how long your pulls take in the pull log's </w:t>
            </w:r>
            <w:r>
              <w:rPr>
                <w:b/>
              </w:rPr>
              <w:t>Details</w:t>
            </w:r>
            <w:r>
              <w:t>.</w:t>
            </w:r>
          </w:p>
        </w:tc>
      </w:tr>
      <w:tr>
        <w:tc>
          <w:tcPr>
            <w:tcW w:type="dxa" w:w="1728"/>
          </w:tcPr>
          <w:p>
            <w:r>
              <w:t>Pull time</w:t>
            </w:r>
          </w:p>
        </w:tc>
        <w:tc>
          <w:tcPr>
            <w:tcW w:type="dxa" w:w="1728"/>
          </w:tcPr>
          <w:p>
            <w:r>
              <w:t>When the nightly pull runs, server time (HH:mm).</w:t>
            </w:r>
          </w:p>
        </w:tc>
        <w:tc>
          <w:tcPr>
            <w:tcW w:type="dxa" w:w="1728"/>
          </w:tcPr>
          <w:p>
            <w:r>
              <w:t>01:30</w:t>
            </w:r>
          </w:p>
        </w:tc>
        <w:tc>
          <w:tcPr>
            <w:tcW w:type="dxa" w:w="1728"/>
          </w:tcPr>
          <w:p>
            <w:r>
              <w:t>Early enough to finish well before the 02:00 import</w:t>
            </w:r>
          </w:p>
        </w:tc>
        <w:tc>
          <w:tcPr>
            <w:tcW w:type="dxa" w:w="1728"/>
          </w:tcPr>
          <w:p>
            <w:r>
              <w:t>The import fails if the latest pull didn't succeed or is more than 20 hours old.</w:t>
            </w:r>
          </w:p>
        </w:tc>
      </w:tr>
      <w:tr>
        <w:tc>
          <w:tcPr>
            <w:tcW w:type="dxa" w:w="1728"/>
          </w:tcPr>
          <w:p>
            <w:r>
              <w:t>Allowed change (%)</w:t>
            </w:r>
          </w:p>
        </w:tc>
        <w:tc>
          <w:tcPr>
            <w:tcW w:type="dxa" w:w="1728"/>
          </w:tcPr>
          <w:p>
            <w:r>
              <w:t>The most the number of Safes, or of accounts, may change from the last good pull before a pull is rejected. A change of 5 or fewer is always allowed. Allowed: 0 to 100.</w:t>
            </w:r>
          </w:p>
        </w:tc>
        <w:tc>
          <w:tcPr>
            <w:tcW w:type="dxa" w:w="1728"/>
          </w:tcPr>
          <w:p>
            <w:r>
              <w:t>20</w:t>
            </w:r>
          </w:p>
        </w:tc>
        <w:tc>
          <w:tcPr>
            <w:tcW w:type="dxa" w:w="1728"/>
          </w:tcPr>
          <w:p>
            <w:r>
              <w:t>20</w:t>
            </w:r>
          </w:p>
        </w:tc>
        <w:tc>
          <w:tcPr>
            <w:tcW w:type="dxa" w:w="1728"/>
          </w:tcPr>
          <w:p>
            <w:r>
              <w:t>A lost Safe membership or a wrong credential looks like Safes and accounts disappearing; without this check the next load would mark their accounts deleted.</w:t>
            </w:r>
          </w:p>
        </w:tc>
      </w:tr>
    </w:tbl>
    <w:p/>
    <w:p>
      <w:r>
        <w:t xml:space="preserve">If the chosen credential is a CyberArk CP or CCP credential and that backend isn't set up on </w:t>
      </w:r>
      <w:r>
        <w:rPr>
          <w:b/>
        </w:rPr>
        <w:t>Admin &gt; Secrets Store Configuration</w:t>
      </w:r>
      <w:r>
        <w:t xml:space="preserve"> (CP needs an App ID; CCP a Base URL and an App ID), the page says so, with </w:t>
      </w:r>
      <w:r>
        <w:rPr>
          <w:b/>
        </w:rPr>
        <w:t>Open Secrets Store</w:t>
      </w:r>
      <w:r>
        <w:t>. The PVWA user's Safe memberships and Vault authorizations are in the Operations Guide, "Self-Hosted Direct Pulls".</w:t>
      </w:r>
    </w:p>
    <w:p>
      <w:r>
        <w:rPr>
          <w:b/>
        </w:rPr>
        <w:t>The pull log.</w:t>
      </w:r>
      <w:r>
        <w:t xml:space="preserve"> Under "Self-Hosted Direct pulls", Data Sources lists recent pulls: when each started, who started it, the result (Succeeded, Rejected or Failed) and what it read (Safes, accounts, users, groups; a rejected pull shows the Safe and account counts before and after). </w:t>
      </w:r>
      <w:r>
        <w:rPr>
          <w:b/>
        </w:rPr>
        <w:t>Details</w:t>
      </w:r>
      <w:r>
        <w:t xml:space="preserve"> shows the whole pull: who started it, how long it took, every message, all the counts, what the result means and what to do.</w:t>
      </w:r>
    </w:p>
    <w:p>
      <w:pPr>
        <w:pStyle w:val="ListBullet"/>
      </w:pPr>
      <w:r>
        <w:rPr>
          <w:b/>
        </w:rPr>
        <w:t>Pull now</w:t>
      </w:r>
      <w:r>
        <w:t xml:space="preserve"> starts a pull straight away (inside business hours, after a confirmation). It replaces the staged Self-Hosted data the next import loads.</w:t>
      </w:r>
    </w:p>
    <w:p>
      <w:pPr>
        <w:pStyle w:val="ListBullet"/>
      </w:pPr>
      <w:r>
        <w:rPr>
          <w:b/>
        </w:rPr>
        <w:t>Accept the change and pull</w:t>
      </w:r>
      <w:r>
        <w:t xml:space="preserve">, offered after a </w:t>
      </w:r>
      <w:r>
        <w:rPr>
          <w:b/>
        </w:rPr>
        <w:t>Rejected</w:t>
      </w:r>
      <w:r>
        <w:t xml:space="preserve"> pull, pulls again and accepts whatever PVWA returns, after a confirmation. Accounts PVWA no longer returns are marked deleted at the next load.</w:t>
      </w:r>
    </w:p>
    <w:p>
      <w:pPr>
        <w:pStyle w:val="ListBullet"/>
      </w:pPr>
      <w:r>
        <w:rPr>
          <w:b/>
        </w:rPr>
        <w:t>Cancel pull</w:t>
      </w:r>
      <w:r>
        <w:t>, while a pull runs (nightly or Pull now), stops it after a confirmation. It is logged as failed, and the staged data is left as it was.</w:t>
      </w:r>
    </w:p>
    <w:p>
      <w:pPr>
        <w:pStyle w:val="ListBullet"/>
      </w:pPr>
      <w:r>
        <w:t xml:space="preserve">After a failed or rejected latest pull, Data Sources shows a banner saying tonight's import will fail until a pull succeeds, and the Admin menu shows ⚠ next to </w:t>
      </w:r>
      <w:r>
        <w:rPr>
          <w:b/>
        </w:rPr>
        <w:t>Data Sources</w:t>
      </w:r>
      <w:r>
        <w:t>. A rejected pull's message names the Safes it no longer returns and the new ones (up to 20 of each).</w:t>
      </w:r>
    </w:p>
    <w:p>
      <w:r>
        <w:t xml:space="preserve">Pull now, Accept and Cancel are recorded in the Audit Log. The </w:t>
      </w:r>
      <w:r>
        <w:rPr>
          <w:b/>
        </w:rPr>
        <w:t>SelfHostedPullFailed</w:t>
      </w:r>
      <w:r>
        <w:t xml:space="preserve"> notification (section 7) emails a failed or rejected pull.</w:t>
      </w:r>
    </w:p>
    <w:p>
      <w:r>
        <w:rPr>
          <w:b/>
        </w:rPr>
        <w:t>Test</w:t>
      </w:r>
      <w:r>
        <w:t xml:space="preserve"> checks the values on the page, saved or not: with Self-Hosted on, it logs on to PVWA with the credential and counts what it can see; with Privilege Cloud on, it checks that the export folder and today's seven files exist as the App Pool's account sees them. It also reads the header row of each Privilege Cloud file and reports any column the import needs that the file lacks ("the import would fail"), and lists optional columns that will import as empty. During the import it's SQL Server's service account that reads the files, so it needs read access too. Every save is recorded in the audit log, with each changed field.</w:t>
      </w:r>
    </w:p>
    <w:p>
      <w:r>
        <w:rPr>
          <w:b/>
        </w:rPr>
        <w:t>Columns are read by name.</w:t>
      </w:r>
      <w:r>
        <w:t xml:space="preserve"> The Privilege Cloud import finds each column by its header, so the order of the columns doesn't matter, columns BlueTrack doesn't use are ignored, and both the older and the current Users and Groups export layouts load. A missing optional column loads as empty. A missing required column fails the nightly import with a message naming the file and the columns; the </w:t>
      </w:r>
      <w:r>
        <w:rPr>
          <w:b/>
        </w:rPr>
        <w:t>NightlyImportFailed</w:t>
      </w:r>
      <w:r>
        <w:t xml:space="preserve"> email (section 7) carries that message. The Self-Hosted import is unchanged.</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is offered when a data feed or a Bulk Actions upload chooses a profile.</w:t>
            </w:r>
          </w:p>
        </w:tc>
        <w:tc>
          <w:tcPr>
            <w:tcW w:type="dxa" w:w="1728"/>
          </w:tcPr>
          <w:p>
            <w:r>
              <w:t>On</w:t>
            </w:r>
          </w:p>
        </w:tc>
        <w:tc>
          <w:tcPr>
            <w:tcW w:type="dxa" w:w="1728"/>
          </w:tcPr>
          <w:p>
            <w:r>
              <w:t>On for the profiles in use</w:t>
            </w:r>
          </w:p>
        </w:tc>
        <w:tc>
          <w:tcPr>
            <w:tcW w:type="dxa" w:w="1728"/>
          </w:tcPr>
          <w:p>
            <w:r>
              <w:t>A profile is used only when it's chosen; none chosen means the template's own column names.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r>
        <w:rPr>
          <w:b/>
        </w:rPr>
        <w:t>Fill a profile from a sample file.</w:t>
      </w:r>
      <w:r>
        <w:t xml:space="preserve"> Under </w:t>
      </w:r>
      <w:r>
        <w:rPr>
          <w:b/>
        </w:rPr>
        <w:t>Detect from a sample file</w:t>
      </w:r>
      <w:r>
        <w:t xml:space="preserve"> on the profile's edit page, pick a </w:t>
      </w:r>
      <w:r>
        <w:rPr>
          <w:b/>
        </w:rPr>
        <w:t>Sample CSV file</w:t>
      </w:r>
      <w:r>
        <w:t xml:space="preserve">. Only its header row is read, in your browser; the file isn't uploaded. Each field is matched to a column with the same name (ignoring case, spaces, underscores and punctuation), then to a common alternative name, and the page lists what it filled in, what it couldn't match and the columns it didn't use. A field you've already mapped to a different column is changed only if you choose </w:t>
      </w:r>
      <w:r>
        <w:rPr>
          <w:b/>
        </w:rPr>
        <w:t>Replace with the file's columns</w:t>
      </w:r>
      <w:r>
        <w:t xml:space="preserve"> (</w:t>
      </w:r>
      <w:r>
        <w:rPr>
          <w:b/>
        </w:rPr>
        <w:t>Keep my mappings</w:t>
      </w:r>
      <w:r>
        <w:t xml:space="preserve"> leaves it). Check the result before you save.</w:t>
      </w:r>
    </w:p>
    <w:p>
      <w:r>
        <w:rPr>
          <w:b/>
        </w:rPr>
        <w:t>Bulk Actions column check.</w:t>
      </w:r>
      <w:r>
        <w:t xml:space="preserve"> On the Targets and Access Groups </w:t>
      </w:r>
      <w:r>
        <w:rPr>
          <w:b/>
        </w:rPr>
        <w:t>Bulk Actions</w:t>
      </w:r>
      <w:r>
        <w:t xml:space="preserve"> pages, with no mapping profile chosen, picking a file lists the columns read by name and any required ones missing. </w:t>
      </w:r>
      <w:r>
        <w:rPr>
          <w:b/>
        </w:rPr>
        <w:t>Create a mapping profile from these columns</w:t>
      </w:r>
      <w:r>
        <w:t xml:space="preserve"> opens a new profile filled in from the file's headers.</w:t>
      </w:r>
    </w:p>
    <w:p>
      <w:pPr>
        <w:pStyle w:val="Heading2"/>
      </w:pPr>
      <w:r>
        <w:t>Target Match Review</w:t>
      </w:r>
    </w:p>
    <w:p>
      <w:r>
        <w:rPr>
          <w:b/>
        </w:rPr>
        <w:t>Admin &gt; Target Match Review</w:t>
      </w:r>
      <w:r>
        <w:t xml:space="preserve"> (permission </w:t>
      </w:r>
      <w:r>
        <w:rPr>
          <w:rFonts w:ascii="Consolas" w:hAnsi="Consolas"/>
          <w:sz w:val="19"/>
        </w:rPr>
        <w:t>ManageTargets</w:t>
      </w:r>
      <w:r>
        <w:t>) has no settings. When an imported target matches an existing one only weakly (for example by IP address alone, which DHCP or NAT can reuse), the row waits here instead of being merged. Each row shows the identifier, the candidate target and the imported target (its name, source and risk score). Resolve it with:</w:t>
      </w:r>
    </w:p>
    <w:p>
      <w:pPr>
        <w:pStyle w:val="ListBullet"/>
      </w:pPr>
      <w:r>
        <w:rPr>
          <w:b/>
        </w:rPr>
        <w:t>Link</w:t>
      </w:r>
      <w:r>
        <w:t xml:space="preserve">: keeps the imported row as its own target, linked to the candidate, or to another target found by typing at least 2 characters of its name or any identifier in </w:t>
      </w:r>
      <w:r>
        <w:rPr>
          <w:b/>
        </w:rPr>
        <w:t>Link To</w:t>
      </w:r>
      <w:r>
        <w:t>. The IP address stays on the existing target. Anything that reaches either target counts once, at the risk score of the target it's linked to.</w:t>
      </w:r>
    </w:p>
    <w:p>
      <w:pPr>
        <w:pStyle w:val="ListBullet"/>
      </w:pPr>
      <w:r>
        <w:rPr>
          <w:b/>
        </w:rPr>
        <w:t>New Target</w:t>
      </w:r>
      <w:r>
        <w:t>: keeps it as a separate, unlinked target.</w:t>
      </w:r>
    </w:p>
    <w:p>
      <w:pPr>
        <w:pStyle w:val="ListBullet"/>
      </w:pPr>
      <w:r>
        <w:rPr>
          <w:b/>
        </w:rPr>
        <w:t>Ignore</w:t>
      </w:r>
      <w:r>
        <w:t>: creates nothing, after a confirmation.</w:t>
      </w:r>
    </w:p>
    <w:p>
      <w:r>
        <w:t xml:space="preserve">Every choice is remembered. A later import of the same row (the same name and discovery source) goes straight to the target that Link or New Target made, and an ignored row is skipped (the Bulk Actions result says how many). Linked targets are hidden on </w:t>
      </w:r>
      <w:r>
        <w:rPr>
          <w:b/>
        </w:rPr>
        <w:t>Targets</w:t>
      </w:r>
      <w:r>
        <w:t xml:space="preserve"> unless </w:t>
      </w:r>
      <w:r>
        <w:rPr>
          <w:b/>
        </w:rPr>
        <w:t>Linked targets</w:t>
      </w:r>
      <w:r>
        <w:t xml:space="preserve"> is set to </w:t>
      </w:r>
      <w:r>
        <w:rPr>
          <w:b/>
        </w:rPr>
        <w:t>Show</w:t>
      </w:r>
      <w:r>
        <w:t xml:space="preserve">. The </w:t>
      </w:r>
      <w:r>
        <w:rPr>
          <w:b/>
        </w:rPr>
        <w:t>Edit Target</w:t>
      </w:r>
      <w:r>
        <w:t xml:space="preserve"> page shows the target a linked target belongs to, or a target's </w:t>
      </w:r>
      <w:r>
        <w:rPr>
          <w:b/>
        </w:rPr>
        <w:t>Linked Targets</w:t>
      </w:r>
      <w:r>
        <w:t xml:space="preserve">, with </w:t>
      </w:r>
      <w:r>
        <w:rPr>
          <w:b/>
        </w:rPr>
        <w:t>Unlink</w:t>
      </w:r>
      <w:r>
        <w:t>: an unlinked target counts at its own risk score again and isn't linked again automatically. Every resolution, link and unlink is recorded in the audit log.</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eleven fields: Blueprint Stage and Status (both required), Risk Level, Account Type, Source of Record, Application,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by hand, on top of </w:t>
            </w:r>
            <w:r>
              <w:rPr>
                <w:rFonts w:ascii="Consolas" w:hAnsi="Consolas"/>
                <w:sz w:val="19"/>
              </w:rPr>
              <w:t>EditAccountProgress</w:t>
            </w:r>
            <w:r>
              <w:t>. Enforced on the edit page, in bulk edit and in the Risk Exception import; someone without it sees the field read-only, with the permission named, and bulk edit doesn't offer it. Progress Rules and the nightly load aren't affected.</w:t>
            </w:r>
          </w:p>
        </w:tc>
        <w:tc>
          <w:tcPr>
            <w:tcW w:type="dxa" w:w="1728"/>
          </w:tcPr>
          <w:p>
            <w:r>
              <w:t xml:space="preserve">Source of Record: </w:t>
            </w:r>
            <w:r>
              <w:rPr>
                <w:rFonts w:ascii="Consolas" w:hAnsi="Consolas"/>
                <w:sz w:val="19"/>
              </w:rPr>
              <w:t>CuratePlatformMapping</w:t>
            </w:r>
            <w:r>
              <w:t xml:space="preserve"> (Admin); Actual Completion Date: </w:t>
            </w:r>
            <w:r>
              <w:rPr>
                <w:rFonts w:ascii="Consolas" w:hAnsi="Consolas"/>
                <w:sz w:val="19"/>
              </w:rPr>
              <w:t>ConfirmReconciliation</w:t>
            </w:r>
            <w:r>
              <w:t xml:space="preserve"> (Admin, Approver); Risk Level: </w:t>
            </w:r>
            <w:r>
              <w:rPr>
                <w:rFonts w:ascii="Consolas" w:hAnsi="Consolas"/>
                <w:sz w:val="19"/>
              </w:rPr>
              <w:t>ManageTargets</w:t>
            </w:r>
            <w:r>
              <w:t xml:space="preserve"> (Admin, Analyst); the rest none</w:t>
            </w:r>
          </w:p>
        </w:tc>
        <w:tc>
          <w:tcPr>
            <w:tcW w:type="dxa" w:w="1728"/>
          </w:tcPr>
          <w:p>
            <w:r>
              <w:t>The defaults</w:t>
            </w:r>
          </w:p>
        </w:tc>
        <w:tc>
          <w:tcPr>
            <w:tcW w:type="dxa" w:w="1728"/>
          </w:tcPr>
          <w:p>
            <w:r>
              <w:t xml:space="preserve">Source of record normally comes from Platform Mapping, and a completion date confirms work an approver signs off. Set with </w:t>
            </w:r>
            <w:r>
              <w:rPr>
                <w:b/>
              </w:rPr>
              <w:t>Required Permission</w:t>
            </w:r>
            <w:r>
              <w:t xml:space="preserve"> on the Edit Field page, and shown in the field list; the upgrade sets these defaults only where a field had none, so your own choice is kept.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Account Classification</w:t>
      </w:r>
    </w:p>
    <w:p>
      <w:r>
        <w:rPr>
          <w:b/>
        </w:rPr>
        <w:t>Admin &gt; Account Classification</w:t>
      </w:r>
      <w:r>
        <w:t xml:space="preserve"> (permission </w:t>
      </w:r>
      <w:r>
        <w:rPr>
          <w:rFonts w:ascii="Consolas" w:hAnsi="Consolas"/>
          <w:sz w:val="19"/>
        </w:rPr>
        <w:t>ManageDiscoveredAccounts</w:t>
      </w:r>
      <w:r>
        <w:t xml:space="preserve">). Separates a person's day-to-day account from their secondary and admin accounts on </w:t>
      </w:r>
      <w:r>
        <w:rPr>
          <w:b/>
        </w:rPr>
        <w:t>Reports &gt; Discovered Accounts</w:t>
      </w:r>
      <w:r>
        <w:t xml:space="preserve">: each discovered account gets an </w:t>
      </w:r>
      <w:r>
        <w:rPr>
          <w:b/>
        </w:rPr>
        <w:t>Account Class</w:t>
      </w:r>
      <w:r>
        <w:t xml:space="preserve"> (Primary, Secondary, Admin or Unknown) and an </w:t>
      </w:r>
      <w:r>
        <w:rPr>
          <w:b/>
        </w:rPr>
        <w:t>Owner</w:t>
      </w:r>
      <w:r>
        <w:t xml:space="preserve"> (the person's primary account in the same domain). Nothing changes until you turn it on and add rules.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Classify discovered accounts</w:t>
            </w:r>
          </w:p>
        </w:tc>
        <w:tc>
          <w:tcPr>
            <w:tcW w:type="dxa" w:w="1728"/>
          </w:tcPr>
          <w:p>
            <w:r>
              <w:t>Works out the class and owner. Off: the columns stay empty (a manual override still shows) and discovery reads no extra attributes.</w:t>
            </w:r>
          </w:p>
        </w:tc>
        <w:tc>
          <w:tcPr>
            <w:tcW w:type="dxa" w:w="1728"/>
          </w:tcPr>
          <w:p>
            <w:r>
              <w:t>Off</w:t>
            </w:r>
          </w:p>
        </w:tc>
        <w:tc>
          <w:tcPr>
            <w:tcW w:type="dxa" w:w="1728"/>
          </w:tcPr>
          <w:p>
            <w:r>
              <w:t>On, once rules are added</w:t>
            </w:r>
          </w:p>
        </w:tc>
        <w:tc>
          <w:tcPr>
            <w:tcW w:type="dxa" w:w="1728"/>
          </w:tcPr>
          <w:p>
            <w:r>
              <w:t>The next discovery run reads the attributes the rules need.</w:t>
            </w:r>
          </w:p>
        </w:tc>
      </w:tr>
      <w:tr>
        <w:tc>
          <w:tcPr>
            <w:tcW w:type="dxa" w:w="1728"/>
          </w:tcPr>
          <w:p>
            <w:r>
              <w:t>Class when no rule matches</w:t>
            </w:r>
          </w:p>
        </w:tc>
        <w:tc>
          <w:tcPr>
            <w:tcW w:type="dxa" w:w="1728"/>
          </w:tcPr>
          <w:p>
            <w:r>
              <w:t>Unknown or Primary.</w:t>
            </w:r>
          </w:p>
        </w:tc>
        <w:tc>
          <w:tcPr>
            <w:tcW w:type="dxa" w:w="1728"/>
          </w:tcPr>
          <w:p>
            <w:r>
              <w:t>Unknown</w:t>
            </w:r>
          </w:p>
        </w:tc>
        <w:tc>
          <w:tcPr>
            <w:tcW w:type="dxa" w:w="1728"/>
          </w:tcPr>
          <w:p>
            <w:r>
              <w:t>Unknown</w:t>
            </w:r>
          </w:p>
        </w:tc>
        <w:tc>
          <w:tcPr>
            <w:tcW w:type="dxa" w:w="1728"/>
          </w:tcPr>
          <w:p>
            <w:r>
              <w:t>Primary would also make every unmatched service account a person's main account.</w:t>
            </w:r>
          </w:p>
        </w:tc>
      </w:tr>
      <w:tr>
        <w:tc>
          <w:tcPr>
            <w:tcW w:type="dxa" w:w="1728"/>
          </w:tcPr>
          <w:p>
            <w:r>
              <w:t>Find the owner by a shared employee ID</w:t>
            </w:r>
          </w:p>
        </w:tc>
        <w:tc>
          <w:tcPr>
            <w:tcW w:type="dxa" w:w="1728"/>
          </w:tcPr>
          <w:p>
            <w:r>
              <w:t>For an account that isn't Primary, the owner is the one enabled account in the same domain with the same employee ID whose class is Primary; for a Secondary or Admin account with none, the one that matches no rule. If more than one could be, the owner is left empty (ambiguous).</w:t>
            </w:r>
          </w:p>
        </w:tc>
        <w:tc>
          <w:tcPr>
            <w:tcW w:type="dxa" w:w="1728"/>
          </w:tcPr>
          <w:p>
            <w:r>
              <w:t>Off</w:t>
            </w:r>
          </w:p>
        </w:tc>
        <w:tc>
          <w:tcPr>
            <w:tcW w:type="dxa" w:w="1728"/>
          </w:tcPr>
          <w:p>
            <w:r>
              <w:t>On if your directory fills the ID on both accounts</w:t>
            </w:r>
          </w:p>
        </w:tc>
        <w:tc>
          <w:tcPr>
            <w:tcW w:type="dxa" w:w="1728"/>
          </w:tcPr>
          <w:p>
            <w:r>
              <w:t>Finds owners whose admin account isn't named after them.</w:t>
            </w:r>
          </w:p>
        </w:tc>
      </w:tr>
      <w:tr>
        <w:tc>
          <w:tcPr>
            <w:tcW w:type="dxa" w:w="1728"/>
          </w:tcPr>
          <w:p>
            <w:r>
              <w:t>Employee ID attribute</w:t>
            </w:r>
          </w:p>
        </w:tc>
        <w:tc>
          <w:tcPr>
            <w:tcW w:type="dxa" w:w="1728"/>
          </w:tcPr>
          <w:p>
            <w:r>
              <w:t>employeeID or employeeNumber.</w:t>
            </w:r>
          </w:p>
        </w:tc>
        <w:tc>
          <w:tcPr>
            <w:tcW w:type="dxa" w:w="1728"/>
          </w:tcPr>
          <w:p>
            <w:r>
              <w:t>employeeID</w:t>
            </w:r>
          </w:p>
        </w:tc>
        <w:tc>
          <w:tcPr>
            <w:tcW w:type="dxa" w:w="1728"/>
          </w:tcPr>
          <w:p>
            <w:r>
              <w:t>Whichever your HR feed fills</w:t>
            </w:r>
          </w:p>
        </w:tc>
        <w:tc>
          <w:tcPr>
            <w:tcW w:type="dxa" w:w="1728"/>
          </w:tcPr>
          <w:p/>
        </w:tc>
      </w:tr>
    </w:tbl>
    <w:p/>
    <w:p>
      <w:r>
        <w:rPr>
          <w:b/>
        </w:rPr>
        <w:t>Rules.</w:t>
      </w:r>
      <w:r>
        <w:t xml:space="preserve"> Each rule has a condition and a class (Primary, Secondary or Admin), can be enabled or disabled, and is edited on its own page (click its condition). Attribute rules are checked first, then Name rules, then OU rules; within a type, in the order shown (</w:t>
      </w:r>
      <w:r>
        <w:rPr>
          <w:b/>
        </w:rPr>
        <w:t>Up</w:t>
      </w:r>
      <w:r>
        <w:t xml:space="preserve"> / </w:t>
      </w:r>
      <w:r>
        <w:rPr>
          <w:b/>
        </w:rPr>
        <w:t>Down</w:t>
      </w:r>
      <w:r>
        <w:t>). The first enabled rule that matches sets the class.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 type</w:t>
            </w:r>
          </w:p>
        </w:tc>
        <w:tc>
          <w:tcPr>
            <w:tcW w:type="dxa" w:w="2880"/>
          </w:tcPr>
          <w:p>
            <w:r>
              <w:rPr>
                <w:b/>
              </w:rPr>
              <w:t>Condition</w:t>
            </w:r>
          </w:p>
        </w:tc>
        <w:tc>
          <w:tcPr>
            <w:tcW w:type="dxa" w:w="2880"/>
          </w:tcPr>
          <w:p>
            <w:r>
              <w:rPr>
                <w:b/>
              </w:rPr>
              <w:t>Example</w:t>
            </w:r>
          </w:p>
        </w:tc>
      </w:tr>
      <w:tr>
        <w:tc>
          <w:tcPr>
            <w:tcW w:type="dxa" w:w="2880"/>
          </w:tcPr>
          <w:p>
            <w:r>
              <w:t>Attribute</w:t>
            </w:r>
          </w:p>
        </w:tc>
        <w:tc>
          <w:tcPr>
            <w:tcW w:type="dxa" w:w="2880"/>
          </w:tcPr>
          <w:p>
            <w:r>
              <w:t xml:space="preserve">One of adminCount, employeeType, extensionAttribute1 to 15, description, title, department; </w:t>
            </w:r>
            <w:r>
              <w:rPr>
                <w:b/>
              </w:rPr>
              <w:t>equals</w:t>
            </w:r>
            <w:r>
              <w:t xml:space="preserve">, </w:t>
            </w:r>
            <w:r>
              <w:rPr>
                <w:b/>
              </w:rPr>
              <w:t>contains</w:t>
            </w:r>
            <w:r>
              <w:t xml:space="preserve">, </w:t>
            </w:r>
            <w:r>
              <w:rPr>
                <w:b/>
              </w:rPr>
              <w:t>starts with</w:t>
            </w:r>
            <w:r>
              <w:t xml:space="preserve"> (case ignored) or </w:t>
            </w:r>
            <w:r>
              <w:rPr>
                <w:b/>
              </w:rPr>
              <w:t>is set</w:t>
            </w:r>
            <w:r>
              <w:t>. No other attribute can be used.</w:t>
            </w:r>
          </w:p>
        </w:tc>
        <w:tc>
          <w:tcPr>
            <w:tcW w:type="dxa" w:w="2880"/>
          </w:tcPr>
          <w:p>
            <w:r>
              <w:t>adminCount equals 1 → Admin; extensionAttribute5 equals Admin → Admin</w:t>
            </w:r>
          </w:p>
        </w:tc>
      </w:tr>
      <w:tr>
        <w:tc>
          <w:tcPr>
            <w:tcW w:type="dxa" w:w="2880"/>
          </w:tcPr>
          <w:p>
            <w:r>
              <w:t>Name</w:t>
            </w:r>
          </w:p>
        </w:tc>
        <w:tc>
          <w:tcPr>
            <w:tcW w:type="dxa" w:w="2880"/>
          </w:tcPr>
          <w:p>
            <w:r>
              <w:t xml:space="preserve">sAMAccountName or userPrincipalName </w:t>
            </w:r>
            <w:r>
              <w:rPr>
                <w:b/>
              </w:rPr>
              <w:t>starts with</w:t>
            </w:r>
            <w:r>
              <w:t xml:space="preserve"> (prefix), </w:t>
            </w:r>
            <w:r>
              <w:rPr>
                <w:b/>
              </w:rPr>
              <w:t>ends with</w:t>
            </w:r>
            <w:r>
              <w:t xml:space="preserve"> (suffix) or </w:t>
            </w:r>
            <w:r>
              <w:rPr>
                <w:b/>
              </w:rPr>
              <w:t>matches pattern</w:t>
            </w:r>
            <w:r>
              <w:t xml:space="preserve"> (</w:t>
            </w:r>
            <w:r>
              <w:rPr>
                <w:rFonts w:ascii="Consolas" w:hAnsi="Consolas"/>
                <w:sz w:val="19"/>
              </w:rPr>
              <w:t>*</w:t>
            </w:r>
            <w:r>
              <w:t xml:space="preserve"> any text, </w:t>
            </w:r>
            <w:r>
              <w:rPr>
                <w:rFonts w:ascii="Consolas" w:hAnsi="Consolas"/>
                <w:sz w:val="19"/>
              </w:rPr>
              <w:t>?</w:t>
            </w:r>
            <w:r>
              <w:t xml:space="preserve"> one character).</w:t>
            </w:r>
          </w:p>
        </w:tc>
        <w:tc>
          <w:tcPr>
            <w:tcW w:type="dxa" w:w="2880"/>
          </w:tcPr>
          <w:p>
            <w:r>
              <w:t xml:space="preserve">sAMAccountName starts with </w:t>
            </w:r>
            <w:r>
              <w:rPr>
                <w:rFonts w:ascii="Consolas" w:hAnsi="Consolas"/>
                <w:sz w:val="19"/>
              </w:rPr>
              <w:t>adm.</w:t>
            </w:r>
            <w:r>
              <w:t xml:space="preserve"> → Admin; pattern </w:t>
            </w:r>
            <w:r>
              <w:rPr>
                <w:rFonts w:ascii="Consolas" w:hAnsi="Consolas"/>
                <w:sz w:val="19"/>
              </w:rPr>
              <w:t>*-a</w:t>
            </w:r>
            <w:r>
              <w:t xml:space="preserve"> → Secondary</w:t>
            </w:r>
          </w:p>
        </w:tc>
      </w:tr>
      <w:tr>
        <w:tc>
          <w:tcPr>
            <w:tcW w:type="dxa" w:w="2880"/>
          </w:tcPr>
          <w:p>
            <w:r>
              <w:t>OU</w:t>
            </w:r>
          </w:p>
        </w:tc>
        <w:tc>
          <w:tcPr>
            <w:tcW w:type="dxa" w:w="2880"/>
          </w:tcPr>
          <w:p>
            <w:r>
              <w:t xml:space="preserve">The distinguished name </w:t>
            </w:r>
            <w:r>
              <w:rPr>
                <w:b/>
              </w:rPr>
              <w:t>contains</w:t>
            </w:r>
            <w:r>
              <w:t xml:space="preserve"> or </w:t>
            </w:r>
            <w:r>
              <w:rPr>
                <w:b/>
              </w:rPr>
              <w:t>ends with</w:t>
            </w:r>
            <w:r>
              <w:t xml:space="preserve"> an OU path (case and spaces after commas ignored).</w:t>
            </w:r>
          </w:p>
        </w:tc>
        <w:tc>
          <w:tcPr>
            <w:tcW w:type="dxa" w:w="2880"/>
          </w:tcPr>
          <w:p>
            <w:r>
              <w:t xml:space="preserve">contains </w:t>
            </w:r>
            <w:r>
              <w:rPr>
                <w:rFonts w:ascii="Consolas" w:hAnsi="Consolas"/>
                <w:sz w:val="19"/>
              </w:rPr>
              <w:t>OU=Admin Accounts</w:t>
            </w:r>
            <w:r>
              <w:t xml:space="preserve"> → Admin</w:t>
            </w:r>
          </w:p>
        </w:tc>
      </w:tr>
    </w:tbl>
    <w:p/>
    <w:p>
      <w:r>
        <w:t xml:space="preserve">A Secondary or Admin </w:t>
      </w:r>
      <w:r>
        <w:rPr>
          <w:b/>
        </w:rPr>
        <w:t>Name</w:t>
      </w:r>
      <w:r>
        <w:t xml:space="preserve"> rule on sAMAccountName also gives the owner: the name without the prefix or suffix (</w:t>
      </w:r>
      <w:r>
        <w:rPr>
          <w:rFonts w:ascii="Consolas" w:hAnsi="Consolas"/>
          <w:sz w:val="19"/>
        </w:rPr>
        <w:t>adm.jsmith</w:t>
      </w:r>
      <w:r>
        <w:t xml:space="preserve"> is owned by </w:t>
      </w:r>
      <w:r>
        <w:rPr>
          <w:rFonts w:ascii="Consolas" w:hAnsi="Consolas"/>
          <w:sz w:val="19"/>
        </w:rPr>
        <w:t>jsmith</w:t>
      </w:r>
      <w:r>
        <w:t xml:space="preserve">), or the text a pattern's single </w:t>
      </w:r>
      <w:r>
        <w:rPr>
          <w:rFonts w:ascii="Consolas" w:hAnsi="Consolas"/>
          <w:sz w:val="19"/>
        </w:rPr>
        <w:t>*</w:t>
      </w:r>
      <w:r>
        <w:t xml:space="preserve"> matched. The owner is used only if that account was found: it's a discovered account, or the discovery run read it from AD. The name rule is tried before the employee ID. A Primary account is its own owner.</w:t>
      </w:r>
    </w:p>
    <w:p>
      <w:r>
        <w:t xml:space="preserve">Saving the settings, or adding, changing, moving or deleting a rule, reclassifies every discovered account at once from what the last discovery run read; it doesn't contact AD. </w:t>
      </w:r>
      <w:r>
        <w:rPr>
          <w:b/>
        </w:rPr>
        <w:t>Reclassify Now</w:t>
      </w:r>
      <w:r>
        <w:t xml:space="preserve"> does the same on request; </w:t>
      </w:r>
      <w:r>
        <w:rPr>
          <w:b/>
        </w:rPr>
        <w:t>See the result on Discovered Accounts</w:t>
      </w:r>
      <w:r>
        <w:t xml:space="preserve"> opens the report. An owner outside the discovered accounts for a new name rule appears after the next discovery run. Every change is recorded in the Audit Log (event </w:t>
      </w:r>
      <w:r>
        <w:rPr>
          <w:b/>
        </w:rPr>
        <w:t>AccountClassification</w:t>
      </w:r>
      <w:r>
        <w:t>).</w:t>
      </w:r>
    </w:p>
    <w:p>
      <w:pPr>
        <w:pStyle w:val="Heading2"/>
      </w:pPr>
      <w:r>
        <w:t>Platform Mapping</w:t>
      </w:r>
    </w:p>
    <w:p>
      <w:r>
        <w:rPr>
          <w:b/>
        </w:rPr>
        <w:t>Admin &gt; Platform Mapping</w:t>
      </w:r>
      <w:r>
        <w:t xml:space="preserve"> (permission </w:t>
      </w:r>
      <w:r>
        <w:rPr>
          <w:rFonts w:ascii="Consolas" w:hAnsi="Consolas"/>
          <w:sz w:val="19"/>
        </w:rPr>
        <w:t>CuratePlatformMapping</w:t>
      </w:r>
      <w:r>
        <w:t xml:space="preserve">, held by Admin). Gives each CyberArk platform the </w:t>
      </w:r>
      <w:r>
        <w:rPr>
          <w:b/>
        </w:rPr>
        <w:t>account type</w:t>
      </w:r>
      <w:r>
        <w:t xml:space="preserve"> and </w:t>
      </w:r>
      <w:r>
        <w:rPr>
          <w:b/>
        </w:rPr>
        <w:t>source of record</w:t>
      </w:r>
      <w:r>
        <w:t xml:space="preserve"> its accounts start with: Privilege Cloud's own platform list, and for Self-Hosted one platform per policy (the account's PolicyID), added by the nightly load. A mapping is a default, not a rule: both stay editable on each account.</w:t>
      </w:r>
    </w:p>
    <w:p>
      <w:r>
        <w:t xml:space="preserve">The page lists every platform, the ones with no mapping first, with its source, how many accounts it has and how many of those have no account type. </w:t>
      </w:r>
      <w:r>
        <w:rPr>
          <w:b/>
        </w:rPr>
        <w:t>Search</w:t>
      </w:r>
      <w:r>
        <w:t xml:space="preserve"> and </w:t>
      </w:r>
      <w:r>
        <w:rPr>
          <w:b/>
        </w:rPr>
        <w:t>Only platforms with no mapping</w:t>
      </w:r>
      <w:r>
        <w:t xml:space="preserve"> narrow the list. Choose an </w:t>
      </w:r>
      <w:r>
        <w:rPr>
          <w:b/>
        </w:rPr>
        <w:t>Account type</w:t>
      </w:r>
      <w:r>
        <w:t xml:space="preserve"> (required) and optionally a </w:t>
      </w:r>
      <w:r>
        <w:rPr>
          <w:b/>
        </w:rPr>
        <w:t>Source of record</w:t>
      </w:r>
      <w:r>
        <w:t xml:space="preserve"> and </w:t>
      </w:r>
      <w:r>
        <w:rPr>
          <w:b/>
        </w:rPr>
        <w:t>Notes</w:t>
      </w:r>
      <w:r>
        <w:t xml:space="preserve"> on a platform's row, then </w:t>
      </w:r>
      <w:r>
        <w:rPr>
          <w:b/>
        </w:rPr>
        <w:t>Save</w:t>
      </w:r>
      <w:r>
        <w:t xml:space="preserve">. </w:t>
      </w:r>
      <w:r>
        <w:rPr>
          <w:b/>
        </w:rPr>
        <w:t>Remove</w:t>
      </w:r>
      <w:r>
        <w:t xml:space="preserve"> takes a mapping away (accounts keep what they already have).</w:t>
      </w:r>
    </w:p>
    <w:p>
      <w:r>
        <w:rPr>
          <w:b/>
        </w:rPr>
        <w:t>Suggestions.</w:t>
      </w:r>
      <w:r>
        <w:t xml:space="preserve"> An unmapped platform can show a suggestion under its account type, with the reason: the mapping of the same platform in the other CyberArk source, or one that fits a word in the platform's ID or name (for example WinDomain → Domain Account / Active Directory, UnixSSH → Local/OS Account / Local OS, Oracle → Database Account / Local Database). </w:t>
      </w:r>
      <w:r>
        <w:rPr>
          <w:b/>
        </w:rPr>
        <w:t>Use</w:t>
      </w:r>
      <w:r>
        <w:t xml:space="preserve"> fills that row's drop-downs; </w:t>
      </w:r>
      <w:r>
        <w:rPr>
          <w:b/>
        </w:rPr>
        <w:t>Fill in N suggestions</w:t>
      </w:r>
      <w:r>
        <w:t xml:space="preserve"> fills every row shown that has a suggestion and no account type chosen. Nothing is saved until you click </w:t>
      </w:r>
      <w:r>
        <w:rPr>
          <w:b/>
        </w:rPr>
        <w:t>Save</w:t>
      </w:r>
      <w:r>
        <w:t xml:space="preserve"> on each row, so check each one first. Group platforms get no suggestion.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 type</w:t>
            </w:r>
          </w:p>
        </w:tc>
        <w:tc>
          <w:tcPr>
            <w:tcW w:type="dxa" w:w="1728"/>
          </w:tcPr>
          <w:p>
            <w:r>
              <w:t>The account type a new account on the platform starts with, from the fixed list (Domain Account, Local/OS Account, Cloud IAM, ...).</w:t>
            </w:r>
          </w:p>
        </w:tc>
        <w:tc>
          <w:tcPr>
            <w:tcW w:type="dxa" w:w="1728"/>
          </w:tcPr>
          <w:p>
            <w:r>
              <w:t>Not mapped</w:t>
            </w:r>
          </w:p>
        </w:tc>
        <w:tc>
          <w:tcPr>
            <w:tcW w:type="dxa" w:w="1728"/>
          </w:tcPr>
          <w:p>
            <w:r>
              <w:t>Set one for every platform that has accounts</w:t>
            </w:r>
          </w:p>
        </w:tc>
        <w:tc>
          <w:tcPr>
            <w:tcW w:type="dxa" w:w="1728"/>
          </w:tcPr>
          <w:p>
            <w:r>
              <w:t>Reports and filters group accounts by it; an unmapped platform's accounts start with none.</w:t>
            </w:r>
          </w:p>
        </w:tc>
      </w:tr>
      <w:tr>
        <w:tc>
          <w:tcPr>
            <w:tcW w:type="dxa" w:w="1728"/>
          </w:tcPr>
          <w:p>
            <w:r>
              <w:t>Source of record</w:t>
            </w:r>
          </w:p>
        </w:tc>
        <w:tc>
          <w:tcPr>
            <w:tcW w:type="dxa" w:w="1728"/>
          </w:tcPr>
          <w:p>
            <w:r>
              <w:t>Where the account really lives (Active Directory, LDAP, Local OS, ...). Optional.</w:t>
            </w:r>
          </w:p>
        </w:tc>
        <w:tc>
          <w:tcPr>
            <w:tcW w:type="dxa" w:w="1728"/>
          </w:tcPr>
          <w:p>
            <w:r>
              <w:t>None</w:t>
            </w:r>
          </w:p>
        </w:tc>
        <w:tc>
          <w:tcPr>
            <w:tcW w:type="dxa" w:w="1728"/>
          </w:tcPr>
          <w:p>
            <w:r>
              <w:t>Set it when the platform implies it, for example WinDomain implies Active Directory</w:t>
            </w:r>
          </w:p>
        </w:tc>
        <w:tc>
          <w:tcPr>
            <w:tcW w:type="dxa" w:w="1728"/>
          </w:tcPr>
          <w:p>
            <w:r>
              <w:t>Lets you see which accounts an identity system should be managing.</w:t>
            </w:r>
          </w:p>
        </w:tc>
      </w:tr>
      <w:tr>
        <w:tc>
          <w:tcPr>
            <w:tcW w:type="dxa" w:w="1728"/>
          </w:tcPr>
          <w:p>
            <w:r>
              <w:t>Notes</w:t>
            </w:r>
          </w:p>
        </w:tc>
        <w:tc>
          <w:tcPr>
            <w:tcW w:type="dxa" w:w="1728"/>
          </w:tcPr>
          <w:p>
            <w:r>
              <w:t>Free text about the choice (up to 500 characters).</w:t>
            </w:r>
          </w:p>
        </w:tc>
        <w:tc>
          <w:tcPr>
            <w:tcW w:type="dxa" w:w="1728"/>
          </w:tcPr>
          <w:p>
            <w:r>
              <w:t>Blank</w:t>
            </w:r>
          </w:p>
        </w:tc>
        <w:tc>
          <w:tcPr>
            <w:tcW w:type="dxa" w:w="1728"/>
          </w:tcPr>
          <w:p>
            <w:r>
              <w:t>Why you chose it, for the next person</w:t>
            </w:r>
          </w:p>
        </w:tc>
        <w:tc>
          <w:tcPr>
            <w:tcW w:type="dxa" w:w="1728"/>
          </w:tcPr>
          <w:p>
            <w:r>
              <w:t>The platform's name alone rarely says.</w:t>
            </w:r>
          </w:p>
        </w:tc>
      </w:tr>
      <w:tr>
        <w:tc>
          <w:tcPr>
            <w:tcW w:type="dxa" w:w="1728"/>
          </w:tcPr>
          <w:p>
            <w:r>
              <w:t>When saving, also fill accounts already tracked</w:t>
            </w:r>
          </w:p>
        </w:tc>
        <w:tc>
          <w:tcPr>
            <w:tcW w:type="dxa" w:w="1728"/>
          </w:tcPr>
          <w:p>
            <w:r>
              <w:t>Gives the account type (and source of record) to accounts on the platform that have none. An account that already has one is never changed.</w:t>
            </w:r>
          </w:p>
        </w:tc>
        <w:tc>
          <w:tcPr>
            <w:tcW w:type="dxa" w:w="1728"/>
          </w:tcPr>
          <w:p>
            <w:r>
              <w:t>On</w:t>
            </w:r>
          </w:p>
        </w:tc>
        <w:tc>
          <w:tcPr>
            <w:tcW w:type="dxa" w:w="1728"/>
          </w:tcPr>
          <w:p>
            <w:r>
              <w:t>On, the first time you map a platform</w:t>
            </w:r>
          </w:p>
        </w:tc>
        <w:tc>
          <w:tcPr>
            <w:tcW w:type="dxa" w:w="1728"/>
          </w:tcPr>
          <w:p>
            <w:r>
              <w:t>Otherwise only accounts first tracked after the mapping get the default. Each save is in the Audit Log with how many accounts it filled.</w:t>
            </w:r>
          </w:p>
        </w:tc>
      </w:tr>
    </w:tbl>
    <w:p/>
    <w:p>
      <w:pPr>
        <w:pStyle w:val="Heading2"/>
      </w:pPr>
      <w:r>
        <w:t>Progress Rules and Blueprint Stages</w:t>
      </w:r>
    </w:p>
    <w:p>
      <w:r>
        <w:t xml:space="preserve">Needs </w:t>
      </w:r>
      <w:r>
        <w:rPr>
          <w:rFonts w:ascii="Consolas" w:hAnsi="Consolas"/>
          <w:sz w:val="19"/>
        </w:rPr>
        <w:t>ManageProgressRules</w:t>
      </w:r>
      <w:r>
        <w:t xml:space="preserve"> (Admin role). Changes are in the Audit Log (ProgressRuleChanged, BlueprintStageChanged).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Blueprint Stages: name and order</w:t>
            </w:r>
          </w:p>
        </w:tc>
        <w:tc>
          <w:tcPr>
            <w:tcW w:type="dxa" w:w="1728"/>
          </w:tcPr>
          <w:p>
            <w:r>
              <w:t xml:space="preserve">The stages accounts go through; </w:t>
            </w:r>
            <w:r>
              <w:rPr>
                <w:b/>
              </w:rPr>
              <w:t>Move up</w:t>
            </w:r>
            <w:r>
              <w:t xml:space="preserve"> / </w:t>
            </w:r>
            <w:r>
              <w:rPr>
                <w:b/>
              </w:rPr>
              <w:t>Move down</w:t>
            </w:r>
            <w:r>
              <w:t xml:space="preserve"> reorder them.</w:t>
            </w:r>
          </w:p>
        </w:tc>
        <w:tc>
          <w:tcPr>
            <w:tcW w:type="dxa" w:w="1728"/>
          </w:tcPr>
          <w:p>
            <w:r>
              <w:t>Discovered, Assessed / Prioritized, Onboarded to Vault, Managed / Rotation Enabled, Verified / Compliant</w:t>
            </w:r>
          </w:p>
        </w:tc>
        <w:tc>
          <w:tcPr>
            <w:tcW w:type="dxa" w:w="1728"/>
          </w:tcPr>
          <w:p>
            <w:r>
              <w:t>Your program's own stages</w:t>
            </w:r>
          </w:p>
        </w:tc>
        <w:tc>
          <w:tcPr>
            <w:tcW w:type="dxa" w:w="1728"/>
          </w:tcPr>
          <w:p>
            <w:r>
              <w:t>Reports, Trends and the account form use them.</w:t>
            </w:r>
          </w:p>
        </w:tc>
      </w:tr>
      <w:tr>
        <w:tc>
          <w:tcPr>
            <w:tcW w:type="dxa" w:w="1728"/>
          </w:tcPr>
          <w:p>
            <w:r>
              <w:t>Start</w:t>
            </w:r>
          </w:p>
        </w:tc>
        <w:tc>
          <w:tcPr>
            <w:tcW w:type="dxa" w:w="1728"/>
          </w:tcPr>
          <w:p>
            <w:r>
              <w:t>Where new accounts start. Exactly one stage.</w:t>
            </w:r>
          </w:p>
        </w:tc>
        <w:tc>
          <w:tcPr>
            <w:tcW w:type="dxa" w:w="1728"/>
          </w:tcPr>
          <w:p>
            <w:r>
              <w:t>Discovered</w:t>
            </w:r>
          </w:p>
        </w:tc>
        <w:tc>
          <w:tcPr>
            <w:tcW w:type="dxa" w:w="1728"/>
          </w:tcPr>
          <w:p>
            <w:r>
              <w:t>The first stage</w:t>
            </w:r>
          </w:p>
        </w:tc>
        <w:tc>
          <w:tcPr>
            <w:tcW w:type="dxa" w:w="1728"/>
          </w:tcPr>
          <w:p>
            <w:r>
              <w:t>Every import adds new accounts there.</w:t>
            </w:r>
          </w:p>
        </w:tc>
      </w:tr>
      <w:tr>
        <w:tc>
          <w:tcPr>
            <w:tcW w:type="dxa" w:w="1728"/>
          </w:tcPr>
          <w:p>
            <w:r>
              <w:t>KPI milestone</w:t>
            </w:r>
          </w:p>
        </w:tc>
        <w:tc>
          <w:tcPr>
            <w:tcW w:type="dxa" w:w="1728"/>
          </w:tcPr>
          <w:p>
            <w:r>
              <w:t>Which stage the Onboarded, Managed and Compliant KPIs count from (that stage or later); they must stay in that order.</w:t>
            </w:r>
          </w:p>
        </w:tc>
        <w:tc>
          <w:tcPr>
            <w:tcW w:type="dxa" w:w="1728"/>
          </w:tcPr>
          <w:p>
            <w:r>
              <w:t>Onboarded to Vault, Managed / Rotation Enabled, Verified / Compliant</w:t>
            </w:r>
          </w:p>
        </w:tc>
        <w:tc>
          <w:tcPr>
            <w:tcW w:type="dxa" w:w="1728"/>
          </w:tcPr>
          <w:p>
            <w:r>
              <w:t>Keep them on the matching stages</w:t>
            </w:r>
          </w:p>
        </w:tc>
        <w:tc>
          <w:tcPr>
            <w:tcW w:type="dxa" w:w="1728"/>
          </w:tcPr>
          <w:p>
            <w:r>
              <w:t>The KPI Summary, Dashboard and Weekly Summary follow them.</w:t>
            </w:r>
          </w:p>
        </w:tc>
      </w:tr>
      <w:tr>
        <w:tc>
          <w:tcPr>
            <w:tcW w:type="dxa" w:w="1728"/>
          </w:tcPr>
          <w:p>
            <w:r>
              <w:t>Delete</w:t>
            </w:r>
          </w:p>
        </w:tc>
        <w:tc>
          <w:tcPr>
            <w:tcW w:type="dxa" w:w="1728"/>
          </w:tcPr>
          <w:p>
            <w:r>
              <w:t>Only a stage no account, rule or history uses, and that isn't the start stage or a milestone.</w:t>
            </w:r>
          </w:p>
        </w:tc>
        <w:tc>
          <w:tcPr>
            <w:tcW w:type="dxa" w:w="1728"/>
          </w:tcPr>
          <w:p/>
        </w:tc>
        <w:tc>
          <w:tcPr>
            <w:tcW w:type="dxa" w:w="1728"/>
          </w:tcPr>
          <w:p>
            <w:r>
              <w:t>Rename instead once accounts have used a stage</w:t>
            </w:r>
          </w:p>
        </w:tc>
        <w:tc>
          <w:tcPr>
            <w:tcW w:type="dxa" w:w="1728"/>
          </w:tcPr>
          <w:p>
            <w:r>
              <w:t>History keeps its stage.</w:t>
            </w:r>
          </w:p>
        </w:tc>
      </w:tr>
      <w:tr>
        <w:tc>
          <w:tcPr>
            <w:tcW w:type="dxa" w:w="1728"/>
          </w:tcPr>
          <w:p>
            <w:r>
              <w:t>Progress Rule: From, To</w:t>
            </w:r>
          </w:p>
        </w:tc>
        <w:tc>
          <w:tcPr>
            <w:tcW w:type="dxa" w:w="1728"/>
          </w:tcPr>
          <w:p>
            <w:r>
              <w:t>Accounts at From move to To (a later stage; the next one by default).</w:t>
            </w:r>
          </w:p>
        </w:tc>
        <w:tc>
          <w:tcPr>
            <w:tcW w:type="dxa" w:w="1728"/>
          </w:tcPr>
          <w:p/>
        </w:tc>
        <w:tc>
          <w:tcPr>
            <w:tcW w:type="dxa" w:w="1728"/>
          </w:tcPr>
          <w:p/>
        </w:tc>
        <w:tc>
          <w:tcPr>
            <w:tcW w:type="dxa" w:w="1728"/>
          </w:tcPr>
          <w:p/>
        </w:tc>
      </w:tr>
      <w:tr>
        <w:tc>
          <w:tcPr>
            <w:tcW w:type="dxa" w:w="1728"/>
          </w:tcPr>
          <w:p>
            <w:r>
              <w:t>Progress Rule: conditions</w:t>
            </w:r>
          </w:p>
        </w:tc>
        <w:tc>
          <w:tcPr>
            <w:tcW w:type="dxa" w:w="1728"/>
          </w:tcPr>
          <w:p>
            <w:r>
              <w:t>All must match. Yes/No fields (Managed by the CPM; Platform requires PSM, Self-Hosted only): is Yes or No, is empty. Text fields: is, is not, contains, does not contain, starts with, is one of, is none of, is empty, is not empty (case doesn't matter; "not" also matches empty). Date fields: within the last N days, more than N days ago.</w:t>
            </w:r>
          </w:p>
        </w:tc>
        <w:tc>
          <w:tcPr>
            <w:tcW w:type="dxa" w:w="1728"/>
          </w:tcPr>
          <w:p>
            <w:r>
              <w:t xml:space="preserve">The seeded rule: Source is one of PRIVCLOUD, SELFHOSTED; Safe name doesn't contain </w:t>
            </w:r>
            <w:r>
              <w:rPr>
                <w:rFonts w:ascii="Consolas" w:hAnsi="Consolas"/>
                <w:sz w:val="19"/>
              </w:rPr>
              <w:t>_Pending</w:t>
            </w:r>
          </w:p>
        </w:tc>
        <w:tc>
          <w:tcPr>
            <w:tcW w:type="dxa" w:w="1728"/>
          </w:tcPr>
          <w:p>
            <w:r>
              <w:t xml:space="preserve">Use </w:t>
            </w:r>
            <w:r>
              <w:rPr>
                <w:b/>
              </w:rPr>
              <w:t>Test</w:t>
            </w:r>
            <w:r>
              <w:t xml:space="preserve"> before saving</w:t>
            </w:r>
          </w:p>
        </w:tc>
        <w:tc>
          <w:tcPr>
            <w:tcW w:type="dxa" w:w="1728"/>
          </w:tcPr>
          <w:p>
            <w:r>
              <w:t>Test shows how many accounts at the From stage the rule would move tonight.</w:t>
            </w:r>
          </w:p>
        </w:tc>
      </w:tr>
      <w:tr>
        <w:tc>
          <w:tcPr>
            <w:tcW w:type="dxa" w:w="1728"/>
          </w:tcPr>
          <w:p>
            <w:r>
              <w:t>Enabled</w:t>
            </w:r>
          </w:p>
        </w:tc>
        <w:tc>
          <w:tcPr>
            <w:tcW w:type="dxa" w:w="1728"/>
          </w:tcPr>
          <w:p>
            <w:r>
              <w:t>Whether the nightly load uses the rule.</w:t>
            </w:r>
          </w:p>
        </w:tc>
        <w:tc>
          <w:tcPr>
            <w:tcW w:type="dxa" w:w="1728"/>
          </w:tcPr>
          <w:p>
            <w:r>
              <w:t>On</w:t>
            </w:r>
          </w:p>
        </w:tc>
        <w:tc>
          <w:tcPr>
            <w:tcW w:type="dxa" w:w="1728"/>
          </w:tcPr>
          <w:p/>
        </w:tc>
        <w:tc>
          <w:tcPr>
            <w:tcW w:type="dxa" w:w="1728"/>
          </w:tcPr>
          <w:p>
            <w:r>
              <w:t>Turn a rule off to stop it without losing it.</w:t>
            </w:r>
          </w:p>
        </w:tc>
      </w:tr>
    </w:tbl>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 An account can also be assigned to an application on its own edit form (</w:t>
      </w:r>
      <w:r>
        <w:rPr>
          <w:b/>
        </w:rPr>
        <w:t>Application</w:t>
      </w:r>
      <w:r>
        <w:t xml:space="preserve">), in addition to its safe's; that is how an account with no safe, such as a pending account, belongs to one. When an account's own application and its safe's differ, both apply: an Active risk exception on either one covers the account, and Reports &gt; Trends' Application filter counts it under either. Many accounts can be given one with </w:t>
      </w:r>
      <w:r>
        <w:rPr>
          <w:b/>
        </w:rPr>
        <w:t>Bulk edit…</w:t>
      </w:r>
      <w:r>
        <w:t xml:space="preserve"> on Accounts, or with the </w:t>
      </w:r>
      <w:r>
        <w:rPr>
          <w:b/>
        </w:rPr>
        <w:t>Account → Application Assignments</w:t>
      </w:r>
      <w:r>
        <w:t xml:space="preserve"> CSV on this page's </w:t>
      </w:r>
      <w:r>
        <w:rPr>
          <w:b/>
        </w:rPr>
        <w:t>Bulk Actions</w:t>
      </w:r>
      <w:r>
        <w:t xml:space="preserve"> (or a data feed of that type). Each Bulk Actions import has </w:t>
      </w:r>
      <w:r>
        <w:rPr>
          <w:b/>
        </w:rPr>
        <w:t>Check file</w:t>
      </w:r>
      <w:r>
        <w:t>, which reports what the file would do and its row errors without changing anything.</w:t>
      </w:r>
    </w:p>
    <w:p>
      <w:r>
        <w:t>The Applications table shows what uses each application (</w:t>
      </w:r>
      <w:r>
        <w:rPr>
          <w:b/>
        </w:rPr>
        <w:t>In use</w:t>
      </w:r>
      <w:r>
        <w:t xml:space="preserve">: Safes, accounts, targets and exceptions). An application can be deleted only when nothing uses it. The Safes table has </w:t>
      </w:r>
      <w:r>
        <w:rPr>
          <w:b/>
        </w:rPr>
        <w:t>Find a Safe:</w:t>
      </w:r>
      <w:r>
        <w:t xml:space="preserve"> and </w:t>
      </w:r>
      <w:r>
        <w:rPr>
          <w:b/>
        </w:rPr>
        <w:t>Only Safes with no application</w:t>
      </w:r>
      <w:r>
        <w:t>, to find the Safes still to assign.</w:t>
      </w:r>
    </w:p>
    <w:p>
      <w:pPr>
        <w:pStyle w:val="Heading1"/>
      </w:pPr>
      <w:r>
        <w:t>4.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xml:space="preserve">) shows the environment name (the installer's </w:t>
      </w:r>
      <w:r>
        <w:rPr>
          <w:rFonts w:ascii="Consolas" w:hAnsi="Consolas"/>
          <w:sz w:val="19"/>
        </w:rPr>
        <w:t>-Environment</w:t>
      </w:r>
      <w:r>
        <w:t xml:space="preserve"> answer), the version and build time, the health checks, SQL Server's last backup times and recent BlueTrack backups.</w:t>
      </w:r>
    </w:p>
    <w:p>
      <w:r>
        <w:rPr>
          <w:b/>
        </w:rPr>
        <w:t>Version.</w:t>
      </w:r>
      <w:r>
        <w:t xml:space="preserve"> The Deployment page and </w:t>
      </w:r>
      <w:r>
        <w:rPr>
          <w:b/>
        </w:rPr>
        <w:t>About</w:t>
      </w:r>
      <w:r>
        <w:t xml:space="preserve"> (in the menu with your name)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1.1.0-dev.12+abc1234</w:t>
      </w:r>
      <w:r>
        <w:t xml:space="preserve">, ending </w:t>
      </w:r>
      <w:r>
        <w:rPr>
          <w:rFonts w:ascii="Consolas" w:hAnsi="Consolas"/>
          <w:sz w:val="19"/>
        </w:rPr>
        <w:t>.dirty</w:t>
      </w:r>
      <w:r>
        <w:t xml:space="preserve"> if it was built with uncommitted changes. A copy downloaded by </w:t>
      </w:r>
      <w:r>
        <w:rPr>
          <w:rFonts w:ascii="Consolas" w:hAnsi="Consolas"/>
          <w:sz w:val="19"/>
        </w:rPr>
        <w:t>Update-BlueTrack.ps1</w:t>
      </w:r>
      <w:r>
        <w:t xml:space="preserve"> shows the plain version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SAML lacks SP Entity ID, IdP Entity ID or sign-on destination; or the SAML SP certificate isn't installed or the App Pool's account can't use its private key.</w:t>
            </w:r>
          </w:p>
        </w:tc>
        <w:tc>
          <w:tcPr>
            <w:tcW w:type="dxa" w:w="2160"/>
          </w:tcPr>
          <w:p>
            <w:r>
              <w:t xml:space="preserve">Fill in the fields or disable the provider; for the SP key, see </w:t>
            </w:r>
            <w:r>
              <w:rPr>
                <w:rFonts w:ascii="Consolas" w:hAnsi="Consolas"/>
                <w:sz w:val="19"/>
              </w:rPr>
              <w:t>Admin_Installation.md</w:t>
            </w:r>
            <w:r>
              <w:t>, "SAML signing certificate".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r>
        <w:tc>
          <w:tcPr>
            <w:tcW w:type="dxa" w:w="2160"/>
          </w:tcPr>
          <w:p>
            <w:r>
              <w:t>SIEM Forwarding</w:t>
            </w:r>
          </w:p>
        </w:tc>
        <w:tc>
          <w:tcPr>
            <w:tcW w:type="dxa" w:w="2160"/>
          </w:tcPr>
          <w:p>
            <w:r>
              <w:t>Forwarding is off, or on and keeping up.</w:t>
            </w:r>
          </w:p>
        </w:tc>
        <w:tc>
          <w:tcPr>
            <w:tcW w:type="dxa" w:w="2160"/>
          </w:tcPr>
          <w:p>
            <w:r>
              <w:t>Degraded: the last send to the collector failed, or the oldest event waiting to be sent is more than 15 minutes old.</w:t>
            </w:r>
          </w:p>
        </w:tc>
        <w:tc>
          <w:tcPr>
            <w:tcW w:type="dxa" w:w="2160"/>
          </w:tcPr>
          <w:p>
            <w:r>
              <w:t xml:space="preserve">Check the error on </w:t>
            </w:r>
            <w:r>
              <w:rPr>
                <w:b/>
              </w:rPr>
              <w:t>Admin &gt; SIEM Forwarding</w:t>
            </w:r>
            <w:r>
              <w:t xml:space="preserve"> and use </w:t>
            </w:r>
            <w:r>
              <w:rPr>
                <w:b/>
              </w:rPr>
              <w:t>Send Test Event</w:t>
            </w:r>
            <w:r>
              <w:t>; check the collector is running and the firewall allows the server out to it. Waiting events are sent once it's reachable.</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5.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A label: it names the default install folders and is shown on the Deployment page, and a Production install is never offered test data. It doesn't change how BlueTrack runs: on IIS it always runs as Production, with development-only sign-in off.</w:t>
            </w:r>
          </w:p>
        </w:tc>
        <w:tc>
          <w:tcPr>
            <w:tcW w:type="dxa" w:w="1728"/>
          </w:tcPr>
          <w:p>
            <w:r>
              <w:t>Prompted</w:t>
            </w:r>
          </w:p>
        </w:tc>
        <w:tc>
          <w:tcPr>
            <w:tcW w:type="dxa" w:w="1728"/>
          </w:tcPr>
          <w:p>
            <w:r>
              <w:t>Production for live use; Test or Staging for others</w:t>
            </w:r>
          </w:p>
        </w:tc>
        <w:tc>
          <w:tcPr>
            <w:tcW w:type="dxa" w:w="1728"/>
          </w:tcPr>
          <w:p>
            <w:r>
              <w:t>The label tells people which environment they're looking at.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-InstallSqlServerAudit</w:t>
            </w:r>
          </w:p>
        </w:tc>
        <w:tc>
          <w:tcPr>
            <w:tcW w:type="dxa" w:w="1728"/>
          </w:tcPr>
          <w:p>
            <w:r>
              <w:t xml:space="preserve">*Record audit log changes in the Windows Security log*: a SQL Server audit of every change to or deletion of audit entries and their seals, by anyone, including database administrators (step </w:t>
            </w:r>
            <w:r>
              <w:rPr>
                <w:rFonts w:ascii="Consolas" w:hAnsi="Consolas"/>
                <w:sz w:val="19"/>
              </w:rPr>
              <w:t>Db.SqlServerAudit</w:t>
            </w:r>
            <w:r>
              <w:t>). When SQL Server is on this server it also turns on the Windows audit policy *Application Generated* and gives the SQL Server service account the *Generate security audits* right and access to the Security log.</w:t>
            </w:r>
          </w:p>
        </w:tc>
        <w:tc>
          <w:tcPr>
            <w:tcW w:type="dxa" w:w="1728"/>
          </w:tcPr>
          <w:p>
            <w:r>
              <w:t>Prompted (Yes)</w:t>
            </w:r>
          </w:p>
        </w:tc>
        <w:tc>
          <w:tcPr>
            <w:tcW w:type="dxa" w:w="1728"/>
          </w:tcPr>
          <w:p>
            <w:r>
              <w:rPr>
                <w:rFonts w:ascii="Consolas" w:hAnsi="Consolas"/>
                <w:sz w:val="19"/>
              </w:rPr>
              <w:t>$true</w:t>
            </w:r>
          </w:p>
        </w:tc>
        <w:tc>
          <w:tcPr>
            <w:tcW w:type="dxa" w:w="1728"/>
          </w:tcPr>
          <w:p>
            <w:r>
              <w:t>The Security log is harder to change unnoticed than anything in the database. The right takes effect only after the SQL Server service restarts, which the installer reports and leaves to you; then run the step again to check it is recording. A domain Group Policy can override the audit policy.</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 Sets the CyberArk sources on first install only.</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 First install only.</w:t>
            </w:r>
          </w:p>
        </w:tc>
        <w:tc>
          <w:tcPr>
            <w:tcW w:type="dxa" w:w="1728"/>
          </w:tcPr>
          <w:p>
            <w:r>
              <w:t>Prompted if needed</w:t>
            </w:r>
          </w:p>
        </w:tc>
        <w:tc>
          <w:tcPr>
            <w:tcW w:type="dxa" w:w="1728"/>
          </w:tcPr>
          <w:p>
            <w:r>
              <w:t>A local folder on the SQL Server</w:t>
            </w:r>
          </w:p>
        </w:tc>
        <w:tc>
          <w:tcPr>
            <w:tcW w:type="dxa" w:w="1728"/>
          </w:tcPr>
          <w:p>
            <w:r>
              <w:t>SQL Server reads it directly.</w:t>
            </w:r>
          </w:p>
        </w:tc>
      </w:tr>
    </w:tbl>
    <w:p/>
    <w:p>
      <w:r>
        <w:t xml:space="preserve">After the first install, these three are changed on </w:t>
      </w:r>
      <w:r>
        <w:rPr>
          <w:b/>
        </w:rPr>
        <w:t>Admin &gt; Data Sources</w:t>
      </w:r>
      <w:r>
        <w:t xml:space="preserve"> ("CyberArk sources", in section 3); re-running the installer doesn't overwrite what's saved there.</w:t>
      </w:r>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installer's </w:t>
      </w:r>
      <w:r>
        <w:rPr>
          <w:rFonts w:ascii="Consolas" w:hAnsi="Consolas"/>
          <w:sz w:val="19"/>
        </w:rPr>
        <w:t>Db.AppSettings</w:t>
      </w:r>
      <w:r>
        <w:t xml:space="preserve"> step writes </w:t>
      </w:r>
      <w:r>
        <w:rPr>
          <w:rFonts w:ascii="Consolas" w:hAnsi="Consolas"/>
          <w:sz w:val="19"/>
        </w:rPr>
        <w:t>appsettings.Site.json</w:t>
      </w:r>
      <w:r>
        <w:t xml:space="preserve"> into the API folder with four settings: the database connection string, </w:t>
      </w:r>
      <w:r>
        <w:rPr>
          <w:rFonts w:ascii="Consolas" w:hAnsi="Consolas"/>
          <w:sz w:val="19"/>
        </w:rPr>
        <w:t>Security:EnableHsts</w:t>
      </w:r>
      <w:r>
        <w:t xml:space="preserve"> (on only when the certificate isn't self-signed), </w:t>
      </w:r>
      <w:r>
        <w:rPr>
          <w:rFonts w:ascii="Consolas" w:hAnsi="Consolas"/>
          <w:sz w:val="19"/>
        </w:rPr>
        <w:t>FileAccess:AllowedRoots</w:t>
      </w:r>
      <w:r>
        <w:t xml:space="preserve"> and </w:t>
      </w:r>
      <w:r>
        <w:rPr>
          <w:rFonts w:ascii="Consolas" w:hAnsi="Consolas"/>
          <w:sz w:val="19"/>
        </w:rPr>
        <w:t>BlueTrack:EnvironmentName</w:t>
      </w:r>
      <w:r>
        <w:t xml:space="preserve"> (the </w:t>
      </w:r>
      <w:r>
        <w:rPr>
          <w:rFonts w:ascii="Consolas" w:hAnsi="Consolas"/>
          <w:sz w:val="19"/>
        </w:rPr>
        <w:t>-Environment</w:t>
      </w:r>
      <w:r>
        <w:t xml:space="preserve"> answer, shown on the Deployment page). BlueTrack always reads this file, whatever the environment. The web pages can't change any of it. To change allowed folders later, re-run the installer with the new </w:t>
      </w:r>
      <w:r>
        <w:rPr>
          <w:rFonts w:ascii="Consolas" w:hAnsi="Consolas"/>
          <w:sz w:val="19"/>
        </w:rPr>
        <w:t>-AllowedFileRoots</w:t>
      </w:r>
      <w:r>
        <w:t xml:space="preserve"> (steps </w:t>
      </w:r>
      <w:r>
        <w:rPr>
          <w:rFonts w:ascii="Consolas" w:hAnsi="Consolas"/>
          <w:sz w:val="19"/>
        </w:rPr>
        <w:t>Db.AppSettings,Iis.WebConfig</w:t>
      </w:r>
      <w:r>
        <w:t xml:space="preserve">: the API reads the file when it starts, and </w:t>
      </w:r>
      <w:r>
        <w:rPr>
          <w:rFonts w:ascii="Consolas" w:hAnsi="Consolas"/>
          <w:sz w:val="19"/>
        </w:rPr>
        <w:t>Iis.WebConfig</w:t>
      </w:r>
      <w:r>
        <w:t xml:space="preserve"> recycles the App Pool) rather than editing the file by hand, so the saved answers stay in step. When the connection string holds a SQL password, the installer limits the file to Administrators, SYSTEM and IIS worker processes.</w:t>
      </w:r>
    </w:p>
    <w:p>
      <w:r>
        <w:t xml:space="preserve">Earlier installers wrote </w:t>
      </w:r>
      <w:r>
        <w:rPr>
          <w:rFonts w:ascii="Consolas" w:hAnsi="Consolas"/>
          <w:sz w:val="19"/>
        </w:rPr>
        <w:t>appsettings.&lt;Environment&gt;.json</w:t>
      </w:r>
      <w:r>
        <w:t xml:space="preserve"> instead, which BlueTrack read only on a Production install. </w:t>
      </w:r>
      <w:r>
        <w:rPr>
          <w:rFonts w:ascii="Consolas" w:hAnsi="Consolas"/>
          <w:sz w:val="19"/>
        </w:rPr>
        <w:t>Db.AppSettings</w:t>
      </w:r>
      <w:r>
        <w:t xml:space="preserve"> removes that old file. An old </w:t>
      </w:r>
      <w:r>
        <w:rPr>
          <w:rFonts w:ascii="Consolas" w:hAnsi="Consolas"/>
          <w:sz w:val="19"/>
        </w:rPr>
        <w:t>appsettings.Production.json</w:t>
      </w:r>
      <w:r>
        <w:t xml:space="preserve"> that holds settings the installer didn't write is kept, with a warning naming them: move those settings into </w:t>
      </w:r>
      <w:r>
        <w:rPr>
          <w:rFonts w:ascii="Consolas" w:hAnsi="Consolas"/>
          <w:sz w:val="19"/>
        </w:rPr>
        <w:t>appsettings.Site.json</w:t>
      </w:r>
      <w:r>
        <w:t xml:space="preserve"> by hand, then delete it. After this upgrade, a site with a trusted certificate starts sending HSTS.</w:t>
      </w:r>
    </w:p>
    <w:p>
      <w:r>
        <w:rPr>
          <w:b/>
        </w:rPr>
        <w:t>Site URL.</w:t>
      </w:r>
      <w:r>
        <w:t xml:space="preserve"> The installer's </w:t>
      </w:r>
      <w:r>
        <w:rPr>
          <w:rFonts w:ascii="Consolas" w:hAnsi="Consolas"/>
          <w:sz w:val="19"/>
        </w:rPr>
        <w:t>Db.SiteUrl</w:t>
      </w:r>
      <w:r>
        <w:t xml:space="preserve"> step sets the Site URL on Global Application Configuration to </w:t>
      </w:r>
      <w:r>
        <w:rPr>
          <w:rFonts w:ascii="Consolas" w:hAnsi="Consolas"/>
          <w:sz w:val="19"/>
        </w:rPr>
        <w:t>https://&lt;Hostname&gt;</w:t>
      </w:r>
      <w:r>
        <w:t xml:space="preserve"> (with </w:t>
      </w:r>
      <w:r>
        <w:rPr>
          <w:rFonts w:ascii="Consolas" w:hAnsi="Consolas"/>
          <w:sz w:val="19"/>
        </w:rPr>
        <w:t>:&lt;HttpsPort&gt;</w:t>
      </w:r>
      <w:r>
        <w:t xml:space="preserve"> when that isn't 443), only when it's blank.</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Notification checks</w:t>
            </w:r>
          </w:p>
        </w:tc>
        <w:tc>
          <w:tcPr>
            <w:tcW w:type="dxa" w:w="4320"/>
          </w:tcPr>
          <w:p>
            <w:r>
              <w:t>Every 5 minutes (DevFakeAuthEnabledTooLong repeats at most every 7 days)</w:t>
            </w:r>
          </w:p>
        </w:tc>
      </w:tr>
      <w:tr>
        <w:tc>
          <w:tcPr>
            <w:tcW w:type="dxa" w:w="4320"/>
          </w:tcPr>
          <w:p>
            <w:r>
              <w:t>OIDC changes</w:t>
            </w:r>
          </w:p>
        </w:tc>
        <w:tc>
          <w:tcPr>
            <w:tcW w:type="dxa" w:w="4320"/>
          </w:tcPr>
          <w:p>
            <w:r>
              <w:t>Need an application restart</w:t>
            </w:r>
          </w:p>
        </w:tc>
      </w:tr>
    </w:tbl>
    <w:p/>
    <w:p>
      <w:pPr>
        <w:pStyle w:val="Heading1"/>
      </w:pPr>
      <w:r>
        <w:t>6.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(after a confirmation: if the new backend isn't set up or can't be reached, lookups fail until another is made active), or </w:t>
      </w:r>
      <w:r>
        <w:rPr>
          <w:b/>
        </w:rPr>
        <w:t>Save</w:t>
      </w:r>
      <w:r>
        <w:t xml:space="preserve"> on the active backend. </w:t>
      </w:r>
      <w:r>
        <w:rPr>
          <w:b/>
        </w:rPr>
        <w:t>Test Connection</w:t>
      </w:r>
      <w:r>
        <w:t xml:space="preserve"> fetches one secret from the active backend and reports success with the user name and address, never the secret itself. Each test is recorded in the Audit Log as a </w:t>
      </w:r>
      <w:r>
        <w:rPr>
          <w:rFonts w:ascii="Consolas" w:hAnsi="Consolas"/>
          <w:sz w:val="19"/>
        </w:rPr>
        <w:t>ConnectionTest</w:t>
      </w:r>
      <w:r>
        <w:t xml:space="preserve"> event, as is each credential </w:t>
      </w:r>
      <w:r>
        <w:rPr>
          <w:b/>
        </w:rPr>
        <w:t>Test</w:t>
      </w:r>
      <w:r>
        <w:t xml:space="preserve"> on the Credentials &amp; LDAP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(or, for OAuth2 email sign-in, the client secret, certificate or key), LDAP bind accounts and the PVWA user for Self-Hosted Direct.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 For an OAuth2 email credential, only the password is used (see "OAuth2 email sign-in").</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 For CyberArk CP and CCP, a blank Folder means Root.</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r>
        <w:t xml:space="preserve">The list's </w:t>
      </w:r>
      <w:r>
        <w:rPr>
          <w:b/>
        </w:rPr>
        <w:t>Used by</w:t>
      </w:r>
      <w:r>
        <w:t xml:space="preserve"> column shows what uses each credential (Notifications, an LDAP domain, the CyberArk sources); a credential in use can't be deleted. With </w:t>
      </w:r>
      <w:r>
        <w:rPr>
          <w:rFonts w:ascii="Consolas" w:hAnsi="Consolas"/>
          <w:sz w:val="19"/>
        </w:rPr>
        <w:t>ManageDataSources</w:t>
      </w:r>
      <w:r>
        <w:t xml:space="preserve">, </w:t>
      </w:r>
      <w:r>
        <w:rPr>
          <w:b/>
        </w:rPr>
        <w:t>Use for Self-Hosted Direct</w:t>
      </w:r>
      <w:r>
        <w:t xml:space="preserve"> on a row opens Edit CyberArk sources with that credential chosen.</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r>
        <w:rPr>
          <w:b/>
        </w:rPr>
        <w:t>Bind name.</w:t>
      </w:r>
      <w:r>
        <w:t xml:space="preserve"> A bind account binds as </w:t>
      </w:r>
      <w:r>
        <w:rPr>
          <w:rFonts w:ascii="Consolas" w:hAnsi="Consolas"/>
          <w:sz w:val="19"/>
        </w:rPr>
        <w:t>user@domain</w:t>
      </w:r>
      <w:r>
        <w:t xml:space="preserve"> where BlueTrack can build one: a user name that already holds a domain (</w:t>
      </w:r>
      <w:r>
        <w:rPr>
          <w:rFonts w:ascii="Consolas" w:hAnsi="Consolas"/>
          <w:sz w:val="19"/>
        </w:rPr>
        <w:t>user@domain</w:t>
      </w:r>
      <w:r>
        <w:t xml:space="preserve"> or </w:t>
      </w:r>
      <w:r>
        <w:rPr>
          <w:rFonts w:ascii="Consolas" w:hAnsi="Consolas"/>
          <w:sz w:val="19"/>
        </w:rPr>
        <w:t>DOMAIN\user</w:t>
      </w:r>
      <w:r>
        <w:t>) is used as it is; otherwise the domain comes from the credential's LogonDomain if it is a DNS name (a CyberArk credential), else its Address if that is a domain name, else the Search Base (</w:t>
      </w:r>
      <w:r>
        <w:rPr>
          <w:rFonts w:ascii="Consolas" w:hAnsi="Consolas"/>
          <w:sz w:val="19"/>
        </w:rPr>
        <w:t>DC=company,DC=com</w:t>
      </w:r>
      <w:r>
        <w:t xml:space="preserve"> gives </w:t>
      </w:r>
      <w:r>
        <w:rPr>
          <w:rFonts w:ascii="Consolas" w:hAnsi="Consolas"/>
          <w:sz w:val="19"/>
        </w:rPr>
        <w:t>company.com</w:t>
      </w:r>
      <w:r>
        <w:t>). With none of them, the plain user name is used. This matters for an account whose user name is longer than 20 characters, which AD cuts short as its pre-Windows 2000 name.</w:t>
      </w:r>
    </w:p>
    <w:p>
      <w:r>
        <w:rPr>
          <w:b/>
        </w:rPr>
        <w:t>Test</w:t>
      </w:r>
      <w:r>
        <w:t xml:space="preserve"> on the domain's form binds with the values in the form, saved or not, as discovery would, and shows the name it bound as and the domain controller, or the directory's error. Each test is recorded in the Audit Log as a </w:t>
      </w:r>
      <w:r>
        <w:rPr>
          <w:rFonts w:ascii="Consolas" w:hAnsi="Consolas"/>
          <w:sz w:val="19"/>
        </w:rPr>
        <w:t>ConnectionTest</w:t>
      </w:r>
      <w:r>
        <w:t xml:space="preserve"> event.</w:t>
      </w:r>
    </w:p>
    <w:p>
      <w:pPr>
        <w:pStyle w:val="Heading1"/>
      </w:pPr>
      <w:r>
        <w:t>7. Notifications</w:t>
      </w:r>
    </w:p>
    <w:p>
      <w:r>
        <w:rPr>
          <w:b/>
        </w:rPr>
        <w:t>Admin &gt; Notifications</w:t>
      </w:r>
      <w:r>
        <w:t xml:space="preserve"> (permission </w:t>
      </w:r>
      <w:r>
        <w:rPr>
          <w:rFonts w:ascii="Consolas" w:hAnsi="Consolas"/>
          <w:sz w:val="19"/>
        </w:rPr>
        <w:t>ManageNotifications</w:t>
      </w:r>
      <w:r>
        <w:t>). The SMTP settings, which alerts are on, when the scheduled emails go out, and the recipients.</w:t>
      </w:r>
    </w:p>
    <w:p>
      <w:pPr>
        <w:pStyle w:val="Heading2"/>
      </w:pPr>
      <w:r>
        <w:t>SMTP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 or your mail provider's server</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with a credential, or any OAuth2 method, with STARTTLS off is refused.</w:t>
            </w:r>
          </w:p>
        </w:tc>
      </w:tr>
      <w:tr>
        <w:tc>
          <w:tcPr>
            <w:tcW w:type="dxa" w:w="1728"/>
          </w:tcPr>
          <w:p>
            <w:r>
              <w:t>Auth Method</w:t>
            </w:r>
          </w:p>
        </w:tc>
        <w:tc>
          <w:tcPr>
            <w:tcW w:type="dxa" w:w="1728"/>
          </w:tcPr>
          <w:p>
            <w:r>
              <w:rPr>
                <w:b/>
              </w:rPr>
              <w:t>None (open relay)</w:t>
            </w:r>
            <w:r>
              <w:t xml:space="preserve">, </w:t>
            </w:r>
            <w:r>
              <w:rPr>
                <w:b/>
              </w:rPr>
              <w:t>Basic (username/password)</w:t>
            </w:r>
            <w:r>
              <w:t xml:space="preserve">, </w:t>
            </w:r>
            <w:r>
              <w:rPr>
                <w:b/>
              </w:rPr>
              <w:t>Microsoft 365 (OAuth2)</w:t>
            </w:r>
            <w:r>
              <w:t xml:space="preserve">, </w:t>
            </w:r>
            <w:r>
              <w:rPr>
                <w:b/>
              </w:rPr>
              <w:t>Google Workspace (OAuth2)</w:t>
            </w:r>
            <w:r>
              <w:t xml:space="preserve"> or </w:t>
            </w:r>
            <w:r>
              <w:rPr>
                <w:b/>
              </w:rPr>
              <w:t>Generic OAuth2 (client credentials)</w:t>
            </w:r>
            <w:r>
              <w:t>. The page shows only the chosen method's settings.</w:t>
            </w:r>
          </w:p>
        </w:tc>
        <w:tc>
          <w:tcPr>
            <w:tcW w:type="dxa" w:w="1728"/>
          </w:tcPr>
          <w:p>
            <w:r>
              <w:t>Basic</w:t>
            </w:r>
          </w:p>
        </w:tc>
        <w:tc>
          <w:tcPr>
            <w:tcW w:type="dxa" w:w="1728"/>
          </w:tcPr>
          <w:p>
            <w:r>
              <w:t>Basic with a dedicated credential for an internal relay; the OAuth2 method for your provider's mailbox when username and password sign-in is off there</w:t>
            </w:r>
          </w:p>
        </w:tc>
        <w:tc>
          <w:tcPr>
            <w:tcW w:type="dxa" w:w="1728"/>
          </w:tcPr>
          <w:p>
            <w:r>
              <w:t>The relay or provider knows who is sending. Use None only for a relay that accepts only this server.</w:t>
            </w:r>
          </w:p>
        </w:tc>
      </w:tr>
      <w:tr>
        <w:tc>
          <w:tcPr>
            <w:tcW w:type="dxa" w:w="1728"/>
          </w:tcPr>
          <w:p>
            <w:r>
              <w:t>Credential</w:t>
            </w:r>
          </w:p>
        </w:tc>
        <w:tc>
          <w:tcPr>
            <w:tcW w:type="dxa" w:w="1728"/>
          </w:tcPr>
          <w:p>
            <w:r>
              <w:t>The credential to sign in with (from Credentials &amp; LDAP). Its label changes with the method (see "OAuth2 email sign-in").</w:t>
            </w:r>
          </w:p>
        </w:tc>
        <w:tc>
          <w:tcPr>
            <w:tcW w:type="dxa" w:w="1728"/>
          </w:tcPr>
          <w:p>
            <w:r>
              <w:t>None</w:t>
            </w:r>
          </w:p>
        </w:tc>
        <w:tc>
          <w:tcPr>
            <w:tcW w:type="dxa" w:w="1728"/>
          </w:tcPr>
          <w:p>
            <w:r>
              <w:t>A dedicated mail account or app registration</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t xml:space="preserve">Changing the host, port, STARTTLS, "Ignore all SSL errors", authentication method or credential while a credential is in use also needs </w:t>
      </w:r>
      <w:r>
        <w:rPr>
          <w:rFonts w:ascii="Consolas" w:hAnsi="Consolas"/>
          <w:sz w:val="19"/>
        </w:rPr>
        <w:t>ManageCredentials</w:t>
      </w:r>
      <w:r>
        <w:t>. With an OAuth2 method, so does changing the tenant, client ID, token URL, scope, audience, sign-in mailbox or From Address, because each of these changes where the stored secret is sent.</w:t>
      </w:r>
    </w:p>
    <w:p>
      <w:pPr>
        <w:pStyle w:val="Heading2"/>
      </w:pPr>
      <w:r>
        <w:t>OAuth2 email sign-in</w:t>
      </w:r>
    </w:p>
    <w:p>
      <w:r>
        <w:t xml:space="preserve">Microsoft 365 and Google Workspace can turn off username and password sign-in for SMTP. The three OAuth2 methods get an access token first and then sign in to the mail server with it (XOAUTH2). </w:t>
      </w:r>
      <w:r>
        <w:rPr>
          <w:b/>
        </w:rPr>
        <w:t>These methods have not yet been proven against a live Microsoft 365 tenant, Google Workspace domain or OAuth2 provider</w:t>
      </w:r>
      <w:r>
        <w:t xml:space="preserve">: they were built from the providers' published documentation (links below). Check with </w:t>
      </w:r>
      <w:r>
        <w:rPr>
          <w:b/>
        </w:rPr>
        <w:t>Send Test Email</w:t>
      </w:r>
      <w:r>
        <w:t xml:space="preserve"> before relying on them.</w:t>
      </w:r>
    </w:p>
    <w:p>
      <w:r>
        <w:t>When you first pick an OAuth2 method, the page fills in an empty SMTP Host (</w:t>
      </w:r>
      <w:r>
        <w:rPr>
          <w:rFonts w:ascii="Consolas" w:hAnsi="Consolas"/>
          <w:sz w:val="19"/>
        </w:rPr>
        <w:t>smtp.office365.com</w:t>
      </w:r>
      <w:r>
        <w:t xml:space="preserve"> for Microsoft 365, </w:t>
      </w:r>
      <w:r>
        <w:rPr>
          <w:rFonts w:ascii="Consolas" w:hAnsi="Consolas"/>
          <w:sz w:val="19"/>
        </w:rPr>
        <w:t>smtp.gmail.com</w:t>
      </w:r>
      <w:r>
        <w:t xml:space="preserve"> for Google Workspace), an empty port with 587, and turns STARTTLS on. Saving clears the settings of the methods you didn't choose.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Settings on the page</w:t>
            </w:r>
          </w:p>
        </w:tc>
        <w:tc>
          <w:tcPr>
            <w:tcW w:type="dxa" w:w="2160"/>
          </w:tcPr>
          <w:p>
            <w:r>
              <w:rPr>
                <w:b/>
              </w:rPr>
              <w:t>Credential label</w:t>
            </w:r>
          </w:p>
        </w:tc>
        <w:tc>
          <w:tcPr>
            <w:tcW w:type="dxa" w:w="2160"/>
          </w:tcPr>
          <w:p>
            <w:r>
              <w:rPr>
                <w:b/>
              </w:rPr>
              <w:t>What the credential's Password holds</w:t>
            </w:r>
          </w:p>
        </w:tc>
      </w:tr>
      <w:tr>
        <w:tc>
          <w:tcPr>
            <w:tcW w:type="dxa" w:w="2160"/>
          </w:tcPr>
          <w:p>
            <w:r>
              <w:t>Microsoft 365 (OAuth2)</w:t>
            </w:r>
          </w:p>
        </w:tc>
        <w:tc>
          <w:tcPr>
            <w:tcW w:type="dxa" w:w="2160"/>
          </w:tcPr>
          <w:p>
            <w:r>
              <w:rPr>
                <w:b/>
              </w:rPr>
              <w:t>Tenant ID</w:t>
            </w:r>
            <w:r>
              <w:t xml:space="preserve"> (the tenant's domain, such as </w:t>
            </w:r>
            <w:r>
              <w:rPr>
                <w:rFonts w:ascii="Consolas" w:hAnsi="Consolas"/>
                <w:sz w:val="19"/>
              </w:rPr>
              <w:t>contoso.onmicrosoft.com</w:t>
            </w:r>
            <w:r>
              <w:t xml:space="preserve">, or its GUID), </w:t>
            </w:r>
            <w:r>
              <w:rPr>
                <w:b/>
              </w:rPr>
              <w:t>Client (application) ID</w:t>
            </w:r>
            <w:r>
              <w:t xml:space="preserve">, </w:t>
            </w:r>
            <w:r>
              <w:rPr>
                <w:b/>
              </w:rPr>
              <w:t>Client credential type</w:t>
            </w:r>
            <w:r>
              <w:t xml:space="preserve"> (Client secret, or Certificate (PEM certificate and private key)), </w:t>
            </w:r>
            <w:r>
              <w:rPr>
                <w:b/>
              </w:rPr>
              <w:t>Sign-in mailbox</w:t>
            </w:r>
            <w:r>
              <w:t xml:space="preserve"> (blank = the From Address)</w:t>
            </w:r>
          </w:p>
        </w:tc>
        <w:tc>
          <w:tcPr>
            <w:tcW w:type="dxa" w:w="2160"/>
          </w:tcPr>
          <w:p>
            <w:r>
              <w:t>Client secret credential, or Certificate and key credential</w:t>
            </w:r>
          </w:p>
        </w:tc>
        <w:tc>
          <w:tcPr>
            <w:tcW w:type="dxa" w:w="2160"/>
          </w:tcPr>
          <w:p>
            <w:r>
              <w:t>The app registration's client secret; or the certificate in PEM form followed by its unencrypted RSA private key in PEM form</w:t>
            </w:r>
          </w:p>
        </w:tc>
      </w:tr>
      <w:tr>
        <w:tc>
          <w:tcPr>
            <w:tcW w:type="dxa" w:w="2160"/>
          </w:tcPr>
          <w:p>
            <w:r>
              <w:t>Google Workspace (OAuth2)</w:t>
            </w:r>
          </w:p>
        </w:tc>
        <w:tc>
          <w:tcPr>
            <w:tcW w:type="dxa" w:w="2160"/>
          </w:tcPr>
          <w:p>
            <w:r>
              <w:rPr>
                <w:b/>
              </w:rPr>
              <w:t>Sign-in mailbox</w:t>
            </w:r>
            <w:r>
              <w:t xml:space="preserve"> (blank = the From Address): the user in your domain the service account sends as</w:t>
            </w:r>
          </w:p>
        </w:tc>
        <w:tc>
          <w:tcPr>
            <w:tcW w:type="dxa" w:w="2160"/>
          </w:tcPr>
          <w:p>
            <w:r>
              <w:t>Service account key credential</w:t>
            </w:r>
          </w:p>
        </w:tc>
        <w:tc>
          <w:tcPr>
            <w:tcW w:type="dxa" w:w="2160"/>
          </w:tcPr>
          <w:p>
            <w:r>
              <w:t>The service account's whole JSON key file</w:t>
            </w:r>
          </w:p>
        </w:tc>
      </w:tr>
      <w:tr>
        <w:tc>
          <w:tcPr>
            <w:tcW w:type="dxa" w:w="2160"/>
          </w:tcPr>
          <w:p>
            <w:r>
              <w:t>Generic OAuth2 (client credentials)</w:t>
            </w:r>
          </w:p>
        </w:tc>
        <w:tc>
          <w:tcPr>
            <w:tcW w:type="dxa" w:w="2160"/>
          </w:tcPr>
          <w:p>
            <w:r>
              <w:rPr>
                <w:b/>
              </w:rPr>
              <w:t>Token URL</w:t>
            </w:r>
            <w:r>
              <w:t xml:space="preserve"> (</w:t>
            </w:r>
            <w:r>
              <w:rPr>
                <w:rFonts w:ascii="Consolas" w:hAnsi="Consolas"/>
                <w:sz w:val="19"/>
              </w:rPr>
              <w:t>https://</w:t>
            </w:r>
            <w:r>
              <w:t xml:space="preserve"> only), </w:t>
            </w:r>
            <w:r>
              <w:rPr>
                <w:b/>
              </w:rPr>
              <w:t>Client ID</w:t>
            </w:r>
            <w:r>
              <w:t xml:space="preserve">, </w:t>
            </w:r>
            <w:r>
              <w:rPr>
                <w:b/>
              </w:rPr>
              <w:t>Client authentication</w:t>
            </w:r>
            <w:r>
              <w:t xml:space="preserve"> (Authorization header (HTTP Basic), or Form fields (client_id and client_secret)), </w:t>
            </w:r>
            <w:r>
              <w:rPr>
                <w:b/>
              </w:rPr>
              <w:t>Scope (optional)</w:t>
            </w:r>
            <w:r>
              <w:t xml:space="preserve">, </w:t>
            </w:r>
            <w:r>
              <w:rPr>
                <w:b/>
              </w:rPr>
              <w:t>Audience (optional)</w:t>
            </w:r>
            <w:r>
              <w:t xml:space="preserve">, </w:t>
            </w:r>
            <w:r>
              <w:rPr>
                <w:b/>
              </w:rPr>
              <w:t>XOAUTH2 username</w:t>
            </w:r>
            <w:r>
              <w:t xml:space="preserve"> (blank = the From Address)</w:t>
            </w:r>
          </w:p>
        </w:tc>
        <w:tc>
          <w:tcPr>
            <w:tcW w:type="dxa" w:w="2160"/>
          </w:tcPr>
          <w:p>
            <w:r>
              <w:t>Client secret credential</w:t>
            </w:r>
          </w:p>
        </w:tc>
        <w:tc>
          <w:tcPr>
            <w:tcW w:type="dxa" w:w="2160"/>
          </w:tcPr>
          <w:p>
            <w:r>
              <w:t>The client secret</w:t>
            </w:r>
          </w:p>
        </w:tc>
      </w:tr>
    </w:tbl>
    <w:p/>
    <w:p>
      <w:r>
        <w:rPr>
          <w:b/>
        </w:rPr>
        <w:t>Storing the secret.</w:t>
      </w:r>
      <w:r>
        <w:t xml:space="preserve"> Create the credential on </w:t>
      </w:r>
      <w:r>
        <w:rPr>
          <w:b/>
        </w:rPr>
        <w:t>Admin &gt; Credentials &amp; LDAP</w:t>
      </w:r>
      <w:r>
        <w:t xml:space="preserve"> and paste the secret, certificate and key, or JSON key file into its </w:t>
      </w:r>
      <w:r>
        <w:rPr>
          <w:b/>
        </w:rPr>
        <w:t>Password</w:t>
      </w:r>
      <w:r>
        <w:t>. Only the password is used; the username isn't. The password box is one line, so line breaks may be lost when pasting; that doesn't matter for these values. The secret is kept like any other credential (encrypted on the server, or in your vault) and never appears on a page, in a log or in the audit log. Use a User-scope DPAPI credential or a vault backend.</w:t>
      </w:r>
    </w:p>
    <w:p>
      <w:r>
        <w:rPr>
          <w:b/>
        </w:rPr>
        <w:t>Microsoft 365: what to set up first</w:t>
      </w:r>
      <w:r>
        <w:t xml:space="preserve"> (from Microsoft's documentation, listed below; confirm the current portal wording there):</w:t>
      </w:r>
    </w:p>
    <w:p>
      <w:pPr>
        <w:pStyle w:val="ListNumber"/>
      </w:pPr>
      <w:r>
        <w:t xml:space="preserve">Register an application in Microsoft Entra ID. Under its API permissions add the </w:t>
      </w:r>
      <w:r>
        <w:rPr>
          <w:b/>
        </w:rPr>
        <w:t>Office 365 Exchange Online</w:t>
      </w:r>
      <w:r>
        <w:t xml:space="preserve"> application permission </w:t>
      </w:r>
      <w:r>
        <w:rPr>
          <w:b/>
        </w:rPr>
        <w:t>SMTP.SendAsApp</w:t>
      </w:r>
      <w:r>
        <w:t>, and grant admin consent.</w:t>
      </w:r>
    </w:p>
    <w:p>
      <w:pPr>
        <w:pStyle w:val="ListNumber"/>
      </w:pPr>
      <w:r>
        <w:t>Give it a client secret, or upload the certificate whose PEM and key you'll store in the credential.</w:t>
      </w:r>
    </w:p>
    <w:p>
      <w:pPr>
        <w:pStyle w:val="ListNumber"/>
      </w:pPr>
      <w:r>
        <w:t xml:space="preserve">Register its service principal in Exchange Online (Exchange Online PowerShell): </w:t>
      </w:r>
      <w:r>
        <w:rPr>
          <w:rFonts w:ascii="Consolas" w:hAnsi="Consolas"/>
          <w:sz w:val="19"/>
        </w:rPr>
        <w:t>New-ServicePrincipal -AppId &lt;application ID&gt; -ObjectId &lt;object ID&gt;</w:t>
      </w:r>
      <w:r>
        <w:t xml:space="preserve">. Use the Object ID of the </w:t>
      </w:r>
      <w:r>
        <w:rPr>
          <w:b/>
        </w:rPr>
        <w:t>Enterprise Application</w:t>
      </w:r>
      <w:r>
        <w:t>, not of the App Registration.</w:t>
      </w:r>
    </w:p>
    <w:p>
      <w:pPr>
        <w:pStyle w:val="ListNumber"/>
      </w:pPr>
      <w:r>
        <w:t xml:space="preserve">Give it access to the sending mailbox: </w:t>
      </w:r>
      <w:r>
        <w:rPr>
          <w:rFonts w:ascii="Consolas" w:hAnsi="Consolas"/>
          <w:sz w:val="19"/>
        </w:rPr>
        <w:t>Add-MailboxPermission -Identity &lt;mailbox&gt; -User &lt;service principal ID&gt; -AccessRights FullAccess</w:t>
      </w:r>
      <w:r>
        <w:t>. If the From Address isn't that mailbox, also give it Send As on the From address (</w:t>
      </w:r>
      <w:r>
        <w:rPr>
          <w:rFonts w:ascii="Consolas" w:hAnsi="Consolas"/>
          <w:sz w:val="19"/>
        </w:rPr>
        <w:t>Add-RecipientPermission</w:t>
      </w:r>
      <w:r>
        <w:t>).</w:t>
      </w:r>
    </w:p>
    <w:p>
      <w:pPr>
        <w:pStyle w:val="ListNumber"/>
      </w:pPr>
      <w:r>
        <w:t xml:space="preserve">Turn on SMTP AUTH for the mailbox: </w:t>
      </w:r>
      <w:r>
        <w:rPr>
          <w:rFonts w:ascii="Consolas" w:hAnsi="Consolas"/>
          <w:sz w:val="19"/>
        </w:rPr>
        <w:t>Set-CASMailbox -Identity &lt;mailbox&gt; -SmtpClientAuthenticationDisabled $false</w:t>
      </w:r>
      <w:r>
        <w:t>. It is off by default for tenants created after January 2020, and can't be used while Entra security defaults are on.</w:t>
      </w:r>
    </w:p>
    <w:p>
      <w:r>
        <w:rPr>
          <w:b/>
        </w:rPr>
        <w:t>Google Workspace: what to set up first</w:t>
      </w:r>
      <w:r>
        <w:t xml:space="preserve"> (from Google's documentation, listed below):</w:t>
      </w:r>
    </w:p>
    <w:p>
      <w:pPr>
        <w:pStyle w:val="ListNumber"/>
      </w:pPr>
      <w:r>
        <w:t>Create a service account in a Google Cloud project, and create a JSON key for it. Store the whole JSON file in the credential.</w:t>
      </w:r>
    </w:p>
    <w:p>
      <w:pPr>
        <w:pStyle w:val="ListNumber"/>
      </w:pPr>
      <w:r>
        <w:t xml:space="preserve">A super administrator adds the service account's numeric client ID under </w:t>
      </w:r>
      <w:r>
        <w:rPr>
          <w:b/>
        </w:rPr>
        <w:t>Security &gt; Access and data control &gt; API Controls &gt; Domain wide delegation</w:t>
      </w:r>
      <w:r>
        <w:t xml:space="preserve"> in the Google Admin console, with the scope </w:t>
      </w:r>
      <w:r>
        <w:rPr>
          <w:rFonts w:ascii="Consolas" w:hAnsi="Consolas"/>
          <w:sz w:val="19"/>
        </w:rPr>
        <w:t>https://mail.google.com/</w:t>
      </w:r>
      <w:r>
        <w:t>. Google says this can take up to 24 hours to take effect.</w:t>
      </w:r>
    </w:p>
    <w:p>
      <w:pPr>
        <w:pStyle w:val="ListNumber"/>
      </w:pPr>
      <w:r>
        <w:t>The sign-in mailbox must be a user in your Google Workspace domain.</w:t>
      </w:r>
    </w:p>
    <w:p>
      <w:r>
        <w:t>Google documents the service-account sign-in and the SMTP sign-in separately, not as one worked example, so this is the least certain of the three methods.</w:t>
      </w:r>
    </w:p>
    <w:p>
      <w:r>
        <w:rPr>
          <w:b/>
        </w:rPr>
        <w:t>Generic OAuth2:</w:t>
      </w:r>
      <w:r>
        <w:t xml:space="preserve"> register BlueTrack as a client using the client credentials grant at your provider, and set the scope and audience your mail server expects. </w:t>
      </w:r>
      <w:r>
        <w:rPr>
          <w:b/>
        </w:rPr>
        <w:t>Authorization header</w:t>
      </w:r>
      <w:r>
        <w:t xml:space="preserve"> is the method every OAuth2 server must support.</w:t>
      </w:r>
    </w:p>
    <w:p>
      <w:r>
        <w:rPr>
          <w:b/>
        </w:rPr>
        <w:t>Microsoft's documentation</w:t>
      </w:r>
      <w:r>
        <w:t>, read when this was built:</w:t>
      </w:r>
    </w:p>
    <w:p>
      <w:pPr>
        <w:pStyle w:val="ListBullet"/>
      </w:pPr>
      <w:r>
        <w:t>OAuth for IMAP, POP and SMTP: https://learn.microsoft.com/en-us/exchange/client-developer/legacy-protocols/how-to-authenticate-an-imap-pop-smtp-application-by-using-oauth</w:t>
      </w:r>
    </w:p>
    <w:p>
      <w:pPr>
        <w:pStyle w:val="ListBullet"/>
      </w:pPr>
      <w:r>
        <w:t>Client credentials flow: https://learn.microsoft.com/en-us/entra/identity-platform/v2-oauth2-client-creds-grant-flow</w:t>
      </w:r>
    </w:p>
    <w:p>
      <w:pPr>
        <w:pStyle w:val="ListBullet"/>
      </w:pPr>
      <w:r>
        <w:t>Certificate credentials: https://learn.microsoft.com/en-us/entra/identity-platform/certificate-credentials</w:t>
      </w:r>
    </w:p>
    <w:p>
      <w:pPr>
        <w:pStyle w:val="ListBullet"/>
      </w:pPr>
      <w:r>
        <w:t>SMTP AUTH per mailbox: https://learn.microsoft.com/en-us/exchange/clients-and-mobile-in-exchange-online/authenticated-client-smtp-submission</w:t>
      </w:r>
    </w:p>
    <w:p>
      <w:pPr>
        <w:pStyle w:val="ListBullet"/>
      </w:pPr>
      <w:r>
        <w:t>SMTP submission settings: https://learn.microsoft.com/en-us/exchange/mail-flow-best-practices/how-to-set-up-a-multifunction-device-or-application-to-send-email-using-microsoft-365-or-office-365</w:t>
      </w:r>
    </w:p>
    <w:p>
      <w:r>
        <w:rPr>
          <w:b/>
        </w:rPr>
        <w:t>Google's and other documentation:</w:t>
      </w:r>
    </w:p>
    <w:p>
      <w:pPr>
        <w:pStyle w:val="ListBullet"/>
      </w:pPr>
      <w:r>
        <w:t>Service account OAuth and domain-wide delegation: https://developers.google.com/identity/protocols/oauth2/service-account</w:t>
      </w:r>
    </w:p>
    <w:p>
      <w:pPr>
        <w:pStyle w:val="ListBullet"/>
      </w:pPr>
      <w:r>
        <w:t xml:space="preserve">XOAUTH2 and the </w:t>
      </w:r>
      <w:r>
        <w:rPr>
          <w:rFonts w:ascii="Consolas" w:hAnsi="Consolas"/>
          <w:sz w:val="19"/>
        </w:rPr>
        <w:t>https://mail.google.com/</w:t>
      </w:r>
      <w:r>
        <w:t xml:space="preserve"> scope: https://developers.google.com/workspace/gmail/imap/xoauth2-protocol</w:t>
      </w:r>
    </w:p>
    <w:p>
      <w:pPr>
        <w:pStyle w:val="ListBullet"/>
      </w:pPr>
      <w:r>
        <w:t>Gmail SMTP server settings: https://knowledge.workspace.google.com/admin/gmail/send-email-from-a-printer-scanner-or-app</w:t>
      </w:r>
    </w:p>
    <w:p>
      <w:pPr>
        <w:pStyle w:val="ListBullet"/>
      </w:pPr>
      <w:r>
        <w:t>OAuth 2.0 (RFC 6749), client credentials: https://datatracker.ietf.org/doc/html/rfc6749</w:t>
      </w:r>
    </w:p>
    <w:p>
      <w:r>
        <w:t xml:space="preserve">Tokens are kept in memory until shortly before they expire; if the mail server refuses one, BlueTrack gets a new one and tries once more. Sovereign clouds (Entra hosts other than </w:t>
      </w:r>
      <w:r>
        <w:rPr>
          <w:rFonts w:ascii="Consolas" w:hAnsi="Consolas"/>
          <w:sz w:val="19"/>
        </w:rPr>
        <w:t>login.microsoftonline.com</w:t>
      </w:r>
      <w:r>
        <w:t>) aren't supported.</w:t>
      </w:r>
    </w:p>
    <w:p>
      <w:pPr>
        <w:pStyle w:val="Heading2"/>
      </w:pPr>
      <w:r>
        <w:t>Notification Types</w:t>
      </w:r>
    </w:p>
    <w:p>
      <w:r>
        <w:t xml:space="preserve">Each type has an </w:t>
      </w:r>
      <w:r>
        <w:rPr>
          <w:b/>
        </w:rPr>
        <w:t>Enabled</w:t>
      </w:r>
      <w:r>
        <w:t xml:space="preserve"> tick box and an optional </w:t>
      </w:r>
      <w:r>
        <w:rPr>
          <w:b/>
        </w:rPr>
        <w:t>Target Role</w:t>
      </w:r>
      <w:r>
        <w:t>. A type that isn't enabled is never checked or sent. With a target role, the email also goes to that role's Notification Email and, if LDAP is set up, to members of the role's mapped AD groups, in addition to the recipient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Type</w:t>
            </w:r>
          </w:p>
        </w:tc>
        <w:tc>
          <w:tcPr>
            <w:tcW w:type="dxa" w:w="2160"/>
          </w:tcPr>
          <w:p>
            <w:r>
              <w:rPr>
                <w:b/>
              </w:rPr>
              <w:t>Sent when</w:t>
            </w:r>
          </w:p>
        </w:tc>
        <w:tc>
          <w:tcPr>
            <w:tcW w:type="dxa" w:w="2160"/>
          </w:tcPr>
          <w:p>
            <w:r>
              <w:rPr>
                <w:b/>
              </w:rPr>
              <w:t>What the email holds</w:t>
            </w:r>
          </w:p>
        </w:tc>
        <w:tc>
          <w:tcPr>
            <w:tcW w:type="dxa" w:w="2160"/>
          </w:tcPr>
          <w:p>
            <w:r>
              <w:rPr>
                <w:b/>
              </w:rPr>
              <w:t>On a new install</w:t>
            </w:r>
          </w:p>
        </w:tc>
      </w:tr>
      <w:tr>
        <w:tc>
          <w:tcPr>
            <w:tcW w:type="dxa" w:w="2160"/>
          </w:tcPr>
          <w:p>
            <w:r>
              <w:t>NightlyImportFailed</w:t>
            </w:r>
          </w:p>
        </w:tc>
        <w:tc>
          <w:tcPr>
            <w:tcW w:type="dxa" w:w="2160"/>
          </w:tcPr>
          <w:p>
            <w:r>
              <w:t>Within about 5 minutes of the nightly Import, Load or daily snapshot failing, or of a run still not finished 4 hours after it started. Once per run.</w:t>
            </w:r>
          </w:p>
        </w:tc>
        <w:tc>
          <w:tcPr>
            <w:tcW w:type="dxa" w:w="2160"/>
          </w:tcPr>
          <w:p>
            <w:r>
              <w:t>The step, when it started and failed (server time), the error with the procedure and line, the import files that failed in that run, and who started it.</w:t>
            </w:r>
          </w:p>
        </w:tc>
        <w:tc>
          <w:tcPr>
            <w:tcW w:type="dxa" w:w="2160"/>
          </w:tcPr>
          <w:p>
            <w:r>
              <w:t>Off</w:t>
            </w:r>
          </w:p>
        </w:tc>
      </w:tr>
      <w:tr>
        <w:tc>
          <w:tcPr>
            <w:tcW w:type="dxa" w:w="2160"/>
          </w:tcPr>
          <w:p>
            <w:r>
              <w:t>OverdueRiskExceptions</w:t>
            </w:r>
          </w:p>
        </w:tc>
        <w:tc>
          <w:tcPr>
            <w:tcW w:type="dxa" w:w="2160"/>
          </w:tcPr>
          <w:p>
            <w:r>
              <w:t>Once a day, from the daily digest time, when any Risk Exception is past its review date. Nothing is sent when none are.</w:t>
            </w:r>
          </w:p>
        </w:tc>
        <w:tc>
          <w:tcPr>
            <w:tcW w:type="dxa" w:w="2160"/>
          </w:tcPr>
          <w:p>
            <w:r>
              <w:t>The Overdue Reviews list (up to 100).</w:t>
            </w:r>
          </w:p>
        </w:tc>
        <w:tc>
          <w:tcPr>
            <w:tcW w:type="dxa" w:w="2160"/>
          </w:tcPr>
          <w:p>
            <w:r>
              <w:t>Off</w:t>
            </w:r>
          </w:p>
        </w:tc>
      </w:tr>
      <w:tr>
        <w:tc>
          <w:tcPr>
            <w:tcW w:type="dxa" w:w="2160"/>
          </w:tcPr>
          <w:p>
            <w:r>
              <w:t>WeeklySummary</w:t>
            </w:r>
          </w:p>
        </w:tc>
        <w:tc>
          <w:tcPr>
            <w:tcW w:type="dxa" w:w="2160"/>
          </w:tcPr>
          <w:p>
            <w:r>
              <w:t>Once a week, on the weekly summary day, from its time.</w:t>
            </w:r>
          </w:p>
        </w:tc>
        <w:tc>
          <w:tcPr>
            <w:tcW w:type="dxa" w:w="2160"/>
          </w:tcPr>
          <w:p>
            <w:r>
              <w:t>The KPI Summary figures; % complete and accounts per stage compared with the snapshot a week older ("No history yet" when there is none); overdue and at-risk accounts; exceptions overdue for review; the last Import, Load and snapshot runs.</w:t>
            </w:r>
          </w:p>
        </w:tc>
        <w:tc>
          <w:tcPr>
            <w:tcW w:type="dxa" w:w="2160"/>
          </w:tcPr>
          <w:p>
            <w:r>
              <w:t>Off</w:t>
            </w:r>
          </w:p>
        </w:tc>
      </w:tr>
      <w:tr>
        <w:tc>
          <w:tcPr>
            <w:tcW w:type="dxa" w:w="2160"/>
          </w:tcPr>
          <w:p>
            <w:r>
              <w:t>ApiKeyExpiring</w:t>
            </w:r>
          </w:p>
        </w:tc>
        <w:tc>
          <w:tcPr>
            <w:tcW w:type="dxa" w:w="2160"/>
          </w:tcPr>
          <w:p>
            <w:r>
              <w:t xml:space="preserve">Once a day, from the daily digest time, to each API key's </w:t>
            </w:r>
            <w:r>
              <w:rPr>
                <w:b/>
              </w:rPr>
              <w:t>owner email</w:t>
            </w:r>
            <w:r>
              <w:t>: the reminder lead time (7 days by default) before the key expires, and on the day it expires. Keys with no owner email are skipped.</w:t>
            </w:r>
          </w:p>
        </w:tc>
        <w:tc>
          <w:tcPr>
            <w:tcW w:type="dxa" w:w="2160"/>
          </w:tcPr>
          <w:p>
            <w:r>
              <w:t>The key's name, the first characters of the key, its role and expiry date, with a link to Admin &gt; API Keys. Sent to the owner only, not to the notification recipients.</w:t>
            </w:r>
          </w:p>
        </w:tc>
        <w:tc>
          <w:tcPr>
            <w:tcW w:type="dxa" w:w="2160"/>
          </w:tcPr>
          <w:p>
            <w:r>
              <w:t>Off</w:t>
            </w:r>
          </w:p>
        </w:tc>
      </w:tr>
      <w:tr>
        <w:tc>
          <w:tcPr>
            <w:tcW w:type="dxa" w:w="2160"/>
          </w:tcPr>
          <w:p>
            <w:r>
              <w:t>ApiKeyExpired</w:t>
            </w:r>
          </w:p>
        </w:tc>
        <w:tc>
          <w:tcPr>
            <w:tcW w:type="dxa" w:w="2160"/>
          </w:tcPr>
          <w:p>
            <w:r>
              <w:t>Once a day, from the daily digest time, for each API key that expired that day.</w:t>
            </w:r>
          </w:p>
        </w:tc>
        <w:tc>
          <w:tcPr>
            <w:tcW w:type="dxa" w:w="2160"/>
          </w:tcPr>
          <w:p>
            <w:r>
              <w:t>The same, and whether the owner was told. Sent to the administrators (this type's recipients and target role).</w:t>
            </w:r>
          </w:p>
        </w:tc>
        <w:tc>
          <w:tcPr>
            <w:tcW w:type="dxa" w:w="2160"/>
          </w:tcPr>
          <w:p>
            <w:r>
              <w:t>Off</w:t>
            </w:r>
          </w:p>
        </w:tc>
      </w:tr>
      <w:tr>
        <w:tc>
          <w:tcPr>
            <w:tcW w:type="dxa" w:w="2160"/>
          </w:tcPr>
          <w:p>
            <w:r>
              <w:t>SelfHostedPullFailed</w:t>
            </w:r>
          </w:p>
        </w:tc>
        <w:tc>
          <w:tcPr>
            <w:tcW w:type="dxa" w:w="2160"/>
          </w:tcPr>
          <w:p>
            <w:r>
              <w:t>Within about 5 minutes of a Self-Hosted Direct pull failing, being rejected (the Safe or account count changed more than allowed), or still not finished 2 hours after it started. Once per pull.</w:t>
            </w:r>
          </w:p>
        </w:tc>
        <w:tc>
          <w:tcPr>
            <w:tcW w:type="dxa" w:w="2160"/>
          </w:tcPr>
          <w:p>
            <w:r>
              <w:t>When it started and who started it, the outcome, the Safe and account counts before and now, the pull's messages (a rejected pull's include the Safes no longer returned), what it means and what to do, with a link to Data Sources.</w:t>
            </w:r>
          </w:p>
        </w:tc>
        <w:tc>
          <w:tcPr>
            <w:tcW w:type="dxa" w:w="2160"/>
          </w:tcPr>
          <w:p>
            <w:r>
              <w:t>Off</w:t>
            </w:r>
          </w:p>
        </w:tc>
      </w:tr>
      <w:tr>
        <w:tc>
          <w:tcPr>
            <w:tcW w:type="dxa" w:w="2160"/>
          </w:tcPr>
          <w:p>
            <w:r>
              <w:t>DevFakeAuthEnabledTooLong</w:t>
            </w:r>
          </w:p>
        </w:tc>
        <w:tc>
          <w:tcPr>
            <w:tcW w:type="dxa" w:w="2160"/>
          </w:tcPr>
          <w:p>
            <w:r>
              <w:t>When DevFakeAuth has been enabled for more than 7 days; repeats at most every 7 days.</w:t>
            </w:r>
          </w:p>
        </w:tc>
        <w:tc>
          <w:tcPr>
            <w:tcW w:type="dxa" w:w="2160"/>
          </w:tcPr>
          <w:p>
            <w:r>
              <w:t>How long DevFakeAuth has been enabled, and since when.</w:t>
            </w:r>
          </w:p>
        </w:tc>
        <w:tc>
          <w:tcPr>
            <w:tcW w:type="dxa" w:w="2160"/>
          </w:tcPr>
          <w:p>
            <w:r>
              <w:t>On</w:t>
            </w:r>
          </w:p>
        </w:tc>
      </w:tr>
      <w:tr>
        <w:tc>
          <w:tcPr>
            <w:tcW w:type="dxa" w:w="2160"/>
          </w:tcPr>
          <w:p>
            <w:r>
              <w:t>CpmHealth</w:t>
            </w:r>
          </w:p>
        </w:tc>
        <w:tc>
          <w:tcPr>
            <w:tcW w:type="dxa" w:w="2160"/>
          </w:tcPr>
          <w:p>
            <w:r>
              <w:t>Once a day, from the daily digest time, when any account's CPM status became failure since the last CpmHealth email. Not sent when there are none.</w:t>
            </w:r>
          </w:p>
        </w:tc>
        <w:tc>
          <w:tcPr>
            <w:tcW w:type="dxa" w:w="2160"/>
          </w:tcPr>
          <w:p>
            <w:r>
              <w:t>The newly failing accounts (up to 100) with Safe, platform and last CPM action; Reports &gt; CPM Health lists them all.</w:t>
            </w:r>
          </w:p>
        </w:tc>
        <w:tc>
          <w:tcPr>
            <w:tcW w:type="dxa" w:w="2160"/>
          </w:tcPr>
          <w:p>
            <w:r>
              <w:t>Off</w:t>
            </w:r>
          </w:p>
        </w:tc>
      </w:tr>
      <w:tr>
        <w:tc>
          <w:tcPr>
            <w:tcW w:type="dxa" w:w="2160"/>
          </w:tcPr>
          <w:p>
            <w:r>
              <w:t>AuditChainBroken</w:t>
            </w:r>
          </w:p>
        </w:tc>
        <w:tc>
          <w:tcPr>
            <w:tcW w:type="dxa" w:w="2160"/>
          </w:tcPr>
          <w:p>
            <w:r>
              <w:t xml:space="preserve">Once a day, from the daily digest time, when the check of the audit log's seals (the same as </w:t>
            </w:r>
            <w:r>
              <w:rPr>
                <w:b/>
              </w:rPr>
              <w:t>Verify</w:t>
            </w:r>
            <w:r>
              <w:t xml:space="preserve"> on the Audit Log page) finds an audit event or seal that was changed or deleted outside BlueTrack. Not sent while the log is intact.</w:t>
            </w:r>
          </w:p>
        </w:tc>
        <w:tc>
          <w:tcPr>
            <w:tcW w:type="dxa" w:w="2160"/>
          </w:tcPr>
          <w:p>
            <w:r>
              <w:t>Each problem found (seal, audit event, what was changed or deleted, up to 50) and where to compare: the SIEM's copy and the Windows Security log.</w:t>
            </w:r>
          </w:p>
        </w:tc>
        <w:tc>
          <w:tcPr>
            <w:tcW w:type="dxa" w:w="2160"/>
          </w:tcPr>
          <w:p>
            <w:r>
              <w:t>Off</w:t>
            </w:r>
          </w:p>
        </w:tc>
      </w:tr>
      <w:tr>
        <w:tc>
          <w:tcPr>
            <w:tcW w:type="dxa" w:w="2160"/>
          </w:tcPr>
          <w:p>
            <w:r>
              <w:t>SignInRejected</w:t>
            </w:r>
          </w:p>
        </w:tc>
        <w:tc>
          <w:tcPr>
            <w:tcW w:type="dxa" w:w="2160"/>
          </w:tcPr>
          <w:p>
            <w:r>
              <w:t>At once when a SAML or OIDC sign-in is rejected (bad signature, audience, time or replay, or the identity provider refused it); at most one email per 15 minutes, the next counting the ones in between. Every rejection is in the Audit Log as LogonFailed either way.</w:t>
            </w:r>
          </w:p>
        </w:tc>
        <w:tc>
          <w:tcPr>
            <w:tcW w:type="dxa" w:w="2160"/>
          </w:tcPr>
          <w:p>
            <w:r>
              <w:t>When, the reason, the source IP, and how many more since the last email.</w:t>
            </w:r>
          </w:p>
        </w:tc>
        <w:tc>
          <w:tcPr>
            <w:tcW w:type="dxa" w:w="2160"/>
          </w:tcPr>
          <w:p>
            <w:r>
              <w:t>Off</w:t>
            </w:r>
          </w:p>
        </w:tc>
      </w:tr>
      <w:tr>
        <w:tc>
          <w:tcPr>
            <w:tcW w:type="dxa" w:w="2160"/>
          </w:tcPr>
          <w:p>
            <w:r>
              <w:t>SamlCertificateExpiring</w:t>
            </w:r>
          </w:p>
        </w:tc>
        <w:tc>
          <w:tcPr>
            <w:tcW w:type="dxa" w:w="2160"/>
          </w:tcPr>
          <w:p>
            <w:r>
              <w:t>Once a day, from the daily digest time, when the SAML identity provider's certificate or BlueTrack's own SAML certificate expires within 30 days, within 7 days, has expired, or isn't installed. Once per certificate and step.</w:t>
            </w:r>
          </w:p>
        </w:tc>
        <w:tc>
          <w:tcPr>
            <w:tcW w:type="dxa" w:w="2160"/>
          </w:tcPr>
          <w:p>
            <w:r>
              <w:t>Which certificate, its thumbprint, subject and expiry, and what to do.</w:t>
            </w:r>
          </w:p>
        </w:tc>
        <w:tc>
          <w:tcPr>
            <w:tcW w:type="dxa" w:w="2160"/>
          </w:tcPr>
          <w:p>
            <w:r>
              <w:t>Off</w:t>
            </w:r>
          </w:p>
        </w:tc>
      </w:tr>
      <w:tr>
        <w:tc>
          <w:tcPr>
            <w:tcW w:type="dxa" w:w="2160"/>
          </w:tcPr>
          <w:p>
            <w:r>
              <w:t>BreakGlassLogon</w:t>
            </w:r>
          </w:p>
        </w:tc>
        <w:tc>
          <w:tcPr>
            <w:tcW w:type="dxa" w:w="2160"/>
          </w:tcPr>
          <w:p>
            <w:r>
              <w:t>At once, every time a designated break-glass account signs in (Admin_SettingsReference.md, Identity Providers, "Break-glass accounts").</w:t>
            </w:r>
          </w:p>
        </w:tc>
        <w:tc>
          <w:tcPr>
            <w:tcW w:type="dxa" w:w="2160"/>
          </w:tcPr>
          <w:p>
            <w:r>
              <w:t>The account, the sign-in method, the source IP address and the time (UTC), and where to find it in the Audit Log.</w:t>
            </w:r>
          </w:p>
        </w:tc>
        <w:tc>
          <w:tcPr>
            <w:tcW w:type="dxa" w:w="2160"/>
          </w:tcPr>
          <w:p>
            <w:r>
              <w:t>On</w:t>
            </w:r>
          </w:p>
        </w:tc>
      </w:tr>
    </w:tbl>
    <w:p/>
    <w:p>
      <w:r>
        <w:t xml:space="preserve">Recommended: enable NightlyImportFailed on every real environment, since nothing else in BlueTrack tells you a nightly import failed. With Self-Hosted Direct, enable SelfHostedPullFailed too: it arrives before the import that the failed pull will make fail. Set every type's target role to your Admin role, or to a role whose Notification Email is a monitored team mailbox. NightlyImportFailed doesn't cover a job that never starts at all (SQL Server Agent stopped, or the job disabled); </w:t>
      </w:r>
      <w:r>
        <w:rPr>
          <w:rFonts w:ascii="Consolas" w:hAnsi="Consolas"/>
          <w:sz w:val="19"/>
        </w:rPr>
        <w:t>Tools\Test-BlueTrackHealth.ps1</w:t>
      </w:r>
      <w:r>
        <w:t xml:space="preserve"> checks those.</w:t>
      </w:r>
    </w:p>
    <w:p>
      <w:r>
        <w:rPr>
          <w:b/>
        </w:rPr>
        <w:t>Emails</w:t>
      </w:r>
      <w:r>
        <w:t xml:space="preserve"> have a subject starting </w:t>
      </w:r>
      <w:r>
        <w:rPr>
          <w:rFonts w:ascii="Consolas" w:hAnsi="Consolas"/>
          <w:sz w:val="19"/>
        </w:rPr>
        <w:t>BlueTrack:</w:t>
      </w:r>
      <w:r>
        <w:t xml:space="preserve">, and an HTML and a plain-text version with the same content. When </w:t>
      </w:r>
      <w:r>
        <w:rPr>
          <w:b/>
        </w:rPr>
        <w:t>Site URL</w:t>
      </w:r>
      <w:r>
        <w:t xml:space="preserve"> is set on Global Application Configuration, they link to the pages they mention (for example Overdue Reviews, Trends, KPI Summary, CyberArk Sources, Audit Log); without it they name the pages.</w:t>
      </w:r>
    </w:p>
    <w:p>
      <w:pPr>
        <w:pStyle w:val="Heading2"/>
      </w:pPr>
      <w:r>
        <w:t>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Daily digest time</w:t>
            </w:r>
          </w:p>
        </w:tc>
        <w:tc>
          <w:tcPr>
            <w:tcW w:type="dxa" w:w="1728"/>
          </w:tcPr>
          <w:p>
            <w:r>
              <w:t>When the daily emails (OverdueRiskExceptions, ApiKeyExpiring) go out, server local time.</w:t>
            </w:r>
          </w:p>
        </w:tc>
        <w:tc>
          <w:tcPr>
            <w:tcW w:type="dxa" w:w="1728"/>
          </w:tcPr>
          <w:p>
            <w:r>
              <w:t>07:00</w:t>
            </w:r>
          </w:p>
        </w:tc>
        <w:tc>
          <w:tcPr>
            <w:tcW w:type="dxa" w:w="1728"/>
          </w:tcPr>
          <w:p>
            <w:r>
              <w:t>Before your team's working day starts</w:t>
            </w:r>
          </w:p>
        </w:tc>
        <w:tc>
          <w:tcPr>
            <w:tcW w:type="dxa" w:w="1728"/>
          </w:tcPr>
          <w:p>
            <w:r>
              <w:t>The list is waiting when people arrive. If the server is down at that time, the email goes out when it's back the same day.</w:t>
            </w:r>
          </w:p>
        </w:tc>
      </w:tr>
      <w:tr>
        <w:tc>
          <w:tcPr>
            <w:tcW w:type="dxa" w:w="1728"/>
          </w:tcPr>
          <w:p>
            <w:r>
              <w:t>Weekly summary day</w:t>
            </w:r>
          </w:p>
        </w:tc>
        <w:tc>
          <w:tcPr>
            <w:tcW w:type="dxa" w:w="1728"/>
          </w:tcPr>
          <w:p>
            <w:r>
              <w:t>The day WeeklySummary goes out.</w:t>
            </w:r>
          </w:p>
        </w:tc>
        <w:tc>
          <w:tcPr>
            <w:tcW w:type="dxa" w:w="1728"/>
          </w:tcPr>
          <w:p>
            <w:r>
              <w:t>Mon</w:t>
            </w:r>
          </w:p>
        </w:tc>
        <w:tc>
          <w:tcPr>
            <w:tcW w:type="dxa" w:w="1728"/>
          </w:tcPr>
          <w:p>
            <w:r>
              <w:t>The first working day of your week</w:t>
            </w:r>
          </w:p>
        </w:tc>
        <w:tc>
          <w:tcPr>
            <w:tcW w:type="dxa" w:w="1728"/>
          </w:tcPr>
          <w:p>
            <w:r>
              <w:t>Starts the week with last week's progress.</w:t>
            </w:r>
          </w:p>
        </w:tc>
      </w:tr>
      <w:tr>
        <w:tc>
          <w:tcPr>
            <w:tcW w:type="dxa" w:w="1728"/>
          </w:tcPr>
          <w:p>
            <w:r>
              <w:t>Weekly summary time</w:t>
            </w:r>
          </w:p>
        </w:tc>
        <w:tc>
          <w:tcPr>
            <w:tcW w:type="dxa" w:w="1728"/>
          </w:tcPr>
          <w:p>
            <w:r>
              <w:t>The time it goes out that day, server local time.</w:t>
            </w:r>
          </w:p>
        </w:tc>
        <w:tc>
          <w:tcPr>
            <w:tcW w:type="dxa" w:w="1728"/>
          </w:tcPr>
          <w:p>
            <w:r>
              <w:t>07:00</w:t>
            </w:r>
          </w:p>
        </w:tc>
        <w:tc>
          <w:tcPr>
            <w:tcW w:type="dxa" w:w="1728"/>
          </w:tcPr>
          <w:p>
            <w:r>
              <w:t>Same as the daily digest</w:t>
            </w:r>
          </w:p>
        </w:tc>
        <w:tc>
          <w:tcPr>
            <w:tcW w:type="dxa" w:w="1728"/>
          </w:tcPr>
          <w:p>
            <w:r>
              <w:t>One time is easier to remember.</w:t>
            </w:r>
          </w:p>
        </w:tc>
      </w:tr>
    </w:tbl>
    <w:p/>
    <w:p>
      <w:r>
        <w:t xml:space="preserve">Click </w:t>
      </w:r>
      <w:r>
        <w:rPr>
          <w:b/>
        </w:rPr>
        <w:t>Save Schedule</w:t>
      </w:r>
      <w:r>
        <w:t xml:space="preserve"> to save the schedule; it is saved separately from the SMTP settings, and every change is recorded in the audit log. Each scheduled email goes out once per day or week, even if the API restarts.</w:t>
      </w:r>
    </w:p>
    <w:p>
      <w:pPr>
        <w:pStyle w:val="Heading2"/>
      </w:pPr>
      <w:r>
        <w:t>Recipients and testing</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or give each type a target role; with neither, alerts go nowhere.</w:t>
      </w:r>
    </w:p>
    <w:p>
      <w:r>
        <w:rPr>
          <w:b/>
        </w:rPr>
        <w:t>Send Test Email</w:t>
      </w:r>
      <w:r>
        <w:t xml:space="preserve"> sends a real message to every active recipient using the saved settings. Use it after every SMTP change. Each test is recorded in the Audit Log as a </w:t>
      </w:r>
      <w:r>
        <w:rPr>
          <w:rFonts w:ascii="Consolas" w:hAnsi="Consolas"/>
          <w:sz w:val="19"/>
        </w:rPr>
        <w:t>ConnectionTest</w:t>
      </w:r>
      <w:r>
        <w:t xml:space="preserve"> event, with the authentication method and whether it worked. A failed OAuth2 test says what went wrong, for example "Token endpoint returned invalid_client".</w:t>
      </w:r>
    </w:p>
    <w:p>
      <w:pPr>
        <w:pStyle w:val="Heading1"/>
      </w:pPr>
      <w:r>
        <w:t>8. SIEM Forwarding</w:t>
      </w:r>
    </w:p>
    <w:p>
      <w:r>
        <w:rPr>
          <w:b/>
        </w:rPr>
        <w:t>Admin &gt; SIEM Forwarding</w:t>
      </w:r>
      <w:r>
        <w:t xml:space="preserve"> (permission </w:t>
      </w:r>
      <w:r>
        <w:rPr>
          <w:rFonts w:ascii="Consolas" w:hAnsi="Consolas"/>
          <w:sz w:val="19"/>
        </w:rPr>
        <w:t>ManageApplicationConfiguration</w:t>
      </w:r>
      <w:r>
        <w:t>, the same as the audit settings on Global Application Configuration). Sends every new audit log event to your SIEM's syslog collector as a CEF (Common Event Format) message inside RFC 5424 syslog, over TLS or TCP, within a few seconds. Off on a new install.</w:t>
      </w:r>
    </w:p>
    <w:p>
      <w:r>
        <w:rPr>
          <w:b/>
        </w:rPr>
        <w:t>What is sent.</w:t>
      </w:r>
      <w:r>
        <w:t xml:space="preserve"> Only events written after forwarding is turned on; older events aren't sent. If forwarding is turned off and on again, it starts again from then. Events wait in the database while the collector can't be reached and go out, oldest first, when it's back; after an API restart forwarding carries on where it stopped. Each event goes out at least once: after a failure a batch is sent again whole, so the SIEM may occasionally see an event twice (the same </w:t>
      </w:r>
      <w:r>
        <w:rPr>
          <w:rFonts w:ascii="Consolas" w:hAnsi="Consolas"/>
          <w:sz w:val="19"/>
        </w:rPr>
        <w:t>externalId</w:t>
      </w:r>
      <w:r>
        <w:t>). While forwarding is on, the Audit Log Purge job keeps events not yet sent, however old.</w:t>
      </w:r>
    </w:p>
    <w:p>
      <w:pPr>
        <w:pStyle w:val="Heading2"/>
      </w:pPr>
      <w:r>
        <w:t>Collector and TLS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Forward the audit log to the SIEM</w:t>
            </w:r>
          </w:p>
        </w:tc>
        <w:tc>
          <w:tcPr>
            <w:tcW w:type="dxa" w:w="1728"/>
          </w:tcPr>
          <w:p>
            <w:r>
              <w:t>Turns forwarding on or off. Needs a Host.</w:t>
            </w:r>
          </w:p>
        </w:tc>
        <w:tc>
          <w:tcPr>
            <w:tcW w:type="dxa" w:w="1728"/>
          </w:tcPr>
          <w:p>
            <w:r>
              <w:t>Off</w:t>
            </w:r>
          </w:p>
        </w:tc>
        <w:tc>
          <w:tcPr>
            <w:tcW w:type="dxa" w:w="1728"/>
          </w:tcPr>
          <w:p>
            <w:r>
              <w:t xml:space="preserve">On, once </w:t>
            </w:r>
            <w:r>
              <w:rPr>
                <w:b/>
              </w:rPr>
              <w:t>Send Test Event</w:t>
            </w:r>
            <w:r>
              <w:t xml:space="preserve"> works</w:t>
            </w:r>
          </w:p>
        </w:tc>
        <w:tc>
          <w:tcPr>
            <w:tcW w:type="dxa" w:w="1728"/>
          </w:tcPr>
          <w:p>
            <w:r>
              <w:t>Keeps a copy of the audit trail outside BlueTrack's database, where BlueTrack's administrators can't change it.</w:t>
            </w:r>
          </w:p>
        </w:tc>
      </w:tr>
      <w:tr>
        <w:tc>
          <w:tcPr>
            <w:tcW w:type="dxa" w:w="1728"/>
          </w:tcPr>
          <w:p>
            <w:r>
              <w:t>Host</w:t>
            </w:r>
          </w:p>
        </w:tc>
        <w:tc>
          <w:tcPr>
            <w:tcW w:type="dxa" w:w="1728"/>
          </w:tcPr>
          <w:p>
            <w:r>
              <w:t>The collector's host name or IP address.</w:t>
            </w:r>
          </w:p>
        </w:tc>
        <w:tc>
          <w:tcPr>
            <w:tcW w:type="dxa" w:w="1728"/>
          </w:tcPr>
          <w:p>
            <w:r>
              <w:t>Blank</w:t>
            </w:r>
          </w:p>
        </w:tc>
        <w:tc>
          <w:tcPr>
            <w:tcW w:type="dxa" w:w="1728"/>
          </w:tcPr>
          <w:p>
            <w:r>
              <w:t>The collector's DNS name</w:t>
            </w:r>
          </w:p>
        </w:tc>
        <w:tc>
          <w:tcPr>
            <w:tcW w:type="dxa" w:w="1728"/>
          </w:tcPr>
          <w:p>
            <w:r>
              <w:t>A name matches the certificate the collector presents over TLS.</w:t>
            </w:r>
          </w:p>
        </w:tc>
      </w:tr>
      <w:tr>
        <w:tc>
          <w:tcPr>
            <w:tcW w:type="dxa" w:w="1728"/>
          </w:tcPr>
          <w:p>
            <w:r>
              <w:t>Transport</w:t>
            </w:r>
          </w:p>
        </w:tc>
        <w:tc>
          <w:tcPr>
            <w:tcW w:type="dxa" w:w="1728"/>
          </w:tcPr>
          <w:p>
            <w:r>
              <w:rPr>
                <w:b/>
              </w:rPr>
              <w:t>TLS (RFC 5425)</w:t>
            </w:r>
            <w:r>
              <w:t xml:space="preserve"> or </w:t>
            </w:r>
            <w:r>
              <w:rPr>
                <w:b/>
              </w:rPr>
              <w:t>TCP, not encrypted (RFC 6587)</w:t>
            </w:r>
            <w:r>
              <w:t>. There is no UDP.</w:t>
            </w:r>
          </w:p>
        </w:tc>
        <w:tc>
          <w:tcPr>
            <w:tcW w:type="dxa" w:w="1728"/>
          </w:tcPr>
          <w:p>
            <w:r>
              <w:t>TLS</w:t>
            </w:r>
          </w:p>
        </w:tc>
        <w:tc>
          <w:tcPr>
            <w:tcW w:type="dxa" w:w="1728"/>
          </w:tcPr>
          <w:p>
            <w:r>
              <w:t>TLS</w:t>
            </w:r>
          </w:p>
        </w:tc>
        <w:tc>
          <w:tcPr>
            <w:tcW w:type="dxa" w:w="1728"/>
          </w:tcPr>
          <w:p>
            <w:r>
              <w:t>Audit events name users, accounts and addresses; TCP sends them in clear text.</w:t>
            </w:r>
          </w:p>
        </w:tc>
      </w:tr>
      <w:tr>
        <w:tc>
          <w:tcPr>
            <w:tcW w:type="dxa" w:w="1728"/>
          </w:tcPr>
          <w:p>
            <w:r>
              <w:t>Port</w:t>
            </w:r>
          </w:p>
        </w:tc>
        <w:tc>
          <w:tcPr>
            <w:tcW w:type="dxa" w:w="1728"/>
          </w:tcPr>
          <w:p>
            <w:r>
              <w:t>1-65535. Changing the transport switches between the default ports.</w:t>
            </w:r>
          </w:p>
        </w:tc>
        <w:tc>
          <w:tcPr>
            <w:tcW w:type="dxa" w:w="1728"/>
          </w:tcPr>
          <w:p>
            <w:r>
              <w:t>6514 (TLS), 514 (TCP)</w:t>
            </w:r>
          </w:p>
        </w:tc>
        <w:tc>
          <w:tcPr>
            <w:tcW w:type="dxa" w:w="1728"/>
          </w:tcPr>
          <w:p>
            <w:r>
              <w:t>Your collector's port</w:t>
            </w:r>
          </w:p>
        </w:tc>
        <w:tc>
          <w:tcPr>
            <w:tcW w:type="dxa" w:w="1728"/>
          </w:tcPr>
          <w:p>
            <w:r>
              <w:t>6514 is the registered syslog-over-TLS port.</w:t>
            </w:r>
          </w:p>
        </w:tc>
      </w:tr>
      <w:tr>
        <w:tc>
          <w:tcPr>
            <w:tcW w:type="dxa" w:w="1728"/>
          </w:tcPr>
          <w:p>
            <w:r>
              <w:t>Framing</w:t>
            </w:r>
          </w:p>
        </w:tc>
        <w:tc>
          <w:tcPr>
            <w:tcW w:type="dxa" w:w="1728"/>
          </w:tcPr>
          <w:p>
            <w:r>
              <w:rPr>
                <w:b/>
              </w:rPr>
              <w:t>Octet counting</w:t>
            </w:r>
            <w:r>
              <w:t xml:space="preserve"> (each message preceded by its length) or </w:t>
            </w:r>
            <w:r>
              <w:rPr>
                <w:b/>
              </w:rPr>
              <w:t>Line feed</w:t>
            </w:r>
            <w:r>
              <w:t xml:space="preserve"> after each message.</w:t>
            </w:r>
          </w:p>
        </w:tc>
        <w:tc>
          <w:tcPr>
            <w:tcW w:type="dxa" w:w="1728"/>
          </w:tcPr>
          <w:p>
            <w:r>
              <w:t>Octet counting</w:t>
            </w:r>
          </w:p>
        </w:tc>
        <w:tc>
          <w:tcPr>
            <w:tcW w:type="dxa" w:w="1728"/>
          </w:tcPr>
          <w:p>
            <w:r>
              <w:t>Octet counting, unless your collector needs line feed</w:t>
            </w:r>
          </w:p>
        </w:tc>
        <w:tc>
          <w:tcPr>
            <w:tcW w:type="dxa" w:w="1728"/>
          </w:tcPr>
          <w:p>
            <w:r>
              <w:t>RFC 5425 specifies octet counting for TLS, and it can't be confused by the message's content.</w:t>
            </w:r>
          </w:p>
        </w:tc>
      </w:tr>
      <w:tr>
        <w:tc>
          <w:tcPr>
            <w:tcW w:type="dxa" w:w="1728"/>
          </w:tcPr>
          <w:p>
            <w:r>
              <w:t>Trust the collector's certificate by</w:t>
            </w:r>
          </w:p>
        </w:tc>
        <w:tc>
          <w:tcPr>
            <w:tcW w:type="dxa" w:w="1728"/>
          </w:tcPr>
          <w:p>
            <w:r>
              <w:rPr>
                <w:b/>
              </w:rPr>
              <w:t>The Windows trust store</w:t>
            </w:r>
            <w:r>
              <w:t xml:space="preserve"> (the certificate must chain to a CA the server trusts and name the Host); </w:t>
            </w:r>
            <w:r>
              <w:rPr>
                <w:b/>
              </w:rPr>
              <w:t>Its fingerprint</w:t>
            </w:r>
            <w:r>
              <w:t xml:space="preserve"> (exactly this certificate, for a self-signed collector); </w:t>
            </w:r>
            <w:r>
              <w:rPr>
                <w:b/>
              </w:rPr>
              <w:t>A CA certificate given here</w:t>
            </w:r>
            <w:r>
              <w:t xml:space="preserve"> (paste the CA's PEM; only that CA is trusted, and the certificate must name the Host). TLS only.</w:t>
            </w:r>
          </w:p>
        </w:tc>
        <w:tc>
          <w:tcPr>
            <w:tcW w:type="dxa" w:w="1728"/>
          </w:tcPr>
          <w:p>
            <w:r>
              <w:t>The Windows trust store</w:t>
            </w:r>
          </w:p>
        </w:tc>
        <w:tc>
          <w:tcPr>
            <w:tcW w:type="dxa" w:w="1728"/>
          </w:tcPr>
          <w:p>
            <w:r>
              <w:t>The trust store, or your internal CA</w:t>
            </w:r>
          </w:p>
        </w:tc>
        <w:tc>
          <w:tcPr>
            <w:tcW w:type="dxa" w:w="1728"/>
          </w:tcPr>
          <w:p>
            <w:r>
              <w:t>Fingerprint pinning works, but must be updated whenever the collector's certificate is renewed.</w:t>
            </w:r>
          </w:p>
        </w:tc>
      </w:tr>
      <w:tr>
        <w:tc>
          <w:tcPr>
            <w:tcW w:type="dxa" w:w="1728"/>
          </w:tcPr>
          <w:p>
            <w:r>
              <w:t>Certificate fingerprint</w:t>
            </w:r>
          </w:p>
        </w:tc>
        <w:tc>
          <w:tcPr>
            <w:tcW w:type="dxa" w:w="1728"/>
          </w:tcPr>
          <w:p>
            <w:r>
              <w:t xml:space="preserve">The collector certificate's SHA-256 (64 hex digits) or SHA-1 (40), with or without colons, optionally starting </w:t>
            </w:r>
            <w:r>
              <w:rPr>
                <w:rFonts w:ascii="Consolas" w:hAnsi="Consolas"/>
                <w:sz w:val="19"/>
              </w:rPr>
              <w:t>sha-256:</w:t>
            </w:r>
            <w:r>
              <w:t xml:space="preserve"> or </w:t>
            </w:r>
            <w:r>
              <w:rPr>
                <w:rFonts w:ascii="Consolas" w:hAnsi="Consolas"/>
                <w:sz w:val="19"/>
              </w:rPr>
              <w:t>sha-1:</w:t>
            </w:r>
            <w:r>
              <w:t>.</w:t>
            </w:r>
          </w:p>
        </w:tc>
        <w:tc>
          <w:tcPr>
            <w:tcW w:type="dxa" w:w="1728"/>
          </w:tcPr>
          <w:p>
            <w:r>
              <w:t>Blank</w:t>
            </w:r>
          </w:p>
        </w:tc>
        <w:tc>
          <w:tcPr>
            <w:tcW w:type="dxa" w:w="1728"/>
          </w:tcPr>
          <w:p>
            <w:r>
              <w:t>SHA-256</w:t>
            </w:r>
          </w:p>
        </w:tc>
        <w:tc>
          <w:tcPr>
            <w:tcW w:type="dxa" w:w="1728"/>
          </w:tcPr>
          <w:p>
            <w:r>
              <w:t>SHA-1 is accepted because RFC 5425 requires it, but SHA-256 is stronger.</w:t>
            </w:r>
          </w:p>
        </w:tc>
      </w:tr>
      <w:tr>
        <w:tc>
          <w:tcPr>
            <w:tcW w:type="dxa" w:w="1728"/>
          </w:tcPr>
          <w:p>
            <w:r>
              <w:t>CA certificate (PEM)</w:t>
            </w:r>
          </w:p>
        </w:tc>
        <w:tc>
          <w:tcPr>
            <w:tcW w:type="dxa" w:w="1728"/>
          </w:tcPr>
          <w:p>
            <w:r>
              <w:t xml:space="preserve">The CA that issued the collector's certificate, </w:t>
            </w:r>
            <w:r>
              <w:rPr>
                <w:rFonts w:ascii="Consolas" w:hAnsi="Consolas"/>
                <w:sz w:val="19"/>
              </w:rPr>
              <w:t>-----BEGIN CERTIFICATE-----</w:t>
            </w:r>
            <w:r>
              <w:t xml:space="preserve"> to </w:t>
            </w:r>
            <w:r>
              <w:rPr>
                <w:rFonts w:ascii="Consolas" w:hAnsi="Consolas"/>
                <w:sz w:val="19"/>
              </w:rPr>
              <w:t>-----END CERTIFICATE-----</w:t>
            </w:r>
            <w:r>
              <w:t>.</w:t>
            </w:r>
          </w:p>
        </w:tc>
        <w:tc>
          <w:tcPr>
            <w:tcW w:type="dxa" w:w="1728"/>
          </w:tcPr>
          <w:p>
            <w:r>
              <w:t>Blank</w:t>
            </w:r>
          </w:p>
        </w:tc>
        <w:tc>
          <w:tcPr>
            <w:tcW w:type="dxa" w:w="1728"/>
          </w:tcPr>
          <w:p>
            <w:r>
              <w:t>Your issuing CA</w:t>
            </w:r>
          </w:p>
        </w:tc>
        <w:tc>
          <w:tcPr>
            <w:tcW w:type="dxa" w:w="1728"/>
          </w:tcPr>
          <w:p>
            <w:r>
              <w:t>Trusts only that CA, not everything in the Windows store.</w:t>
            </w:r>
          </w:p>
        </w:tc>
      </w:tr>
      <w:tr>
        <w:tc>
          <w:tcPr>
            <w:tcW w:type="dxa" w:w="1728"/>
          </w:tcPr>
          <w:p>
            <w:r>
              <w:t>Check certificate revocation</w:t>
            </w:r>
          </w:p>
        </w:tc>
        <w:tc>
          <w:tcPr>
            <w:tcW w:type="dxa" w:w="1728"/>
          </w:tcPr>
          <w:p>
            <w:r>
              <w:t>Checks online whether the certificate was revoked (not with a fingerprint).</w:t>
            </w:r>
          </w:p>
        </w:tc>
        <w:tc>
          <w:tcPr>
            <w:tcW w:type="dxa" w:w="1728"/>
          </w:tcPr>
          <w:p>
            <w:r>
              <w:t>On</w:t>
            </w:r>
          </w:p>
        </w:tc>
        <w:tc>
          <w:tcPr>
            <w:tcW w:type="dxa" w:w="1728"/>
          </w:tcPr>
          <w:p>
            <w:r>
              <w:t>On</w:t>
            </w:r>
          </w:p>
        </w:tc>
        <w:tc>
          <w:tcPr>
            <w:tcW w:type="dxa" w:w="1728"/>
          </w:tcPr>
          <w:p>
            <w:r>
              <w:t>Turn it off only if the server can't reach the CA's revocation list and you accept the risk; a check that can't complete fails the connection.</w:t>
            </w:r>
          </w:p>
        </w:tc>
      </w:tr>
    </w:tbl>
    <w:p/>
    <w:p>
      <w:r>
        <w:t>There's no option to ignore certificate errors. For a collector with a self-signed certificate, pin its fingerprint.</w:t>
      </w:r>
    </w:p>
    <w:p>
      <w:pPr>
        <w:pStyle w:val="Heading2"/>
      </w:pPr>
      <w:r>
        <w:t>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Syslog facility</w:t>
            </w:r>
          </w:p>
        </w:tc>
        <w:tc>
          <w:tcPr>
            <w:tcW w:type="dxa" w:w="1728"/>
          </w:tcPr>
          <w:p>
            <w:r>
              <w:t>The syslog facility (0-23) in each message's priority.</w:t>
            </w:r>
          </w:p>
        </w:tc>
        <w:tc>
          <w:tcPr>
            <w:tcW w:type="dxa" w:w="1728"/>
          </w:tcPr>
          <w:p>
            <w:r>
              <w:t>20 - local4</w:t>
            </w:r>
          </w:p>
        </w:tc>
        <w:tc>
          <w:tcPr>
            <w:tcW w:type="dxa" w:w="1728"/>
          </w:tcPr>
          <w:p>
            <w:r>
              <w:t>What your SIEM routes on</w:t>
            </w:r>
          </w:p>
        </w:tc>
        <w:tc>
          <w:tcPr>
            <w:tcW w:type="dxa" w:w="1728"/>
          </w:tcPr>
          <w:p>
            <w:r>
              <w:t>local0-7 are meant for local use, so they don't collide with the operating system's own messages.</w:t>
            </w:r>
          </w:p>
        </w:tc>
      </w:tr>
      <w:tr>
        <w:tc>
          <w:tcPr>
            <w:tcW w:type="dxa" w:w="1728"/>
          </w:tcPr>
          <w:p>
            <w:r>
              <w:t>Syslog host name</w:t>
            </w:r>
          </w:p>
        </w:tc>
        <w:tc>
          <w:tcPr>
            <w:tcW w:type="dxa" w:w="1728"/>
          </w:tcPr>
          <w:p>
            <w:r>
              <w:t>The HOSTNAME in each message. Blank uses this server's full name.</w:t>
            </w:r>
          </w:p>
        </w:tc>
        <w:tc>
          <w:tcPr>
            <w:tcW w:type="dxa" w:w="1728"/>
          </w:tcPr>
          <w:p>
            <w:r>
              <w:t>Blank</w:t>
            </w:r>
          </w:p>
        </w:tc>
        <w:tc>
          <w:tcPr>
            <w:tcW w:type="dxa" w:w="1728"/>
          </w:tcPr>
          <w:p>
            <w:r>
              <w:t>Blank, unless several servers should report as one name</w:t>
            </w:r>
          </w:p>
        </w:tc>
        <w:tc>
          <w:tcPr>
            <w:tcW w:type="dxa" w:w="1728"/>
          </w:tcPr>
          <w:p>
            <w:r>
              <w:t>The SIEM shows where the events came from.</w:t>
            </w:r>
          </w:p>
        </w:tc>
      </w:tr>
      <w:tr>
        <w:tc>
          <w:tcPr>
            <w:tcW w:type="dxa" w:w="1728"/>
          </w:tcPr>
          <w:p>
            <w:r>
              <w:t>App name</w:t>
            </w:r>
          </w:p>
        </w:tc>
        <w:tc>
          <w:tcPr>
            <w:tcW w:type="dxa" w:w="1728"/>
          </w:tcPr>
          <w:p>
            <w:r>
              <w:t>The APP-NAME in each message; up to 48 characters, no spaces.</w:t>
            </w:r>
          </w:p>
        </w:tc>
        <w:tc>
          <w:tcPr>
            <w:tcW w:type="dxa" w:w="1728"/>
          </w:tcPr>
          <w:p>
            <w:r>
              <w:t>BlueTrack</w:t>
            </w:r>
          </w:p>
        </w:tc>
        <w:tc>
          <w:tcPr>
            <w:tcW w:type="dxa" w:w="1728"/>
          </w:tcPr>
          <w:p>
            <w:r>
              <w:t>BlueTrack</w:t>
            </w:r>
          </w:p>
        </w:tc>
        <w:tc>
          <w:tcPr>
            <w:tcW w:type="dxa" w:w="1728"/>
          </w:tcPr>
          <w:p>
            <w:r>
              <w:t>Lets SIEM rules pick out BlueTrack's events.</w:t>
            </w:r>
          </w:p>
        </w:tc>
      </w:tr>
      <w:tr>
        <w:tc>
          <w:tcPr>
            <w:tcW w:type="dxa" w:w="1728"/>
          </w:tcPr>
          <w:p>
            <w:r>
              <w:t>Timeout (seconds)</w:t>
            </w:r>
          </w:p>
        </w:tc>
        <w:tc>
          <w:tcPr>
            <w:tcW w:type="dxa" w:w="1728"/>
          </w:tcPr>
          <w:p>
            <w:r>
              <w:t>How long to wait to connect, for the TLS handshake and for each write. 1-120.</w:t>
            </w:r>
          </w:p>
        </w:tc>
        <w:tc>
          <w:tcPr>
            <w:tcW w:type="dxa" w:w="1728"/>
          </w:tcPr>
          <w:p>
            <w:r>
              <w:t>10</w:t>
            </w:r>
          </w:p>
        </w:tc>
        <w:tc>
          <w:tcPr>
            <w:tcW w:type="dxa" w:w="1728"/>
          </w:tcPr>
          <w:p>
            <w:r>
              <w:t>10</w:t>
            </w:r>
          </w:p>
        </w:tc>
        <w:tc>
          <w:tcPr>
            <w:tcW w:type="dxa" w:w="1728"/>
          </w:tcPr>
          <w:p>
            <w:r>
              <w:t>Long enough for a remote collector; a dead one is noticed quickly.</w:t>
            </w:r>
          </w:p>
        </w:tc>
      </w:tr>
      <w:tr>
        <w:tc>
          <w:tcPr>
            <w:tcW w:type="dxa" w:w="1728"/>
          </w:tcPr>
          <w:p>
            <w:r>
              <w:t>Largest message (bytes)</w:t>
            </w:r>
          </w:p>
        </w:tc>
        <w:tc>
          <w:tcPr>
            <w:tcW w:type="dxa" w:w="1728"/>
          </w:tcPr>
          <w:p>
            <w:r>
              <w:t>2048-65535. A longer message drops its field-change summary first, then has its detail and reason shortened.</w:t>
            </w:r>
          </w:p>
        </w:tc>
        <w:tc>
          <w:tcPr>
            <w:tcW w:type="dxa" w:w="1728"/>
          </w:tcPr>
          <w:p>
            <w:r>
              <w:t>8192</w:t>
            </w:r>
          </w:p>
        </w:tc>
        <w:tc>
          <w:tcPr>
            <w:tcW w:type="dxa" w:w="1728"/>
          </w:tcPr>
          <w:p>
            <w:r>
              <w:t>8192, or what your collector accepts</w:t>
            </w:r>
          </w:p>
        </w:tc>
        <w:tc>
          <w:tcPr>
            <w:tcW w:type="dxa" w:w="1728"/>
          </w:tcPr>
          <w:p>
            <w:r>
              <w:t>RFC 5425 says collectors should accept 8192 bytes and must accept 2048.</w:t>
            </w:r>
          </w:p>
        </w:tc>
      </w:tr>
    </w:tbl>
    <w:p/>
    <w:p>
      <w:r>
        <w:rPr>
          <w:b/>
        </w:rPr>
        <w:t>Each message</w:t>
      </w:r>
      <w:r>
        <w:t xml:space="preserve"> holds: the time (UTC, to the millisecond), vendor and product </w:t>
      </w:r>
      <w:r>
        <w:rPr>
          <w:rFonts w:ascii="Consolas" w:hAnsi="Consolas"/>
          <w:sz w:val="19"/>
        </w:rPr>
        <w:t>BlueTrack</w:t>
      </w:r>
      <w:r>
        <w:t>, the BlueTrack version, the event type (as the CEF signature ID and the syslog MSGID), its description, the severity, and as CEF fields the audit event number (</w:t>
      </w:r>
      <w:r>
        <w:rPr>
          <w:rFonts w:ascii="Consolas" w:hAnsi="Consolas"/>
          <w:sz w:val="19"/>
        </w:rPr>
        <w:t>externalId</w:t>
      </w:r>
      <w:r>
        <w:t>), the user (</w:t>
      </w:r>
      <w:r>
        <w:rPr>
          <w:rFonts w:ascii="Consolas" w:hAnsi="Consolas"/>
          <w:sz w:val="19"/>
        </w:rPr>
        <w:t>suser</w:t>
      </w:r>
      <w:r>
        <w:t xml:space="preserve">, </w:t>
      </w:r>
      <w:r>
        <w:rPr>
          <w:rFonts w:ascii="Consolas" w:hAnsi="Consolas"/>
          <w:sz w:val="19"/>
        </w:rPr>
        <w:t>suid</w:t>
      </w:r>
      <w:r>
        <w:t>), the source IP address (</w:t>
      </w:r>
      <w:r>
        <w:rPr>
          <w:rFonts w:ascii="Consolas" w:hAnsi="Consolas"/>
          <w:sz w:val="19"/>
        </w:rPr>
        <w:t>src</w:t>
      </w:r>
      <w:r>
        <w:t xml:space="preserve">; an IPv6 address in </w:t>
      </w:r>
      <w:r>
        <w:rPr>
          <w:rFonts w:ascii="Consolas" w:hAnsi="Consolas"/>
          <w:sz w:val="19"/>
        </w:rPr>
        <w:t>c6a1</w:t>
      </w:r>
      <w:r>
        <w:t>), the entity and its key (</w:t>
      </w:r>
      <w:r>
        <w:rPr>
          <w:rFonts w:ascii="Consolas" w:hAnsi="Consolas"/>
          <w:sz w:val="19"/>
        </w:rPr>
        <w:t>cs1</w:t>
      </w:r>
      <w:r>
        <w:t xml:space="preserve">, </w:t>
      </w:r>
      <w:r>
        <w:rPr>
          <w:rFonts w:ascii="Consolas" w:hAnsi="Consolas"/>
          <w:sz w:val="19"/>
        </w:rPr>
        <w:t>cs2</w:t>
      </w:r>
      <w:r>
        <w:t>), a summary of the field changes (</w:t>
      </w:r>
      <w:r>
        <w:rPr>
          <w:rFonts w:ascii="Consolas" w:hAnsi="Consolas"/>
          <w:sz w:val="19"/>
        </w:rPr>
        <w:t>cs3</w:t>
      </w:r>
      <w:r>
        <w:t>, up to 1,000 characters), the reason and the detail (</w:t>
      </w:r>
      <w:r>
        <w:rPr>
          <w:rFonts w:ascii="Consolas" w:hAnsi="Consolas"/>
          <w:sz w:val="19"/>
        </w:rPr>
        <w:t>msg</w:t>
      </w:r>
      <w:r>
        <w:t>, up to 1,023 characters).</w:t>
      </w:r>
    </w:p>
    <w:p>
      <w:pPr>
        <w:pStyle w:val="Heading2"/>
      </w:pPr>
      <w:r>
        <w:t>Event types</w:t>
      </w:r>
    </w:p>
    <w:p>
      <w:r>
        <w:t xml:space="preserve">Each audit event type has a </w:t>
      </w:r>
      <w:r>
        <w:rPr>
          <w:b/>
        </w:rPr>
        <w:t>Forward</w:t>
      </w:r>
      <w:r>
        <w:t xml:space="preserve"> tick box and a </w:t>
      </w:r>
      <w:r>
        <w:rPr>
          <w:b/>
        </w:rPr>
        <w:t>Severity</w:t>
      </w:r>
      <w:r>
        <w:t xml:space="preserve"> (CEF, 0-10: 0-3 low, 4-6 medium, 7-8 high, 9-10 very high). All are forwarded on a new install. The syslog severity follows: 0-3 Informational, 4-6 Notice, 7-8 Warning, 9-10 Critical. </w:t>
      </w:r>
      <w:r>
        <w:rPr>
          <w:b/>
        </w:rPr>
        <w:t>Forward All</w:t>
      </w:r>
      <w:r>
        <w:t xml:space="preserve"> and </w:t>
      </w:r>
      <w:r>
        <w:rPr>
          <w:b/>
        </w:rPr>
        <w:t>Forward None</w:t>
      </w:r>
      <w:r>
        <w:t xml:space="preserve"> tick or clear every row.</w:t>
      </w:r>
    </w:p>
    <w:tbl>
      <w:tblPr>
        <w:tblStyle w:val="TableGrid"/>
        <w:tblW w:type="auto" w:w="0"/>
        <w:tblLook w:firstColumn="1" w:firstRow="1" w:lastColumn="0" w:lastRow="0" w:noHBand="0" w:noVBand="1" w:val="04A0"/>
      </w:tblPr>
      <w:tblGrid>
        <w:gridCol w:w="4320"/>
        <w:gridCol w:w="4320"/>
      </w:tblGrid>
      <w:tr>
        <w:tc>
          <w:tcPr>
            <w:tcW w:type="dxa" w:w="4320"/>
          </w:tcPr>
          <w:p>
            <w:r>
              <w:rPr>
                <w:b/>
              </w:rPr>
              <w:t>Event type</w:t>
            </w:r>
          </w:p>
        </w:tc>
        <w:tc>
          <w:tcPr>
            <w:tcW w:type="dxa" w:w="4320"/>
          </w:tcPr>
          <w:p>
            <w:r>
              <w:rPr>
                <w:b/>
              </w:rPr>
              <w:t>Default severity</w:t>
            </w:r>
          </w:p>
        </w:tc>
      </w:tr>
      <w:tr>
        <w:tc>
          <w:tcPr>
            <w:tcW w:type="dxa" w:w="4320"/>
          </w:tcPr>
          <w:p>
            <w:r>
              <w:t>BreakGlassLogon</w:t>
            </w:r>
          </w:p>
        </w:tc>
        <w:tc>
          <w:tcPr>
            <w:tcW w:type="dxa" w:w="4320"/>
          </w:tcPr>
          <w:p>
            <w:r>
              <w:t>8</w:t>
            </w:r>
          </w:p>
        </w:tc>
      </w:tr>
      <w:tr>
        <w:tc>
          <w:tcPr>
            <w:tcW w:type="dxa" w:w="4320"/>
          </w:tcPr>
          <w:p>
            <w:r>
              <w:t>LogonFailed</w:t>
            </w:r>
          </w:p>
        </w:tc>
        <w:tc>
          <w:tcPr>
            <w:tcW w:type="dxa" w:w="4320"/>
          </w:tcPr>
          <w:p>
            <w:r>
              <w:t>6</w:t>
            </w:r>
          </w:p>
        </w:tc>
      </w:tr>
      <w:tr>
        <w:tc>
          <w:tcPr>
            <w:tcW w:type="dxa" w:w="4320"/>
          </w:tcPr>
          <w:p>
            <w:r>
              <w:t>ExceptionApproved, ExceptionReviewExtended, ExceptionRevoked, ExceptionImported, ProviderConfigChanged, ReloadRights, AccountDeleted, AccountUndeleted, ConnectionTest, ReportExport</w:t>
            </w:r>
          </w:p>
        </w:tc>
        <w:tc>
          <w:tcPr>
            <w:tcW w:type="dxa" w:w="4320"/>
          </w:tcPr>
          <w:p>
            <w:r>
              <w:t>5</w:t>
            </w:r>
          </w:p>
        </w:tc>
      </w:tr>
      <w:tr>
        <w:tc>
          <w:tcPr>
            <w:tcW w:type="dxa" w:w="4320"/>
          </w:tcPr>
          <w:p>
            <w:r>
              <w:t>BulkEdit</w:t>
            </w:r>
          </w:p>
        </w:tc>
        <w:tc>
          <w:tcPr>
            <w:tcW w:type="dxa" w:w="4320"/>
          </w:tcPr>
          <w:p>
            <w:r>
              <w:t>4</w:t>
            </w:r>
          </w:p>
        </w:tc>
      </w:tr>
      <w:tr>
        <w:tc>
          <w:tcPr>
            <w:tcW w:type="dxa" w:w="4320"/>
          </w:tcPr>
          <w:p>
            <w:r>
              <w:t>Logon, FieldEdit, EntitlementMemberResolution, AccountClassification</w:t>
            </w:r>
          </w:p>
        </w:tc>
        <w:tc>
          <w:tcPr>
            <w:tcW w:type="dxa" w:w="4320"/>
          </w:tcPr>
          <w:p>
            <w:r>
              <w:t>3</w:t>
            </w:r>
          </w:p>
        </w:tc>
      </w:tr>
      <w:tr>
        <w:tc>
          <w:tcPr>
            <w:tcW w:type="dxa" w:w="4320"/>
          </w:tcPr>
          <w:p>
            <w:r>
              <w:t>RecordViewed</w:t>
            </w:r>
          </w:p>
        </w:tc>
        <w:tc>
          <w:tcPr>
            <w:tcW w:type="dxa" w:w="4320"/>
          </w:tcPr>
          <w:p>
            <w:r>
              <w:t>1</w:t>
            </w:r>
          </w:p>
        </w:tc>
      </w:tr>
      <w:tr>
        <w:tc>
          <w:tcPr>
            <w:tcW w:type="dxa" w:w="4320"/>
          </w:tcPr>
          <w:p>
            <w:r>
              <w:t>A type added in a later version</w:t>
            </w:r>
          </w:p>
        </w:tc>
        <w:tc>
          <w:tcPr>
            <w:tcW w:type="dxa" w:w="4320"/>
          </w:tcPr>
          <w:p>
            <w:r>
              <w:t>5</w:t>
            </w:r>
          </w:p>
        </w:tc>
      </w:tr>
    </w:tbl>
    <w:p/>
    <w:p>
      <w:r>
        <w:t xml:space="preserve">Recommended: forward everything and filter in the SIEM, so nothing is missing when you need it. Settings changes on the Admin pages are recorded as </w:t>
      </w:r>
      <w:r>
        <w:rPr>
          <w:rFonts w:ascii="Consolas" w:hAnsi="Consolas"/>
          <w:sz w:val="19"/>
        </w:rPr>
        <w:t>FieldEdit</w:t>
      </w:r>
      <w:r>
        <w:t xml:space="preserve">, like data edits; raise FieldEdit's severity if your SIEM should treat them as more important. </w:t>
      </w:r>
      <w:r>
        <w:rPr>
          <w:rFonts w:ascii="Consolas" w:hAnsi="Consolas"/>
          <w:sz w:val="19"/>
        </w:rPr>
        <w:t>RecordViewed</w:t>
      </w:r>
      <w:r>
        <w:t xml:space="preserve"> events exist only when </w:t>
      </w:r>
      <w:r>
        <w:rPr>
          <w:b/>
        </w:rPr>
        <w:t>Log read/view events</w:t>
      </w:r>
      <w:r>
        <w:t xml:space="preserve"> is on (Global Application Configuration).</w:t>
      </w:r>
    </w:p>
    <w:p>
      <w:pPr>
        <w:pStyle w:val="Heading2"/>
      </w:pPr>
      <w:r>
        <w:t>Status and testing</w:t>
      </w:r>
    </w:p>
    <w:p>
      <w:r>
        <w:t xml:space="preserve">The </w:t>
      </w:r>
      <w:r>
        <w:rPr>
          <w:b/>
        </w:rPr>
        <w:t>Status</w:t>
      </w:r>
      <w:r>
        <w:t xml:space="preserve"> section shows whether forwarding is on, when an event was last sent, how many have been sent, how many are waiting and since when, the last error, and the audit event forwarding started after (times in UTC).</w:t>
      </w:r>
    </w:p>
    <w:p>
      <w:r>
        <w:rPr>
          <w:b/>
        </w:rPr>
        <w:t>Send Test Event</w:t>
      </w:r>
      <w:r>
        <w:t xml:space="preserve"> sends one test event (event type </w:t>
      </w:r>
      <w:r>
        <w:rPr>
          <w:rFonts w:ascii="Consolas" w:hAnsi="Consolas"/>
          <w:sz w:val="19"/>
        </w:rPr>
        <w:t>SiemForwardingTest</w:t>
      </w:r>
      <w:r>
        <w:t xml:space="preserve">, severity 1) with the </w:t>
      </w:r>
      <w:r>
        <w:rPr>
          <w:b/>
        </w:rPr>
        <w:t>saved</w:t>
      </w:r>
      <w:r>
        <w:t xml:space="preserve"> settings, whether forwarding is on or off, and reports success or the error. Save first, test, then turn forwarding on. Each test is recorded in the Audit Log as a </w:t>
      </w:r>
      <w:r>
        <w:rPr>
          <w:rFonts w:ascii="Consolas" w:hAnsi="Consolas"/>
          <w:sz w:val="19"/>
        </w:rPr>
        <w:t>ConnectionTest</w:t>
      </w:r>
      <w:r>
        <w:t xml:space="preserve"> event; every save as a </w:t>
      </w:r>
      <w:r>
        <w:rPr>
          <w:rFonts w:ascii="Consolas" w:hAnsi="Consolas"/>
          <w:sz w:val="19"/>
        </w:rPr>
        <w:t>FieldEdit</w:t>
      </w:r>
      <w:r>
        <w:t xml:space="preserve"> on </w:t>
      </w:r>
      <w:r>
        <w:rPr>
          <w:rFonts w:ascii="Consolas" w:hAnsi="Consolas"/>
          <w:sz w:val="19"/>
        </w:rPr>
        <w:t>siem_forwarding_config</w:t>
      </w:r>
      <w:r>
        <w:t>.</w:t>
      </w:r>
    </w:p>
    <w:p>
      <w:r>
        <w:t xml:space="preserve">The </w:t>
      </w:r>
      <w:r>
        <w:rPr>
          <w:b/>
        </w:rPr>
        <w:t>SIEM Forwarding</w:t>
      </w:r>
      <w:r>
        <w:t xml:space="preserve"> health check on </w:t>
      </w:r>
      <w:r>
        <w:rPr>
          <w:b/>
        </w:rPr>
        <w:t>Admin &gt; Deployment</w:t>
      </w:r>
      <w:r>
        <w:t xml:space="preserve"> is Degraded while forwarding is on and the last send failed, or the oldest waiting event is more than 15 minutes old. See the Operations Guide, "Monitoring SIEM forwarding".</w:t>
      </w:r>
    </w:p>
    <w:p>
      <w:pPr>
        <w:pStyle w:val="Heading1"/>
      </w:pPr>
      <w:r>
        <w:t>9. API Keys</w:t>
      </w:r>
    </w:p>
    <w:p>
      <w:r>
        <w:rPr>
          <w:b/>
        </w:rPr>
        <w:t>Admin &gt; API Keys</w:t>
      </w:r>
      <w:r>
        <w:t xml:space="preserve"> (permission </w:t>
      </w:r>
      <w:r>
        <w:rPr>
          <w:rFonts w:ascii="Consolas" w:hAnsi="Consolas"/>
          <w:sz w:val="19"/>
        </w:rPr>
        <w:t>ManageApiKeys</w:t>
      </w:r>
      <w:r>
        <w:t xml:space="preserve">, held by Admin only). An API key lets a script or another system call BlueTrack's API without a person signing in. The system sends its key to </w:t>
      </w:r>
      <w:r>
        <w:rPr>
          <w:rFonts w:ascii="Consolas" w:hAnsi="Consolas"/>
          <w:sz w:val="19"/>
        </w:rPr>
        <w:t>POST /api/auth/token</w:t>
      </w:r>
      <w:r>
        <w:t xml:space="preserve"> and gets back a token that lasts 10 minutes; it then calls the API with </w:t>
      </w:r>
      <w:r>
        <w:rPr>
          <w:rFonts w:ascii="Consolas" w:hAnsi="Consolas"/>
          <w:sz w:val="19"/>
        </w:rPr>
        <w:t>Authorization: Bearer &lt;token&gt;</w:t>
      </w:r>
      <w:r>
        <w:t>, and asks for a new token when that one is about to expire. The key is only ever sent to that one address.</w:t>
      </w:r>
    </w:p>
    <w:p>
      <w:r>
        <w:t xml:space="preserve">The key acts as the </w:t>
      </w:r>
      <w:r>
        <w:rPr>
          <w:b/>
        </w:rPr>
        <w:t>role</w:t>
      </w:r>
      <w:r>
        <w:t xml:space="preserve"> you give it, and can do only what that role can do. The Admin role can't be given to a key, and a key never gets the permissions that manage API keys, sign-in (Identity Providers, Group → Role Mapping, Roles &amp; Permissions), the Secrets Store, credentials, backups, Global Application Configuration or Reload Rights, whatever its role holds. A script that needs those should sign in as a person.</w:t>
      </w:r>
    </w:p>
    <w:p>
      <w:pPr>
        <w:pStyle w:val="Heading2"/>
      </w:pPr>
      <w:r>
        <w:t>Creating, disabling and deleting keys</w:t>
      </w:r>
    </w:p>
    <w:p>
      <w:r>
        <w:rPr>
          <w:b/>
        </w:rPr>
        <w:t>New API Key</w:t>
      </w:r>
      <w:r>
        <w:t xml:space="preserve"> asks for a </w:t>
      </w:r>
      <w:r>
        <w:rPr>
          <w:b/>
        </w:rPr>
        <w:t>Name</w:t>
      </w:r>
      <w:r>
        <w:t xml:space="preserve"> (what the key is for), a </w:t>
      </w:r>
      <w:r>
        <w:rPr>
          <w:b/>
        </w:rPr>
        <w:t>Role</w:t>
      </w:r>
      <w:r>
        <w:t xml:space="preserve"> and a </w:t>
      </w:r>
      <w:r>
        <w:rPr>
          <w:b/>
        </w:rPr>
        <w:t>Lifetime</w:t>
      </w:r>
      <w:r>
        <w:t xml:space="preserve"> in days (the default is set on Global Application Configuration; 365 is the longest). After </w:t>
      </w:r>
      <w:r>
        <w:rPr>
          <w:b/>
        </w:rPr>
        <w:t>Create API Key</w:t>
      </w:r>
      <w:r>
        <w:t xml:space="preserve"> the page shows the key once, with </w:t>
      </w:r>
      <w:r>
        <w:rPr>
          <w:b/>
        </w:rPr>
        <w:t>Copy</w:t>
      </w:r>
      <w:r>
        <w:t xml:space="preserve"> (if the browser won't copy it, the page says so: select the key and copy it by hand); leaving the page before copying (other than with </w:t>
      </w:r>
      <w:r>
        <w:rPr>
          <w:b/>
        </w:rPr>
        <w:t>Done</w:t>
      </w:r>
      <w:r>
        <w:t>) asks you to confirm. Copy it then and store it where the script can read it (for example in the CyberArk vault). BlueTrack keeps only a one-way hash, so a lost key can't be shown again: delete it and create another.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Identifies the key in the list and the Audit Log. Must be unique.</w:t>
            </w:r>
          </w:p>
        </w:tc>
        <w:tc>
          <w:tcPr>
            <w:tcW w:type="dxa" w:w="1728"/>
          </w:tcPr>
          <w:p>
            <w:r>
              <w:t>Blank</w:t>
            </w:r>
          </w:p>
        </w:tc>
        <w:tc>
          <w:tcPr>
            <w:tcW w:type="dxa" w:w="1728"/>
          </w:tcPr>
          <w:p>
            <w:r>
              <w:t>The system or script that uses it</w:t>
            </w:r>
          </w:p>
        </w:tc>
        <w:tc>
          <w:tcPr>
            <w:tcW w:type="dxa" w:w="1728"/>
          </w:tcPr>
          <w:p>
            <w:r>
              <w:t>One key per caller means one key can be switched off without stopping the others.</w:t>
            </w:r>
          </w:p>
        </w:tc>
      </w:tr>
      <w:tr>
        <w:tc>
          <w:tcPr>
            <w:tcW w:type="dxa" w:w="1728"/>
          </w:tcPr>
          <w:p>
            <w:r>
              <w:t>Role</w:t>
            </w:r>
          </w:p>
        </w:tc>
        <w:tc>
          <w:tcPr>
            <w:tcW w:type="dxa" w:w="1728"/>
          </w:tcPr>
          <w:p>
            <w:r>
              <w:t>What the key may do. Every role except Admin is offered.</w:t>
            </w:r>
          </w:p>
        </w:tc>
        <w:tc>
          <w:tcPr>
            <w:tcW w:type="dxa" w:w="1728"/>
          </w:tcPr>
          <w:p>
            <w:r>
              <w:t>The first role listed</w:t>
            </w:r>
          </w:p>
        </w:tc>
        <w:tc>
          <w:tcPr>
            <w:tcW w:type="dxa" w:w="1728"/>
          </w:tcPr>
          <w:p>
            <w:r>
              <w:t>The narrowest role that does the job, for example Auditor or Viewer for a read-only report</w:t>
            </w:r>
          </w:p>
        </w:tc>
        <w:tc>
          <w:tcPr>
            <w:tcW w:type="dxa" w:w="1728"/>
          </w:tcPr>
          <w:p>
            <w:r>
              <w:t>A leaked key can do no more than its role.</w:t>
            </w:r>
          </w:p>
        </w:tc>
      </w:tr>
      <w:tr>
        <w:tc>
          <w:tcPr>
            <w:tcW w:type="dxa" w:w="1728"/>
          </w:tcPr>
          <w:p>
            <w:r>
              <w:t>Lifetime (days)</w:t>
            </w:r>
          </w:p>
        </w:tc>
        <w:tc>
          <w:tcPr>
            <w:tcW w:type="dxa" w:w="1728"/>
          </w:tcPr>
          <w:p>
            <w:r>
              <w:t>When the key expires. Allowed: 1 up to 365.</w:t>
            </w:r>
          </w:p>
        </w:tc>
        <w:tc>
          <w:tcPr>
            <w:tcW w:type="dxa" w:w="1728"/>
          </w:tcPr>
          <w:p>
            <w:r>
              <w:t>90, or the Global Application Configuration setting</w:t>
            </w:r>
          </w:p>
        </w:tc>
        <w:tc>
          <w:tcPr>
            <w:tcW w:type="dxa" w:w="1728"/>
          </w:tcPr>
          <w:p>
            <w:r>
              <w:t>90</w:t>
            </w:r>
          </w:p>
        </w:tc>
        <w:tc>
          <w:tcPr>
            <w:tcW w:type="dxa" w:w="1728"/>
          </w:tcPr>
          <w:p>
            <w:r>
              <w:t>A forgotten key stops working by itself.</w:t>
            </w:r>
          </w:p>
        </w:tc>
      </w:tr>
      <w:tr>
        <w:tc>
          <w:tcPr>
            <w:tcW w:type="dxa" w:w="1728"/>
          </w:tcPr>
          <w:p>
            <w:r>
              <w:t>Owner email (optional)</w:t>
            </w:r>
          </w:p>
        </w:tc>
        <w:tc>
          <w:tcPr>
            <w:tcW w:type="dxa" w:w="1728"/>
          </w:tcPr>
          <w:p>
            <w:r>
              <w:t>Who is emailed before the key expires and on the day it does.</w:t>
            </w:r>
          </w:p>
        </w:tc>
        <w:tc>
          <w:tcPr>
            <w:tcW w:type="dxa" w:w="1728"/>
          </w:tcPr>
          <w:p>
            <w:r>
              <w:t>Blank</w:t>
            </w:r>
          </w:p>
        </w:tc>
        <w:tc>
          <w:tcPr>
            <w:tcW w:type="dxa" w:w="1728"/>
          </w:tcPr>
          <w:p>
            <w:r>
              <w:t>The person or team that owns the script</w:t>
            </w:r>
          </w:p>
        </w:tc>
        <w:tc>
          <w:tcPr>
            <w:tcW w:type="dxa" w:w="1728"/>
          </w:tcPr>
          <w:p>
            <w:r>
              <w:t>An expiring key then reaches the people who can replace it, not only the administrators.</w:t>
            </w:r>
          </w:p>
        </w:tc>
      </w:tr>
      <w:tr>
        <w:tc>
          <w:tcPr>
            <w:tcW w:type="dxa" w:w="1728"/>
          </w:tcPr>
          <w:p>
            <w:r>
              <w:t>Requests per minute (optional)</w:t>
            </w:r>
          </w:p>
        </w:tc>
        <w:tc>
          <w:tcPr>
            <w:tcW w:type="dxa" w:w="1728"/>
          </w:tcPr>
          <w:p>
            <w:r>
              <w:t>This key's own request limit. Blank uses the limit on Global Application Configuration.</w:t>
            </w:r>
          </w:p>
        </w:tc>
        <w:tc>
          <w:tcPr>
            <w:tcW w:type="dxa" w:w="1728"/>
          </w:tcPr>
          <w:p>
            <w:r>
              <w:t>Blank</w:t>
            </w:r>
          </w:p>
        </w:tc>
        <w:tc>
          <w:tcPr>
            <w:tcW w:type="dxa" w:w="1728"/>
          </w:tcPr>
          <w:p>
            <w:r>
              <w:t>Blank, unless one caller needs more or less</w:t>
            </w:r>
          </w:p>
        </w:tc>
        <w:tc>
          <w:tcPr>
            <w:tcW w:type="dxa" w:w="1728"/>
          </w:tcPr>
          <w:p>
            <w:r>
              <w:t>One busy caller can be given a higher limit, or a risky one a lower limit, without changing the others.</w:t>
            </w:r>
          </w:p>
        </w:tc>
      </w:tr>
    </w:tbl>
    <w:p/>
    <w:p>
      <w:r>
        <w:t xml:space="preserve">The list shows each key's name, the </w:t>
      </w:r>
      <w:r>
        <w:rPr>
          <w:b/>
        </w:rPr>
        <w:t>first characters</w:t>
      </w:r>
      <w:r>
        <w:t xml:space="preserve"> of the key (to tell keys apart, never enough to use it), role, expiry, status (</w:t>
      </w:r>
      <w:r>
        <w:rPr>
          <w:b/>
        </w:rPr>
        <w:t>Enabled</w:t>
      </w:r>
      <w:r>
        <w:t xml:space="preserve">, </w:t>
      </w:r>
      <w:r>
        <w:rPr>
          <w:b/>
        </w:rPr>
        <w:t>Disabled</w:t>
      </w:r>
      <w:r>
        <w:t xml:space="preserve"> or </w:t>
      </w:r>
      <w:r>
        <w:rPr>
          <w:b/>
        </w:rPr>
        <w:t>Expired</w:t>
      </w:r>
      <w:r>
        <w:t xml:space="preserve">), when and from which address it was last used, and who created it. </w:t>
      </w:r>
      <w:r>
        <w:rPr>
          <w:b/>
        </w:rPr>
        <w:t>Disable</w:t>
      </w:r>
      <w:r>
        <w:t xml:space="preserve"> stops a key at once, within about a minute (a token it already holds stops working too) and can be undone with </w:t>
      </w:r>
      <w:r>
        <w:rPr>
          <w:b/>
        </w:rPr>
        <w:t>Enable</w:t>
      </w:r>
      <w:r>
        <w:t xml:space="preserve">; </w:t>
      </w:r>
      <w:r>
        <w:rPr>
          <w:b/>
        </w:rPr>
        <w:t>Delete</w:t>
      </w:r>
      <w:r>
        <w:t xml:space="preserve"> removes it for good after a confirmation. An expired key can't get a token.</w:t>
      </w:r>
    </w:p>
    <w:p>
      <w:pPr>
        <w:pStyle w:val="Heading2"/>
      </w:pPr>
      <w:r>
        <w:t>API client mappings (sign in with an identity provider's token)</w:t>
      </w:r>
    </w:p>
    <w:p>
      <w:r>
        <w:t xml:space="preserve">A script can instead sign in with a token from an </w:t>
      </w:r>
      <w:r>
        <w:rPr>
          <w:b/>
        </w:rPr>
        <w:t>OIDC identity provider</w:t>
      </w:r>
      <w:r>
        <w:t xml:space="preserve"> set up under </w:t>
      </w:r>
      <w:r>
        <w:rPr>
          <w:b/>
        </w:rPr>
        <w:t>Identity Providers</w:t>
      </w:r>
      <w:r>
        <w:t xml:space="preserve"> (for example a client-credentials token from authentik or Entra ID). It sends that token as </w:t>
      </w:r>
      <w:r>
        <w:rPr>
          <w:rFonts w:ascii="Consolas" w:hAnsi="Consolas"/>
          <w:sz w:val="19"/>
        </w:rPr>
        <w:t>idToken</w:t>
      </w:r>
      <w:r>
        <w:t xml:space="preserve"> to </w:t>
      </w:r>
      <w:r>
        <w:rPr>
          <w:rFonts w:ascii="Consolas" w:hAnsi="Consolas"/>
          <w:sz w:val="19"/>
        </w:rPr>
        <w:t>POST /api/auth/token</w:t>
      </w:r>
      <w:r>
        <w:t xml:space="preserve"> (the same address as an API key, one or the other, never both) and gets the same 10-minute API token. BlueTrack checks the token against the provider's own published keys and issuer, only accepts asymmetric signatures, and rejects an expired or altered token. The token's audience isn't checked, because a script's own application is the audience, not BlueTrack: what the caller may do comes only from a mapping.</w:t>
      </w:r>
    </w:p>
    <w:p>
      <w:r>
        <w:rPr>
          <w:b/>
        </w:rPr>
        <w:t>Admin &gt; API Keys &gt; API client mappings</w:t>
      </w:r>
      <w:r>
        <w:t xml:space="preserve"> says which role such a caller gets. A mapping matches either the token's </w:t>
      </w:r>
      <w:r>
        <w:rPr>
          <w:b/>
        </w:rPr>
        <w:t>client</w:t>
      </w:r>
      <w:r>
        <w:t xml:space="preserve"> (its </w:t>
      </w:r>
      <w:r>
        <w:rPr>
          <w:rFonts w:ascii="Consolas" w:hAnsi="Consolas"/>
          <w:sz w:val="19"/>
        </w:rPr>
        <w:t>azp</w:t>
      </w:r>
      <w:r>
        <w:t xml:space="preserve"> or </w:t>
      </w:r>
      <w:r>
        <w:rPr>
          <w:rFonts w:ascii="Consolas" w:hAnsi="Consolas"/>
          <w:sz w:val="19"/>
        </w:rPr>
        <w:t>client_id</w:t>
      </w:r>
      <w:r>
        <w:t xml:space="preserve"> claim) or a </w:t>
      </w:r>
      <w:r>
        <w:rPr>
          <w:b/>
        </w:rPr>
        <w:t>group</w:t>
      </w:r>
      <w:r>
        <w:t xml:space="preserve"> (a value in the claim named as the *Groups claim type* on the identity provider, </w:t>
      </w:r>
      <w:r>
        <w:rPr>
          <w:rFonts w:ascii="Consolas" w:hAnsi="Consolas"/>
          <w:sz w:val="19"/>
        </w:rPr>
        <w:t>groups</w:t>
      </w:r>
      <w:r>
        <w:t xml:space="preserve"> by default). These are separate from </w:t>
      </w:r>
      <w:r>
        <w:rPr>
          <w:b/>
        </w:rPr>
        <w:t>Group → Role Mapping</w:t>
      </w:r>
      <w:r>
        <w:t>, which is for people signing in: a script gets only what is mapped here. A mapping's role can be any role except Admin, and the same permissions that no API key can have are never given.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Identity provider</w:t>
            </w:r>
          </w:p>
        </w:tc>
        <w:tc>
          <w:tcPr>
            <w:tcW w:type="dxa" w:w="1728"/>
          </w:tcPr>
          <w:p>
            <w:r>
              <w:t>The enabled OIDC provider whose tokens the mapping applies to.</w:t>
            </w:r>
          </w:p>
        </w:tc>
        <w:tc>
          <w:tcPr>
            <w:tcW w:type="dxa" w:w="1728"/>
          </w:tcPr>
          <w:p>
            <w:r>
              <w:t>The first one</w:t>
            </w:r>
          </w:p>
        </w:tc>
        <w:tc>
          <w:tcPr>
            <w:tcW w:type="dxa" w:w="1728"/>
          </w:tcPr>
          <w:p>
            <w:r>
              <w:t>The provider your scripts' applications are registered in</w:t>
            </w:r>
          </w:p>
        </w:tc>
        <w:tc>
          <w:tcPr>
            <w:tcW w:type="dxa" w:w="1728"/>
          </w:tcPr>
          <w:p>
            <w:r>
              <w:t>Tokens from a provider you haven't mapped, or a provider that is disabled, are refused.</w:t>
            </w:r>
          </w:p>
        </w:tc>
      </w:tr>
      <w:tr>
        <w:tc>
          <w:tcPr>
            <w:tcW w:type="dxa" w:w="1728"/>
          </w:tcPr>
          <w:p>
            <w:r>
              <w:t>Match by</w:t>
            </w:r>
          </w:p>
        </w:tc>
        <w:tc>
          <w:tcPr>
            <w:tcW w:type="dxa" w:w="1728"/>
          </w:tcPr>
          <w:p>
            <w:r>
              <w:rPr>
                <w:b/>
              </w:rPr>
              <w:t>Client</w:t>
            </w:r>
            <w:r>
              <w:t xml:space="preserve"> (the token's client ID) or </w:t>
            </w:r>
            <w:r>
              <w:rPr>
                <w:b/>
              </w:rPr>
              <w:t>Group</w:t>
            </w:r>
            <w:r>
              <w:t xml:space="preserve"> (a value in its groups claim).</w:t>
            </w:r>
          </w:p>
        </w:tc>
        <w:tc>
          <w:tcPr>
            <w:tcW w:type="dxa" w:w="1728"/>
          </w:tcPr>
          <w:p>
            <w:r>
              <w:t>Client</w:t>
            </w:r>
          </w:p>
        </w:tc>
        <w:tc>
          <w:tcPr>
            <w:tcW w:type="dxa" w:w="1728"/>
          </w:tcPr>
          <w:p>
            <w:r>
              <w:t>Client for a script's own application</w:t>
            </w:r>
          </w:p>
        </w:tc>
        <w:tc>
          <w:tcPr>
            <w:tcW w:type="dxa" w:w="1728"/>
          </w:tcPr>
          <w:p>
            <w:r>
              <w:t>A group match accepts any valid token from the provider that carries the group, including one issued to a person for another application.</w:t>
            </w:r>
          </w:p>
        </w:tc>
      </w:tr>
      <w:tr>
        <w:tc>
          <w:tcPr>
            <w:tcW w:type="dxa" w:w="1728"/>
          </w:tcPr>
          <w:p>
            <w:r>
              <w:t>Client ID or group</w:t>
            </w:r>
          </w:p>
        </w:tc>
        <w:tc>
          <w:tcPr>
            <w:tcW w:type="dxa" w:w="1728"/>
          </w:tcPr>
          <w:p>
            <w:r>
              <w:t>The value to match, exactly (case-sensitive).</w:t>
            </w:r>
          </w:p>
        </w:tc>
        <w:tc>
          <w:tcPr>
            <w:tcW w:type="dxa" w:w="1728"/>
          </w:tcPr>
          <w:p>
            <w:r>
              <w:t>Blank</w:t>
            </w:r>
          </w:p>
        </w:tc>
        <w:tc>
          <w:tcPr>
            <w:tcW w:type="dxa" w:w="1728"/>
          </w:tcPr>
          <w:p>
            <w:r>
              <w:t>The script application's client ID</w:t>
            </w:r>
          </w:p>
        </w:tc>
        <w:tc>
          <w:tcPr>
            <w:tcW w:type="dxa" w:w="1728"/>
          </w:tcPr>
          <w:p>
            <w:r>
              <w:t>Narrow matches keep the role to the caller you meant.</w:t>
            </w:r>
          </w:p>
        </w:tc>
      </w:tr>
      <w:tr>
        <w:tc>
          <w:tcPr>
            <w:tcW w:type="dxa" w:w="1728"/>
          </w:tcPr>
          <w:p>
            <w:r>
              <w:t>Role</w:t>
            </w:r>
          </w:p>
        </w:tc>
        <w:tc>
          <w:tcPr>
            <w:tcW w:type="dxa" w:w="1728"/>
          </w:tcPr>
          <w:p>
            <w:r>
              <w:t>What the caller may do. Every role except Admin is offered.</w:t>
            </w:r>
          </w:p>
        </w:tc>
        <w:tc>
          <w:tcPr>
            <w:tcW w:type="dxa" w:w="1728"/>
          </w:tcPr>
          <w:p>
            <w:r>
              <w:t>The first role listed</w:t>
            </w:r>
          </w:p>
        </w:tc>
        <w:tc>
          <w:tcPr>
            <w:tcW w:type="dxa" w:w="1728"/>
          </w:tcPr>
          <w:p>
            <w:r>
              <w:t>The narrowest role that does the job</w:t>
            </w:r>
          </w:p>
        </w:tc>
        <w:tc>
          <w:tcPr>
            <w:tcW w:type="dxa" w:w="1728"/>
          </w:tcPr>
          <w:p>
            <w:r>
              <w:t>A leaked token can do no more than its role.</w:t>
            </w:r>
          </w:p>
        </w:tc>
      </w:tr>
      <w:tr>
        <w:tc>
          <w:tcPr>
            <w:tcW w:type="dxa" w:w="1728"/>
          </w:tcPr>
          <w:p>
            <w:r>
              <w:t>Order</w:t>
            </w:r>
          </w:p>
        </w:tc>
        <w:tc>
          <w:tcPr>
            <w:tcW w:type="dxa" w:w="1728"/>
          </w:tcPr>
          <w:p>
            <w:r>
              <w:t>When more than one mapping matches a token, the lowest order is used (a client match before a group match when the order is equal).</w:t>
            </w:r>
          </w:p>
        </w:tc>
        <w:tc>
          <w:tcPr>
            <w:tcW w:type="dxa" w:w="1728"/>
          </w:tcPr>
          <w:p>
            <w:r>
              <w:t>100</w:t>
            </w:r>
          </w:p>
        </w:tc>
        <w:tc>
          <w:tcPr>
            <w:tcW w:type="dxa" w:w="1728"/>
          </w:tcPr>
          <w:p>
            <w:r>
              <w:t>Leave at 100 unless two mappings can match</w:t>
            </w:r>
          </w:p>
        </w:tc>
        <w:tc>
          <w:tcPr>
            <w:tcW w:type="dxa" w:w="1728"/>
          </w:tcPr>
          <w:p>
            <w:r>
              <w:t>Makes the result predictable.</w:t>
            </w:r>
          </w:p>
        </w:tc>
      </w:tr>
      <w:tr>
        <w:tc>
          <w:tcPr>
            <w:tcW w:type="dxa" w:w="1728"/>
          </w:tcPr>
          <w:p>
            <w:r>
              <w:t>Name</w:t>
            </w:r>
          </w:p>
        </w:tc>
        <w:tc>
          <w:tcPr>
            <w:tcW w:type="dxa" w:w="1728"/>
          </w:tcPr>
          <w:p>
            <w:r>
              <w:t>A label for the list.</w:t>
            </w:r>
          </w:p>
        </w:tc>
        <w:tc>
          <w:tcPr>
            <w:tcW w:type="dxa" w:w="1728"/>
          </w:tcPr>
          <w:p>
            <w:r>
              <w:t>Blank</w:t>
            </w:r>
          </w:p>
        </w:tc>
        <w:tc>
          <w:tcPr>
            <w:tcW w:type="dxa" w:w="1728"/>
          </w:tcPr>
          <w:p>
            <w:r>
              <w:t>What the caller is</w:t>
            </w:r>
          </w:p>
        </w:tc>
        <w:tc>
          <w:tcPr>
            <w:tcW w:type="dxa" w:w="1728"/>
          </w:tcPr>
          <w:p>
            <w:r>
              <w:t>For people reading the list.</w:t>
            </w:r>
          </w:p>
        </w:tc>
      </w:tr>
    </w:tbl>
    <w:p/>
    <w:p>
      <w:r>
        <w:rPr>
          <w:b/>
        </w:rPr>
        <w:t>Disable</w:t>
      </w:r>
      <w:r>
        <w:t xml:space="preserve"> or </w:t>
      </w:r>
      <w:r>
        <w:rPr>
          <w:b/>
        </w:rPr>
        <w:t>Delete</w:t>
      </w:r>
      <w:r>
        <w:t xml:space="preserve"> a mapping to stop its callers: new exchanges are refused, and a token it already gave stops working within about a minute. A caller's actions in the Audit Log are attributed to "API client: &lt;name&gt;" (the token's </w:t>
      </w:r>
      <w:r>
        <w:rPr>
          <w:rFonts w:ascii="Consolas" w:hAnsi="Consolas"/>
          <w:sz w:val="19"/>
        </w:rPr>
        <w:t>preferred_username</w:t>
      </w:r>
      <w:r>
        <w:t>, else its client ID, else its subject). Each exchange (</w:t>
      </w:r>
      <w:r>
        <w:rPr>
          <w:rFonts w:ascii="Consolas" w:hAnsi="Consolas"/>
          <w:sz w:val="19"/>
        </w:rPr>
        <w:t>ApiTokenIssued</w:t>
      </w:r>
      <w:r>
        <w:t>) and each refusal (</w:t>
      </w:r>
      <w:r>
        <w:rPr>
          <w:rFonts w:ascii="Consolas" w:hAnsi="Consolas"/>
          <w:sz w:val="19"/>
        </w:rPr>
        <w:t>ApiTokenRejected</w:t>
      </w:r>
      <w:r>
        <w:t xml:space="preserve">) is audited, and each mapping change is </w:t>
      </w:r>
      <w:r>
        <w:rPr>
          <w:rFonts w:ascii="Consolas" w:hAnsi="Consolas"/>
          <w:sz w:val="19"/>
        </w:rPr>
        <w:t>ApiClientMappingChanged</w:t>
      </w:r>
      <w:r>
        <w:t>. The refusal throttle and the per-key rate limit apply to these callers too, the rate limit per caller. SAML identity providers can't be used for this.</w:t>
      </w:r>
    </w:p>
    <w:p>
      <w:pPr>
        <w:pStyle w:val="Heading2"/>
      </w:pPr>
      <w:r>
        <w:t>Audit and limits</w:t>
      </w:r>
    </w:p>
    <w:p>
      <w:r>
        <w:t>Creating, disabling, enabling and deleting a key are in the Audit Log (</w:t>
      </w:r>
      <w:r>
        <w:rPr>
          <w:rFonts w:ascii="Consolas" w:hAnsi="Consolas"/>
          <w:sz w:val="19"/>
        </w:rPr>
        <w:t>ApiKeyCreated</w:t>
      </w:r>
      <w:r>
        <w:t xml:space="preserve">, </w:t>
      </w:r>
      <w:r>
        <w:rPr>
          <w:rFonts w:ascii="Consolas" w:hAnsi="Consolas"/>
          <w:sz w:val="19"/>
        </w:rPr>
        <w:t>ApiKeyChanged</w:t>
      </w:r>
      <w:r>
        <w:t>), as is every token a key is given (</w:t>
      </w:r>
      <w:r>
        <w:rPr>
          <w:rFonts w:ascii="Consolas" w:hAnsi="Consolas"/>
          <w:sz w:val="19"/>
        </w:rPr>
        <w:t>ApiTokenIssued</w:t>
      </w:r>
      <w:r>
        <w:t>) and every refused request (</w:t>
      </w:r>
      <w:r>
        <w:rPr>
          <w:rFonts w:ascii="Consolas" w:hAnsi="Consolas"/>
          <w:sz w:val="19"/>
        </w:rPr>
        <w:t>ApiTokenRejected</w:t>
      </w:r>
      <w:r>
        <w:t xml:space="preserve">, showing only the first characters of the key sent). Actions a key takes are attributed to the key (shown as "API key: &lt;name&gt;"). A refused request never says why (a wrong, disabled or expired key all look the same). After 10 refused requests in a minute from one address, further requests from it are answered </w:t>
      </w:r>
      <w:r>
        <w:rPr>
          <w:rFonts w:ascii="Consolas" w:hAnsi="Consolas"/>
          <w:sz w:val="19"/>
        </w:rPr>
        <w:t>429</w:t>
      </w:r>
      <w:r>
        <w:t xml:space="preserve"> for a minute.</w:t>
      </w:r>
    </w:p>
    <w:p>
      <w:r>
        <w:rPr>
          <w:b/>
        </w:rPr>
        <w:t>Rate limit.</w:t>
      </w:r>
      <w:r>
        <w:t xml:space="preserve"> One key may make at most </w:t>
      </w:r>
      <w:r>
        <w:rPr>
          <w:b/>
        </w:rPr>
        <w:t>API requests per minute, per key</w:t>
      </w:r>
      <w:r>
        <w:t xml:space="preserve"> requests a minute (Global Application Configuration, 600 by default), or its own </w:t>
      </w:r>
      <w:r>
        <w:rPr>
          <w:b/>
        </w:rPr>
        <w:t>Requests per minute</w:t>
      </w:r>
      <w:r>
        <w:t xml:space="preserve"> if it has one. Over that, the API answers </w:t>
      </w:r>
      <w:r>
        <w:rPr>
          <w:rFonts w:ascii="Consolas" w:hAnsi="Consolas"/>
          <w:sz w:val="19"/>
        </w:rPr>
        <w:t>429</w:t>
      </w:r>
      <w:r>
        <w:t xml:space="preserve"> with a </w:t>
      </w:r>
      <w:r>
        <w:rPr>
          <w:rFonts w:ascii="Consolas" w:hAnsi="Consolas"/>
          <w:sz w:val="19"/>
        </w:rPr>
        <w:t>Retry-After</w:t>
      </w:r>
      <w:r>
        <w:t xml:space="preserve"> header.</w:t>
      </w:r>
    </w:p>
    <w:p>
      <w:r>
        <w:rPr>
          <w:b/>
        </w:rPr>
        <w:t>Editing a key.</w:t>
      </w:r>
      <w:r>
        <w:t xml:space="preserve"> Click a key's name to change its name, </w:t>
      </w:r>
      <w:r>
        <w:rPr>
          <w:b/>
        </w:rPr>
        <w:t>Role</w:t>
      </w:r>
      <w:r>
        <w:t xml:space="preserve">, </w:t>
      </w:r>
      <w:r>
        <w:rPr>
          <w:b/>
        </w:rPr>
        <w:t>Expires on</w:t>
      </w:r>
      <w:r>
        <w:t xml:space="preserve"> (renew the key or shorten it, up to 365 days from today), </w:t>
      </w:r>
      <w:r>
        <w:rPr>
          <w:b/>
        </w:rPr>
        <w:t>Owner email</w:t>
      </w:r>
      <w:r>
        <w:t xml:space="preserve"> and </w:t>
      </w:r>
      <w:r>
        <w:rPr>
          <w:b/>
        </w:rPr>
        <w:t>Requests per minute</w:t>
      </w:r>
      <w:r>
        <w:t>. The key itself is not changed, so the script keeps working; a role change applies at once, even to a token the key was given a minute ago. Every change is in the Audit Log with what it was and what it became.</w:t>
      </w:r>
    </w:p>
    <w:p>
      <w:r>
        <w:rPr>
          <w:b/>
        </w:rPr>
        <w:t>Rotate</w:t>
      </w:r>
      <w:r>
        <w:t xml:space="preserve"> on the list, after a confirmation, creates a new key with the same role, owner and limit (named "&lt;name&gt; (rotated &lt;date&gt;)" and lasting the default lifetime) and shows it once. The old key keeps working, so the script can be switched over without a gap; </w:t>
      </w:r>
      <w:r>
        <w:rPr>
          <w:b/>
        </w:rPr>
        <w:t>Disable</w:t>
      </w:r>
      <w:r>
        <w:t xml:space="preserve"> or </w:t>
      </w:r>
      <w:r>
        <w:rPr>
          <w:b/>
        </w:rPr>
        <w:t>Delete</w:t>
      </w:r>
      <w:r>
        <w:t xml:space="preserve"> the old key afterwards.</w:t>
      </w:r>
    </w:p>
    <w:p>
      <w:r>
        <w:rPr>
          <w:b/>
        </w:rPr>
        <w:t>Expiry emails.</w:t>
      </w:r>
      <w:r>
        <w:t xml:space="preserve"> The </w:t>
      </w:r>
      <w:r>
        <w:rPr>
          <w:b/>
        </w:rPr>
        <w:t>ApiKeyExpiring</w:t>
      </w:r>
      <w:r>
        <w:t xml:space="preserve"> notification (</w:t>
      </w:r>
      <w:r>
        <w:rPr>
          <w:b/>
        </w:rPr>
        <w:t>Admin &gt; Notifications</w:t>
      </w:r>
      <w:r>
        <w:t xml:space="preserve">, off until you enable it) emails a key's </w:t>
      </w:r>
      <w:r>
        <w:rPr>
          <w:b/>
        </w:rPr>
        <w:t>owner</w:t>
      </w:r>
      <w:r>
        <w:t xml:space="preserve"> the </w:t>
      </w:r>
      <w:r>
        <w:rPr>
          <w:b/>
        </w:rPr>
        <w:t>API key expiry reminder lead time</w:t>
      </w:r>
      <w:r>
        <w:t xml:space="preserve"> (Global Application Configuration, 7 days by default, 1 to 90) before the key expires, and again on the day it expires. A key with no owner email is skipped, and so is the reminder for a key made for no more than the lead time. The </w:t>
      </w:r>
      <w:r>
        <w:rPr>
          <w:b/>
        </w:rPr>
        <w:t>ApiKeyExpired</w:t>
      </w:r>
      <w:r>
        <w:t xml:space="preserve"> notification (also off until enabled) emails the administrators, who are its recipients as for any notification type, on the day a key expires. Both go out from the daily digest time, once per key and expiry date; renewing a key's expiry earns new emails. See section 7.</w:t>
      </w:r>
    </w:p>
    <w:p>
      <w:r>
        <w:rPr>
          <w:b/>
        </w:rPr>
        <w:t>Expired keys are deleted automatically</w:t>
      </w:r>
      <w:r>
        <w:t xml:space="preserve"> the </w:t>
      </w:r>
      <w:r>
        <w:rPr>
          <w:b/>
        </w:rPr>
        <w:t>Delete expired API keys after (days)</w:t>
      </w:r>
      <w:r>
        <w:t xml:space="preserve"> setting after they expire (Global Application Configuration, 365 by default; 0 keeps them for ever). The check runs every six hours; each deletion is in the Audit Log (</w:t>
      </w:r>
      <w:r>
        <w:rPr>
          <w:rFonts w:ascii="Consolas" w:hAnsi="Consolas"/>
          <w:sz w:val="19"/>
        </w:rPr>
        <w:t>ApiKeyChanged</w:t>
      </w:r>
      <w:r>
        <w:t>, "deleted automatically", by "BlueTrack API access (system)"). A key that is only disabled stays until you delete it.</w:t>
      </w:r>
    </w:p>
    <w:p>
      <w:r>
        <w:t>Each request also checks that the key is still enabled and unexpired, so changes take effect quickly. A key's role is looked up on every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