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Administrator Settings Guide</w:t>
      </w:r>
    </w:p>
    <w:p>
      <w:pPr>
        <w:jc w:val="left"/>
      </w:pPr>
      <w:r>
        <w:rPr>
          <w:i/>
        </w:rPr>
        <w:t>BlueTrack: CyberArk PAM Blueprint progress tracking</w:t>
      </w:r>
    </w:p>
    <w:p>
      <w:r>
        <w:rPr>
          <w:b/>
        </w:rPr>
        <w:t>For BlueTrack administrators</w:t>
      </w:r>
    </w:p>
    <w:p>
      <w:pPr>
        <w:pStyle w:val="Heading1"/>
      </w:pPr>
      <w:r>
        <w:t>About this guide</w:t>
      </w:r>
    </w:p>
    <w:p>
      <w:r>
        <w:t>BlueTrack tracks how privileged accounts are onboarded into CyberArk against the CyberArk PAM Blueprint. It is a web application hosted on IIS, with a SQL Server database loaded each night from CyberArk exports.</w:t>
      </w:r>
    </w:p>
    <w:p>
      <w:r>
        <w:t xml:space="preserve">This guide lists every setting an administrator can change: on the </w:t>
      </w:r>
      <w:r>
        <w:rPr>
          <w:b/>
        </w:rPr>
        <w:t>Admin</w:t>
      </w:r>
      <w:r>
        <w:t xml:space="preserve"> pages in the web application, and in the choices made when installing with </w:t>
      </w:r>
      <w:r>
        <w:rPr>
          <w:rFonts w:ascii="Consolas" w:hAnsi="Consolas"/>
          <w:sz w:val="19"/>
        </w:rPr>
        <w:t>Install-BlueTrack.ps1</w:t>
      </w:r>
      <w:r>
        <w:t>. For each setting it gives what the setting does, its default, the values allowed, a recommended value, and the reason for that recommendation.</w:t>
      </w:r>
    </w:p>
    <w:p>
      <w:r>
        <w:t>The recommendations favour least privilege, encrypted connections, short-lived access and simple operation. Many settings depend on your organization's policies. Where that is the case, the recommendation says so, and the reason explains when to choose differently.</w:t>
      </w:r>
    </w:p>
    <w:p>
      <w:pPr>
        <w:pStyle w:val="Heading1"/>
      </w:pPr>
      <w:r>
        <w:t>How to read the tables</w:t>
      </w:r>
    </w:p>
    <w:p>
      <w:r>
        <w:t>Each section has a table with these columns:</w:t>
      </w:r>
    </w:p>
    <w:p>
      <w:pPr>
        <w:pStyle w:val="ListBullet"/>
      </w:pPr>
      <w:r>
        <w:rPr>
          <w:b/>
        </w:rPr>
        <w:t>Setting</w:t>
      </w:r>
      <w:r>
        <w:t>: the label shown on the page, or the installer parameter name.</w:t>
      </w:r>
    </w:p>
    <w:p>
      <w:pPr>
        <w:pStyle w:val="ListBullet"/>
      </w:pPr>
      <w:r>
        <w:rPr>
          <w:b/>
        </w:rPr>
        <w:t>What it does</w:t>
      </w:r>
      <w:r>
        <w:t>: the effect of the setting.</w:t>
      </w:r>
    </w:p>
    <w:p>
      <w:pPr>
        <w:pStyle w:val="ListBullet"/>
      </w:pPr>
      <w:r>
        <w:rPr>
          <w:b/>
        </w:rPr>
        <w:t>Default</w:t>
      </w:r>
      <w:r>
        <w:t>: the value on a new install. "Blank" means no value is set.</w:t>
      </w:r>
    </w:p>
    <w:p>
      <w:pPr>
        <w:pStyle w:val="ListBullet"/>
      </w:pPr>
      <w:r>
        <w:rPr>
          <w:b/>
        </w:rPr>
        <w:t>Recommended</w:t>
      </w:r>
      <w:r>
        <w:t>: the suggested value. "Depends" means it depends on your organization; the reason column explains how to choose.</w:t>
      </w:r>
    </w:p>
    <w:p>
      <w:pPr>
        <w:pStyle w:val="ListBullet"/>
      </w:pPr>
      <w:r>
        <w:rPr>
          <w:b/>
        </w:rPr>
        <w:t>Why</w:t>
      </w:r>
      <w:r>
        <w:t>: the reason for the recommendation, including the trade-off.</w:t>
      </w:r>
    </w:p>
    <w:p>
      <w:r>
        <w:t>Allowed values and ranges are given in the "What it does" column or in the notes after a table. Where a setting needs more explanation, a short paragraph follows the table.</w:t>
      </w:r>
    </w:p>
    <w:p>
      <w:r>
        <w:t>Every Admin page needs its own permission (see "Roles &amp; Permissions"). A user sees only the Admin pages their roles allow.</w:t>
      </w:r>
    </w:p>
    <w:p>
      <w:pPr>
        <w:pStyle w:val="Heading1"/>
      </w:pPr>
      <w:r>
        <w:t>1. Global Application Configuration</w:t>
      </w:r>
    </w:p>
    <w:p>
      <w:r>
        <w:rPr>
          <w:b/>
        </w:rPr>
        <w:t>Admin &gt; Global Application Configuration</w:t>
      </w:r>
      <w:r>
        <w:t xml:space="preserve"> (permission </w:t>
      </w:r>
      <w:r>
        <w:rPr>
          <w:rFonts w:ascii="Consolas" w:hAnsi="Consolas"/>
          <w:sz w:val="19"/>
        </w:rPr>
        <w:t>ManageApplicationConfiguration</w:t>
      </w:r>
      <w:r>
        <w:t xml:space="preserve">). The page is one form with one </w:t>
      </w:r>
      <w:r>
        <w:rPr>
          <w:b/>
        </w:rPr>
        <w:t>Save</w:t>
      </w:r>
      <w:r>
        <w:t xml:space="preserve"> button. Every change is recorded in the audit log with the old and new values.</w:t>
      </w:r>
    </w:p>
    <w:p>
      <w:pPr>
        <w:pStyle w:val="Heading2"/>
      </w:pPr>
      <w:r>
        <w:t>General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Idle Timeout (minutes)</w:t>
            </w:r>
          </w:p>
        </w:tc>
        <w:tc>
          <w:tcPr>
            <w:tcW w:type="dxa" w:w="1728"/>
          </w:tcPr>
          <w:p>
            <w:r>
              <w:t>Signs a user out after this many minutes without activity in any BlueTrack tab. OIDC and SAML sessions also end on the server after this long without a request, even if the tab was closed.</w:t>
            </w:r>
          </w:p>
        </w:tc>
        <w:tc>
          <w:tcPr>
            <w:tcW w:type="dxa" w:w="1728"/>
          </w:tcPr>
          <w:p>
            <w:r>
              <w:t>30</w:t>
            </w:r>
          </w:p>
        </w:tc>
        <w:tc>
          <w:tcPr>
            <w:tcW w:type="dxa" w:w="1728"/>
          </w:tcPr>
          <w:p>
            <w:r>
              <w:t>15 to 30</w:t>
            </w:r>
          </w:p>
        </w:tc>
        <w:tc>
          <w:tcPr>
            <w:tcW w:type="dxa" w:w="1728"/>
          </w:tcPr>
          <w:p>
            <w:r>
              <w:t>Short enough that an unattended screen doesn't stay signed in to privileged-access data, long enough not to interrupt normal work. Allowed: 5 to 720.</w:t>
            </w:r>
          </w:p>
        </w:tc>
      </w:tr>
      <w:tr>
        <w:tc>
          <w:tcPr>
            <w:tcW w:type="dxa" w:w="1728"/>
          </w:tcPr>
          <w:p>
            <w:r>
              <w:t>Breadcrumb Position</w:t>
            </w:r>
          </w:p>
        </w:tc>
        <w:tc>
          <w:tcPr>
            <w:tcW w:type="dxa" w:w="1728"/>
          </w:tcPr>
          <w:p>
            <w:r>
              <w:t>Where the breadcrumb trail appears on every page: Top Left or Top Right. Applies to all users.</w:t>
            </w:r>
          </w:p>
        </w:tc>
        <w:tc>
          <w:tcPr>
            <w:tcW w:type="dxa" w:w="1728"/>
          </w:tcPr>
          <w:p>
            <w:r>
              <w:t>Top Left</w:t>
            </w:r>
          </w:p>
        </w:tc>
        <w:tc>
          <w:tcPr>
            <w:tcW w:type="dxa" w:w="1728"/>
          </w:tcPr>
          <w:p>
            <w:r>
              <w:t>Top Left</w:t>
            </w:r>
          </w:p>
        </w:tc>
        <w:tc>
          <w:tcPr>
            <w:tcW w:type="dxa" w:w="1728"/>
          </w:tcPr>
          <w:p>
            <w:r>
              <w:t>A matter of taste; Top Left is the usual place for breadcrumbs.</w:t>
            </w:r>
          </w:p>
        </w:tc>
      </w:tr>
      <w:tr>
        <w:tc>
          <w:tcPr>
            <w:tcW w:type="dxa" w:w="1728"/>
          </w:tcPr>
          <w:p>
            <w:r>
              <w:t>Exception ID Pattern</w:t>
            </w:r>
          </w:p>
        </w:tc>
        <w:tc>
          <w:tcPr>
            <w:tcW w:type="dxa" w:w="1728"/>
          </w:tcPr>
          <w:p>
            <w:r>
              <w:t xml:space="preserve">The format of new Risk Exception IDs. Tokens: </w:t>
            </w:r>
            <w:r>
              <w:rPr>
                <w:rFonts w:ascii="Consolas" w:hAnsi="Consolas"/>
                <w:sz w:val="19"/>
              </w:rPr>
              <w:t>{yyyy}</w:t>
            </w:r>
            <w:r>
              <w:t xml:space="preserve"> (year), </w:t>
            </w:r>
            <w:r>
              <w:rPr>
                <w:rFonts w:ascii="Consolas" w:hAnsi="Consolas"/>
                <w:sz w:val="19"/>
              </w:rPr>
              <w:t>{yy}</w:t>
            </w:r>
            <w:r>
              <w:t xml:space="preserve"> (two-digit year), </w:t>
            </w:r>
            <w:r>
              <w:rPr>
                <w:rFonts w:ascii="Consolas" w:hAnsi="Consolas"/>
                <w:sz w:val="19"/>
              </w:rPr>
              <w:t>{seq:0000}</w:t>
            </w:r>
            <w:r>
              <w:t xml:space="preserve"> (running number, padded to the number of zeros).</w:t>
            </w:r>
          </w:p>
        </w:tc>
        <w:tc>
          <w:tcPr>
            <w:tcW w:type="dxa" w:w="1728"/>
          </w:tcPr>
          <w:p>
            <w:r>
              <w:rPr>
                <w:rFonts w:ascii="Consolas" w:hAnsi="Consolas"/>
                <w:sz w:val="19"/>
              </w:rPr>
              <w:t>EXC-{yyyy}-{seq:0000}</w:t>
            </w:r>
          </w:p>
        </w:tc>
        <w:tc>
          <w:tcPr>
            <w:tcW w:type="dxa" w:w="1728"/>
          </w:tcPr>
          <w:p>
            <w:r>
              <w:t xml:space="preserve">Keep the default, or your own prefix with a year token and </w:t>
            </w:r>
            <w:r>
              <w:rPr>
                <w:rFonts w:ascii="Consolas" w:hAnsi="Consolas"/>
                <w:sz w:val="19"/>
              </w:rPr>
              <w:t>{seq:...}</w:t>
            </w:r>
          </w:p>
        </w:tc>
        <w:tc>
          <w:tcPr>
            <w:tcW w:type="dxa" w:w="1728"/>
          </w:tcPr>
          <w:p>
            <w:r>
              <w:t xml:space="preserve">The running number restarts at 1 each year, so a pattern without a year token, or without </w:t>
            </w:r>
            <w:r>
              <w:rPr>
                <w:rFonts w:ascii="Consolas" w:hAnsi="Consolas"/>
                <w:sz w:val="19"/>
              </w:rPr>
              <w:t>{seq:...}</w:t>
            </w:r>
            <w:r>
              <w:t>, produces duplicate IDs, which are refused.</w:t>
            </w:r>
          </w:p>
        </w:tc>
      </w:tr>
      <w:tr>
        <w:tc>
          <w:tcPr>
            <w:tcW w:type="dxa" w:w="1728"/>
          </w:tcPr>
          <w:p>
            <w:r>
              <w:t>Account Progress Lock Timeout (minutes)</w:t>
            </w:r>
          </w:p>
        </w:tc>
        <w:tc>
          <w:tcPr>
            <w:tcW w:type="dxa" w:w="1728"/>
          </w:tcPr>
          <w:p>
            <w:r>
              <w:t>How long an Account Progress edit lock survives after the editor's page stops renewing it, for example when a browser is closed. Allowed: 1 to 720.</w:t>
            </w:r>
          </w:p>
        </w:tc>
        <w:tc>
          <w:tcPr>
            <w:tcW w:type="dxa" w:w="1728"/>
          </w:tcPr>
          <w:p>
            <w:r>
              <w:t>30</w:t>
            </w:r>
          </w:p>
        </w:tc>
        <w:tc>
          <w:tcPr>
            <w:tcW w:type="dxa" w:w="1728"/>
          </w:tcPr>
          <w:p>
            <w:r>
              <w:t>30 (10 to 30 suits most teams)</w:t>
            </w:r>
          </w:p>
        </w:tc>
        <w:tc>
          <w:tcPr>
            <w:tcW w:type="dxa" w:w="1728"/>
          </w:tcPr>
          <w:p>
            <w:r>
              <w:t>An open edit page renews its lock every minute, so this only controls how long an abandoned lock blocks others. Keep it well above 1 minute.</w:t>
            </w:r>
          </w:p>
        </w:tc>
      </w:tr>
      <w:tr>
        <w:tc>
          <w:tcPr>
            <w:tcW w:type="dxa" w:w="1728"/>
          </w:tcPr>
          <w:p>
            <w:r>
              <w:t>Enforce segregation of duties on Risk Exception approval</w:t>
            </w:r>
          </w:p>
        </w:tc>
        <w:tc>
          <w:tcPr>
            <w:tcW w:type="dxa" w:w="1728"/>
          </w:tcPr>
          <w:p>
            <w:r>
              <w:t>When on, the person who approved a Risk Exception cannot also be the one who links it to an account.</w:t>
            </w:r>
          </w:p>
        </w:tc>
        <w:tc>
          <w:tcPr>
            <w:tcW w:type="dxa" w:w="1728"/>
          </w:tcPr>
          <w:p>
            <w:r>
              <w:t>Off</w:t>
            </w:r>
          </w:p>
        </w:tc>
        <w:tc>
          <w:tcPr>
            <w:tcW w:type="dxa" w:w="1728"/>
          </w:tcPr>
          <w:p>
            <w:r>
              <w:t>On, if you have separate staff</w:t>
            </w:r>
          </w:p>
        </w:tc>
        <w:tc>
          <w:tcPr>
            <w:tcW w:type="dxa" w:w="1728"/>
          </w:tcPr>
          <w:p>
            <w:r>
              <w:t>Stops one person both approving and applying an exception. Leave it off for a small team, and review the Risk Exception segregation-of-duties report instead.</w:t>
            </w:r>
          </w:p>
        </w:tc>
      </w:tr>
      <w:tr>
        <w:tc>
          <w:tcPr>
            <w:tcW w:type="dxa" w:w="1728"/>
          </w:tcPr>
          <w:p>
            <w:r>
              <w:t>Bulk edit limit (accounts)</w:t>
            </w:r>
          </w:p>
        </w:tc>
        <w:tc>
          <w:tcPr>
            <w:tcW w:type="dxa" w:w="1728"/>
          </w:tcPr>
          <w:p>
            <w:r>
              <w:t>The most accounts one bulk edit, bulk action, delete or undelete may change. Allowed: 1 to 10,000.</w:t>
            </w:r>
          </w:p>
        </w:tc>
        <w:tc>
          <w:tcPr>
            <w:tcW w:type="dxa" w:w="1728"/>
          </w:tcPr>
          <w:p>
            <w:r>
              <w:t>500</w:t>
            </w:r>
          </w:p>
        </w:tc>
        <w:tc>
          <w:tcPr>
            <w:tcW w:type="dxa" w:w="1728"/>
          </w:tcPr>
          <w:p>
            <w:r>
              <w:t>500</w:t>
            </w:r>
          </w:p>
        </w:tc>
        <w:tc>
          <w:tcPr>
            <w:tcW w:type="dxa" w:w="1728"/>
          </w:tcPr>
          <w:p>
            <w:r>
              <w:t>Large enough for normal work, small enough that a mistaken bulk change is limited. Raise it only for planned clean-ups.</w:t>
            </w:r>
          </w:p>
        </w:tc>
      </w:tr>
    </w:tbl>
    <w:p/>
    <w:p>
      <w:r>
        <w:rPr>
          <w:b/>
        </w:rPr>
        <w:t>Idle timeout.</w:t>
      </w:r>
      <w:r>
        <w:t xml:space="preserve"> In the browser, BlueTrack signs the user out after this many minutes with no mouse, keyboard or touch activity in any of its tabs, and the sign-in page says why. OIDC and SAML sessions are also ended on the server once no request has arrived for this long, so a closed tab doesn't leave a usable session behind; each OIDC session also ends after 8 hours regardless. Windows sign-in has no session to end: if Windows Integrated is the default method, the user is signed in again as soon as they leave the sign-in page. Separately, a user's cached roles and permissions last at most 15 minutes, and any change to a role, group mapping or identity provider clears every user's cache.</w:t>
      </w:r>
    </w:p>
    <w:p>
      <w:pPr>
        <w:pStyle w:val="Heading2"/>
      </w:pPr>
      <w:r>
        <w:t>Audit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Audit Retention (days, blank = keep forever)</w:t>
            </w:r>
          </w:p>
        </w:tc>
        <w:tc>
          <w:tcPr>
            <w:tcW w:type="dxa" w:w="1728"/>
          </w:tcPr>
          <w:p>
            <w:r>
              <w:t>How many days of audit log to keep. Older entries are deleted by the nightly Audit Log Purge job.</w:t>
            </w:r>
          </w:p>
        </w:tc>
        <w:tc>
          <w:tcPr>
            <w:tcW w:type="dxa" w:w="1728"/>
          </w:tcPr>
          <w:p>
            <w:r>
              <w:t>Blank (keep forever)</w:t>
            </w:r>
          </w:p>
        </w:tc>
        <w:tc>
          <w:tcPr>
            <w:tcW w:type="dxa" w:w="1728"/>
          </w:tcPr>
          <w:p>
            <w:r>
              <w:t>Depends: your audit retention policy, for example 365 or more</w:t>
            </w:r>
          </w:p>
        </w:tc>
        <w:tc>
          <w:tcPr>
            <w:tcW w:type="dxa" w:w="1728"/>
          </w:tcPr>
          <w:p>
            <w:r>
              <w:t>Keeping the log forever is safest for investigations but grows the database. Set it to the period your policy requires.</w:t>
            </w:r>
          </w:p>
        </w:tc>
      </w:tr>
      <w:tr>
        <w:tc>
          <w:tcPr>
            <w:tcW w:type="dxa" w:w="1728"/>
          </w:tcPr>
          <w:p>
            <w:r>
              <w:t>Log read/view events</w:t>
            </w:r>
          </w:p>
        </w:tc>
        <w:tc>
          <w:tcPr>
            <w:tcW w:type="dxa" w:w="1728"/>
          </w:tcPr>
          <w:p>
            <w:r>
              <w:t>Also records a "viewed" event each time someone opens an Account Progress record or a Risk Exception. List pages and reports are never logged.</w:t>
            </w:r>
          </w:p>
        </w:tc>
        <w:tc>
          <w:tcPr>
            <w:tcW w:type="dxa" w:w="1728"/>
          </w:tcPr>
          <w:p>
            <w:r>
              <w:t>Off</w:t>
            </w:r>
          </w:p>
        </w:tc>
        <w:tc>
          <w:tcPr>
            <w:tcW w:type="dxa" w:w="1728"/>
          </w:tcPr>
          <w:p>
            <w:r>
              <w:t>Off, unless your policy requires read auditing</w:t>
            </w:r>
          </w:p>
        </w:tc>
        <w:tc>
          <w:tcPr>
            <w:tcW w:type="dxa" w:w="1728"/>
          </w:tcPr>
          <w:p>
            <w:r>
              <w:t>Write, approval and logon events are always logged. Read logging adds an entry for every record opened, which makes the log much larger.</w:t>
            </w:r>
          </w:p>
        </w:tc>
      </w:tr>
    </w:tbl>
    <w:p/>
    <w:p>
      <w:r>
        <w:rPr>
          <w:b/>
        </w:rPr>
        <w:t>Audit retention needs the purge job.</w:t>
      </w:r>
      <w:r>
        <w:t xml:space="preserve"> Nothing is deleted until the SQL Server Agent job "Audit Log Purge" is installed. The installer does not install it: run </w:t>
      </w:r>
      <w:r>
        <w:rPr>
          <w:rFonts w:ascii="Consolas" w:hAnsi="Consolas"/>
          <w:sz w:val="19"/>
        </w:rPr>
        <w:t>Database/Manual/05_BlueTrack_ScheduleAuditLogPurgeJob.sql</w:t>
      </w:r>
      <w:r>
        <w:t xml:space="preserve"> by hand (it runs nightly at 03:00). Until a retention value is set, the job deletes nothing. The application's own database account cannot delete audit entries; only the job can.</w:t>
      </w:r>
    </w:p>
    <w:p>
      <w:pPr>
        <w:pStyle w:val="Heading2"/>
      </w:pPr>
      <w:r>
        <w:t>Backups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Backup Folder</w:t>
            </w:r>
          </w:p>
        </w:tc>
        <w:tc>
          <w:tcPr>
            <w:tcW w:type="dxa" w:w="1728"/>
          </w:tcPr>
          <w:p>
            <w:r>
              <w:t xml:space="preserve">The folder that the Deployment page's </w:t>
            </w:r>
            <w:r>
              <w:rPr>
                <w:b/>
              </w:rPr>
              <w:t>Backup App</w:t>
            </w:r>
            <w:r>
              <w:t xml:space="preserve"> button and scheduled backups write the full database backup to.</w:t>
            </w:r>
          </w:p>
        </w:tc>
        <w:tc>
          <w:tcPr>
            <w:tcW w:type="dxa" w:w="1728"/>
          </w:tcPr>
          <w:p>
            <w:r>
              <w:t>Blank</w:t>
            </w:r>
          </w:p>
        </w:tc>
        <w:tc>
          <w:tcPr>
            <w:tcW w:type="dxa" w:w="1728"/>
          </w:tcPr>
          <w:p>
            <w:r>
              <w:t>A dedicated local folder on a separate disk, listed in the allowed folders</w:t>
            </w:r>
          </w:p>
        </w:tc>
        <w:tc>
          <w:tcPr>
            <w:tcW w:type="dxa" w:w="1728"/>
          </w:tcPr>
          <w:p>
            <w:r>
              <w:t>A backup holds the whole database, including stored credentials, so keep it in a folder only specific accounts can read.</w:t>
            </w:r>
          </w:p>
        </w:tc>
      </w:tr>
      <w:tr>
        <w:tc>
          <w:tcPr>
            <w:tcW w:type="dxa" w:w="1728"/>
          </w:tcPr>
          <w:p>
            <w:r>
              <w:t>Scheduled backup time</w:t>
            </w:r>
          </w:p>
        </w:tc>
        <w:tc>
          <w:tcPr>
            <w:tcW w:type="dxa" w:w="1728"/>
          </w:tcPr>
          <w:p>
            <w:r>
              <w:t>A daily backup of the BlueTrack database at this server-local time. Blank means no scheduled backup.</w:t>
            </w:r>
          </w:p>
        </w:tc>
        <w:tc>
          <w:tcPr>
            <w:tcW w:type="dxa" w:w="1728"/>
          </w:tcPr>
          <w:p>
            <w:r>
              <w:t>Blank (off)</w:t>
            </w:r>
          </w:p>
        </w:tc>
        <w:tc>
          <w:tcPr>
            <w:tcW w:type="dxa" w:w="1728"/>
          </w:tcPr>
          <w:p>
            <w:r>
              <w:t>Set it, for a quiet hour outside the 02:00 to 04:00 import window, for example 01:00 or 05:00</w:t>
            </w:r>
          </w:p>
        </w:tc>
        <w:tc>
          <w:tcPr>
            <w:tcW w:type="dxa" w:w="1728"/>
          </w:tcPr>
          <w:p>
            <w:r>
              <w:t>A daily backup protects your tracking data and audit log. A time away from the nightly import keeps a backup from competing with the load.</w:t>
            </w:r>
          </w:p>
        </w:tc>
      </w:tr>
      <w:tr>
        <w:tc>
          <w:tcPr>
            <w:tcW w:type="dxa" w:w="1728"/>
          </w:tcPr>
          <w:p>
            <w:r>
              <w:t>Keep scheduled backups (days)</w:t>
            </w:r>
          </w:p>
        </w:tc>
        <w:tc>
          <w:tcPr>
            <w:tcW w:type="dxa" w:w="1728"/>
          </w:tcPr>
          <w:p>
            <w:r>
              <w:t>After each scheduled backup, scheduled backup files older than this are deleted. Allowed: 1 to 3650.</w:t>
            </w:r>
          </w:p>
        </w:tc>
        <w:tc>
          <w:tcPr>
            <w:tcW w:type="dxa" w:w="1728"/>
          </w:tcPr>
          <w:p>
            <w:r>
              <w:t>14</w:t>
            </w:r>
          </w:p>
        </w:tc>
        <w:tc>
          <w:tcPr>
            <w:tcW w:type="dxa" w:w="1728"/>
          </w:tcPr>
          <w:p>
            <w:r>
              <w:t>14, or your backup policy</w:t>
            </w:r>
          </w:p>
        </w:tc>
        <w:tc>
          <w:tcPr>
            <w:tcW w:type="dxa" w:w="1728"/>
          </w:tcPr>
          <w:p>
            <w:r>
              <w:t xml:space="preserve">Two weeks gives several restore points without filling the disk. Backups made with </w:t>
            </w:r>
            <w:r>
              <w:rPr>
                <w:b/>
              </w:rPr>
              <w:t>Backup App</w:t>
            </w:r>
            <w:r>
              <w:t xml:space="preserve"> are never deleted automatically.</w:t>
            </w:r>
          </w:p>
        </w:tc>
      </w:tr>
    </w:tbl>
    <w:p/>
    <w:p>
      <w:r>
        <w:t>Notes:</w:t>
      </w:r>
    </w:p>
    <w:p>
      <w:pPr>
        <w:pStyle w:val="ListBullet"/>
      </w:pPr>
      <w:r>
        <w:t>A Backup Folder is required before a scheduled backup time can be saved.</w:t>
      </w:r>
    </w:p>
    <w:p>
      <w:pPr>
        <w:pStyle w:val="ListBullet"/>
      </w:pPr>
      <w:r>
        <w:t>The folder must be a full path. It must be inside one of the server's allowed folders when those are set (see "Installer and server settings"); with none set, any local folder is allowed and network shares are refused.</w:t>
      </w:r>
    </w:p>
    <w:p>
      <w:pPr>
        <w:pStyle w:val="ListBullet"/>
      </w:pPr>
      <w:r>
        <w:t>Before every backup, BlueTrack checks the folder. If Everyone, Users, Authenticated Users, Guests, Domain Users, Domain Guests, INTERACTIVE or ANONYMOUS LOGON can read the folder or a backup in it, BlueTrack removes that access. If it isn't allowed to change the permissions, it refuses the backup and records why.</w:t>
      </w:r>
    </w:p>
    <w:p>
      <w:pPr>
        <w:pStyle w:val="ListBullet"/>
      </w:pPr>
      <w:r>
        <w:t xml:space="preserve">SQL Server writes the backup file using its own service account, which needs write access to the folder. The App Pool's account needs </w:t>
      </w:r>
      <w:r>
        <w:rPr>
          <w:b/>
        </w:rPr>
        <w:t>Modify</w:t>
      </w:r>
      <w:r>
        <w:t xml:space="preserve"> on the folder to delete old scheduled backups. If SQL Server runs on another machine, the path is on that machine, and the old-backup clean-up is skipped.</w:t>
      </w:r>
    </w:p>
    <w:p>
      <w:pPr>
        <w:pStyle w:val="ListBullet"/>
      </w:pPr>
      <w:r>
        <w:t xml:space="preserve">Scheduled backup files are named </w:t>
      </w:r>
      <w:r>
        <w:rPr>
          <w:rFonts w:ascii="Consolas" w:hAnsi="Consolas"/>
          <w:sz w:val="19"/>
        </w:rPr>
        <w:t>&lt;database&gt;_scheduled_&lt;UTC date and time&gt;.bak</w:t>
      </w:r>
      <w:r>
        <w:t xml:space="preserve">; manual backups are </w:t>
      </w:r>
      <w:r>
        <w:rPr>
          <w:rFonts w:ascii="Consolas" w:hAnsi="Consolas"/>
          <w:sz w:val="19"/>
        </w:rPr>
        <w:t>&lt;database&gt;_&lt;UTC date and time&gt;.bak</w:t>
      </w:r>
      <w:r>
        <w:t>.</w:t>
      </w:r>
    </w:p>
    <w:p>
      <w:pPr>
        <w:pStyle w:val="Heading2"/>
      </w:pPr>
      <w:r>
        <w:t>Risk scoring</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Risk Score Algorithm</w:t>
            </w:r>
          </w:p>
        </w:tc>
        <w:tc>
          <w:tcPr>
            <w:tcW w:type="dxa" w:w="1728"/>
          </w:tcPr>
          <w:p>
            <w:r>
              <w:t>How an account's risk score (0 to 1000) is combined from the targets and access groups it can reach. Dominant Plus Tail: the highest reachable risk plus a shrinking amount for each additional one. Combined Exposure: the chance that at least one reachable item is exposed.</w:t>
            </w:r>
          </w:p>
        </w:tc>
        <w:tc>
          <w:tcPr>
            <w:tcW w:type="dxa" w:w="1728"/>
          </w:tcPr>
          <w:p>
            <w:r>
              <w:t>Dominant Plus Tail</w:t>
            </w:r>
          </w:p>
        </w:tc>
        <w:tc>
          <w:tcPr>
            <w:tcW w:type="dxa" w:w="1728"/>
          </w:tcPr>
          <w:p>
            <w:r>
              <w:t>Dominant Plus Tail</w:t>
            </w:r>
          </w:p>
        </w:tc>
        <w:tc>
          <w:tcPr>
            <w:tcW w:type="dxa" w:w="1728"/>
          </w:tcPr>
          <w:p>
            <w:r>
              <w:t>Easier to explain to analysts: the score is mostly the single riskiest thing an account can reach. Choose Combined Exposure if you prefer scores that rise more steeply as access accumulates.</w:t>
            </w:r>
          </w:p>
        </w:tc>
      </w:tr>
    </w:tbl>
    <w:p/>
    <w:p>
      <w:r>
        <w:t>Changing the algorithm changes the scores shown after the next recalculation, so review the Risk Score Bands at the same time.</w:t>
      </w:r>
    </w:p>
    <w:p>
      <w:pPr>
        <w:pStyle w:val="Heading2"/>
      </w:pPr>
      <w:r>
        <w:t>Decommissioned and ignored safes</w:t>
      </w:r>
    </w:p>
    <w:p>
      <w:r>
        <w:t xml:space="preserve">Three name patterns, each with a type and a value. The types are </w:t>
      </w:r>
      <w:r>
        <w:rPr>
          <w:b/>
        </w:rPr>
        <w:t>Off</w:t>
      </w:r>
      <w:r>
        <w:t xml:space="preserve">, </w:t>
      </w:r>
      <w:r>
        <w:rPr>
          <w:b/>
        </w:rPr>
        <w:t>Prefix</w:t>
      </w:r>
      <w:r>
        <w:t xml:space="preserve"> (matches the start of the name), </w:t>
      </w:r>
      <w:r>
        <w:rPr>
          <w:b/>
        </w:rPr>
        <w:t>Suffix</w:t>
      </w:r>
      <w:r>
        <w:t xml:space="preserve"> (matches the end) and </w:t>
      </w:r>
      <w:r>
        <w:rPr>
          <w:b/>
        </w:rPr>
        <w:t>Regex</w:t>
      </w:r>
      <w:r>
        <w:t xml:space="preserve"> (a regular expression). All three types ignore case. Regex needs SQL Server 2025; on an older SQL Server the Regex choice is unavailable. Values are up to 200 characters.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Safe decommission pattern</w:t>
            </w:r>
          </w:p>
        </w:tc>
        <w:tc>
          <w:tcPr>
            <w:tcW w:type="dxa" w:w="1728"/>
          </w:tcPr>
          <w:p>
            <w:r>
              <w:t xml:space="preserve">Marks safes being retired (for example a </w:t>
            </w:r>
            <w:r>
              <w:rPr>
                <w:rFonts w:ascii="Consolas" w:hAnsi="Consolas"/>
                <w:sz w:val="19"/>
              </w:rPr>
              <w:t>DEL_</w:t>
            </w:r>
            <w:r>
              <w:t xml:space="preserve"> prefix). They appear on the "flagged for deletion" reports, and their accounts are marked.</w:t>
            </w:r>
          </w:p>
        </w:tc>
        <w:tc>
          <w:tcPr>
            <w:tcW w:type="dxa" w:w="1728"/>
          </w:tcPr>
          <w:p>
            <w:r>
              <w:t>Off</w:t>
            </w:r>
          </w:p>
        </w:tc>
        <w:tc>
          <w:tcPr>
            <w:tcW w:type="dxa" w:w="1728"/>
          </w:tcPr>
          <w:p>
            <w:r>
              <w:t>Your safe-retirement naming convention, if you have one</w:t>
            </w:r>
          </w:p>
        </w:tc>
        <w:tc>
          <w:tcPr>
            <w:tcW w:type="dxa" w:w="1728"/>
          </w:tcPr>
          <w:p>
            <w:r>
              <w:t>Lets the reports show safes being retired without anyone flagging them by hand.</w:t>
            </w:r>
          </w:p>
        </w:tc>
      </w:tr>
      <w:tr>
        <w:tc>
          <w:tcPr>
            <w:tcW w:type="dxa" w:w="1728"/>
          </w:tcPr>
          <w:p>
            <w:r>
              <w:t>Account decommission pattern</w:t>
            </w:r>
          </w:p>
        </w:tc>
        <w:tc>
          <w:tcPr>
            <w:tcW w:type="dxa" w:w="1728"/>
          </w:tcPr>
          <w:p>
            <w:r>
              <w:t>Marks accounts whose own name shows they are due for deletion.</w:t>
            </w:r>
          </w:p>
        </w:tc>
        <w:tc>
          <w:tcPr>
            <w:tcW w:type="dxa" w:w="1728"/>
          </w:tcPr>
          <w:p>
            <w:r>
              <w:t>Off</w:t>
            </w:r>
          </w:p>
        </w:tc>
        <w:tc>
          <w:tcPr>
            <w:tcW w:type="dxa" w:w="1728"/>
          </w:tcPr>
          <w:p>
            <w:r>
              <w:t>Your account-retirement convention, if you have one</w:t>
            </w:r>
          </w:p>
        </w:tc>
        <w:tc>
          <w:tcPr>
            <w:tcW w:type="dxa" w:w="1728"/>
          </w:tcPr>
          <w:p>
            <w:r>
              <w:t>Same benefit at account level. Leave Off if account names carry no such marker.</w:t>
            </w:r>
          </w:p>
        </w:tc>
      </w:tr>
      <w:tr>
        <w:tc>
          <w:tcPr>
            <w:tcW w:type="dxa" w:w="1728"/>
          </w:tcPr>
          <w:p>
            <w:r>
              <w:t>Ignored safe pattern</w:t>
            </w:r>
          </w:p>
        </w:tc>
        <w:tc>
          <w:tcPr>
            <w:tcW w:type="dxa" w:w="1728"/>
          </w:tcPr>
          <w:p>
            <w:r>
              <w:t xml:space="preserve">Safes left out of the nightly import (for example a </w:t>
            </w:r>
            <w:r>
              <w:rPr>
                <w:rFonts w:ascii="Consolas" w:hAnsi="Consolas"/>
                <w:sz w:val="19"/>
              </w:rPr>
              <w:t>ZZ_</w:t>
            </w:r>
            <w:r>
              <w:t xml:space="preserve"> prefix). Accounts already imported from them are flagged as deleted.</w:t>
            </w:r>
          </w:p>
        </w:tc>
        <w:tc>
          <w:tcPr>
            <w:tcW w:type="dxa" w:w="1728"/>
          </w:tcPr>
          <w:p>
            <w:r>
              <w:t>Off</w:t>
            </w:r>
          </w:p>
        </w:tc>
        <w:tc>
          <w:tcPr>
            <w:tcW w:type="dxa" w:w="1728"/>
          </w:tcPr>
          <w:p>
            <w:r>
              <w:t>Off, unless you have safes that should never be tracked</w:t>
            </w:r>
          </w:p>
        </w:tc>
        <w:tc>
          <w:tcPr>
            <w:tcW w:type="dxa" w:w="1728"/>
          </w:tcPr>
          <w:p>
            <w:r>
              <w:t>Excluding a safe hides its accounts from all tracking, so use it only for safes that are truly out of scope.</w:t>
            </w:r>
          </w:p>
        </w:tc>
      </w:tr>
    </w:tbl>
    <w:p/>
    <w:p>
      <w:r>
        <w:t xml:space="preserve">Use </w:t>
      </w:r>
      <w:r>
        <w:rPr>
          <w:b/>
        </w:rPr>
        <w:t>Test patterns</w:t>
      </w:r>
      <w:r>
        <w:t xml:space="preserve"> with sample names (one per line, up to 200) to see which names each unsaved pattern matches before you save. Prefer Prefix or Suffix: they are simpler to read and to check. A pattern that can't be used (for example an invalid regular expression) is refused when you save.</w:t>
      </w:r>
    </w:p>
    <w:p>
      <w:pPr>
        <w:pStyle w:val="Heading2"/>
      </w:pPr>
      <w:r>
        <w:t>Data feed schedule</w:t>
      </w:r>
    </w:p>
    <w:p>
      <w:r>
        <w:t xml:space="preserve">These settings belong to </w:t>
      </w:r>
      <w:r>
        <w:rPr>
          <w:b/>
        </w:rPr>
        <w:t>Admin &gt; Data Sources</w:t>
      </w:r>
      <w:r>
        <w:t xml:space="preserve"> but are set here.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Nightly run time</w:t>
            </w:r>
          </w:p>
        </w:tc>
        <w:tc>
          <w:tcPr>
            <w:tcW w:type="dxa" w:w="1728"/>
          </w:tcPr>
          <w:p>
            <w:r>
              <w:t>When every enabled data feed runs each day, server-local time (24-hour HH:mm).</w:t>
            </w:r>
          </w:p>
        </w:tc>
        <w:tc>
          <w:tcPr>
            <w:tcW w:type="dxa" w:w="1728"/>
          </w:tcPr>
          <w:p>
            <w:r>
              <w:t>04:00</w:t>
            </w:r>
          </w:p>
        </w:tc>
        <w:tc>
          <w:tcPr>
            <w:tcW w:type="dxa" w:w="1728"/>
          </w:tcPr>
          <w:p>
            <w:r>
              <w:t>04:00</w:t>
            </w:r>
          </w:p>
        </w:tc>
        <w:tc>
          <w:tcPr>
            <w:tcW w:type="dxa" w:w="1728"/>
          </w:tcPr>
          <w:p>
            <w:r>
              <w:t>It runs after the 02:00 Import and Load job, so feeds work on fresh CyberArk data. Keep it after that job finishes.</w:t>
            </w:r>
          </w:p>
        </w:tc>
      </w:tr>
      <w:tr>
        <w:tc>
          <w:tcPr>
            <w:tcW w:type="dxa" w:w="1728"/>
          </w:tcPr>
          <w:p>
            <w:r>
              <w:t>Keep run history (days)</w:t>
            </w:r>
          </w:p>
        </w:tc>
        <w:tc>
          <w:tcPr>
            <w:tcW w:type="dxa" w:w="1728"/>
          </w:tcPr>
          <w:p>
            <w:r>
              <w:t>How long data feed run history is kept. Allowed: 1 to 365.</w:t>
            </w:r>
          </w:p>
        </w:tc>
        <w:tc>
          <w:tcPr>
            <w:tcW w:type="dxa" w:w="1728"/>
          </w:tcPr>
          <w:p>
            <w:r>
              <w:t>15</w:t>
            </w:r>
          </w:p>
        </w:tc>
        <w:tc>
          <w:tcPr>
            <w:tcW w:type="dxa" w:w="1728"/>
          </w:tcPr>
          <w:p>
            <w:r>
              <w:t>30</w:t>
            </w:r>
          </w:p>
        </w:tc>
        <w:tc>
          <w:tcPr>
            <w:tcW w:type="dxa" w:w="1728"/>
          </w:tcPr>
          <w:p>
            <w:r>
              <w:t>A month of history makes it easier to see when a feed started failing. Shorten it only if the history grows large.</w:t>
            </w:r>
          </w:p>
        </w:tc>
      </w:tr>
      <w:tr>
        <w:tc>
          <w:tcPr>
            <w:tcW w:type="dxa" w:w="1728"/>
          </w:tcPr>
          <w:p>
            <w:r>
              <w:t>Business hours start / end</w:t>
            </w:r>
          </w:p>
        </w:tc>
        <w:tc>
          <w:tcPr>
            <w:tcW w:type="dxa" w:w="1728"/>
          </w:tcPr>
          <w:p>
            <w:r>
              <w:t xml:space="preserve">The hours in which </w:t>
            </w:r>
            <w:r>
              <w:rPr>
                <w:b/>
              </w:rPr>
              <w:t>Run now</w:t>
            </w:r>
            <w:r>
              <w:t xml:space="preserve"> and </w:t>
            </w:r>
            <w:r>
              <w:rPr>
                <w:b/>
              </w:rPr>
              <w:t>Run all</w:t>
            </w:r>
            <w:r>
              <w:t xml:space="preserve"> ask for confirmation first. The end must be later than the start; overnight windows aren't supported.</w:t>
            </w:r>
          </w:p>
        </w:tc>
        <w:tc>
          <w:tcPr>
            <w:tcW w:type="dxa" w:w="1728"/>
          </w:tcPr>
          <w:p>
            <w:r>
              <w:t>07:00 to 18:00</w:t>
            </w:r>
          </w:p>
        </w:tc>
        <w:tc>
          <w:tcPr>
            <w:tcW w:type="dxa" w:w="1728"/>
          </w:tcPr>
          <w:p>
            <w:r>
              <w:t>Your team's working hours</w:t>
            </w:r>
          </w:p>
        </w:tc>
        <w:tc>
          <w:tcPr>
            <w:tcW w:type="dxa" w:w="1728"/>
          </w:tcPr>
          <w:p>
            <w:r>
              <w:t>An import changes data people are working with, so a prompt during working hours prevents surprises.</w:t>
            </w:r>
          </w:p>
        </w:tc>
      </w:tr>
      <w:tr>
        <w:tc>
          <w:tcPr>
            <w:tcW w:type="dxa" w:w="1728"/>
          </w:tcPr>
          <w:p>
            <w:r>
              <w:t>Business days</w:t>
            </w:r>
          </w:p>
        </w:tc>
        <w:tc>
          <w:tcPr>
            <w:tcW w:type="dxa" w:w="1728"/>
          </w:tcPr>
          <w:p>
            <w:r>
              <w:t>The days the business hours apply to.</w:t>
            </w:r>
          </w:p>
        </w:tc>
        <w:tc>
          <w:tcPr>
            <w:tcW w:type="dxa" w:w="1728"/>
          </w:tcPr>
          <w:p>
            <w:r>
              <w:t>Mon to Fri</w:t>
            </w:r>
          </w:p>
        </w:tc>
        <w:tc>
          <w:tcPr>
            <w:tcW w:type="dxa" w:w="1728"/>
          </w:tcPr>
          <w:p>
            <w:r>
              <w:t>Your team's working days</w:t>
            </w:r>
          </w:p>
        </w:tc>
        <w:tc>
          <w:tcPr>
            <w:tcW w:type="dxa" w:w="1728"/>
          </w:tcPr>
          <w:p>
            <w:r>
              <w:t>Same reason as business hours.</w:t>
            </w:r>
          </w:p>
        </w:tc>
      </w:tr>
    </w:tbl>
    <w:p/>
    <w:p>
      <w:pPr>
        <w:pStyle w:val="Heading1"/>
      </w:pPr>
      <w:r>
        <w:t>2. Sign-in and access</w:t>
      </w:r>
    </w:p>
    <w:p>
      <w:pPr>
        <w:pStyle w:val="Heading2"/>
      </w:pPr>
      <w:r>
        <w:t>Identity Providers</w:t>
      </w:r>
    </w:p>
    <w:p>
      <w:r>
        <w:rPr>
          <w:b/>
        </w:rPr>
        <w:t>Admin &gt; Identity Providers</w:t>
      </w:r>
      <w:r>
        <w:t xml:space="preserve"> (permission </w:t>
      </w:r>
      <w:r>
        <w:rPr>
          <w:rFonts w:ascii="Consolas" w:hAnsi="Consolas"/>
          <w:sz w:val="19"/>
        </w:rPr>
        <w:t>ManageIdentityProviders</w:t>
      </w:r>
      <w:r>
        <w:t>). A new install has four provider rows: Windows Integrated (enabled, order 1), an OIDC row named "Microsoft Entra ID" (disabled, order 2), a SAML row named "Okta" (disabled, order 3) and DevFakeAuth (disabled, order 99). The display names are only labels; rename them to match your identity provider.</w:t>
      </w:r>
    </w:p>
    <w:p>
      <w:r>
        <w:rPr>
          <w:b/>
        </w:rPr>
        <w:t>Settings for every provider</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 Type</w:t>
            </w:r>
          </w:p>
        </w:tc>
        <w:tc>
          <w:tcPr>
            <w:tcW w:type="dxa" w:w="1728"/>
          </w:tcPr>
          <w:p>
            <w:r>
              <w:t>WindowsIntegrated, OIDC, SAML or DevFakeAuth.</w:t>
            </w:r>
          </w:p>
        </w:tc>
        <w:tc>
          <w:tcPr>
            <w:tcW w:type="dxa" w:w="1728"/>
          </w:tcPr>
          <w:p>
            <w:r>
              <w:t>OIDC (new row)</w:t>
            </w:r>
          </w:p>
        </w:tc>
        <w:tc>
          <w:tcPr>
            <w:tcW w:type="dxa" w:w="1728"/>
          </w:tcPr>
          <w:p>
            <w:r>
              <w:t>WindowsIntegrated, OIDC or SAML</w:t>
            </w:r>
          </w:p>
        </w:tc>
        <w:tc>
          <w:tcPr>
            <w:tcW w:type="dxa" w:w="1728"/>
          </w:tcPr>
          <w:p>
            <w:r>
              <w:t>DevFakeAuth is for development and testing only (see below).</w:t>
            </w:r>
          </w:p>
        </w:tc>
      </w:tr>
      <w:tr>
        <w:tc>
          <w:tcPr>
            <w:tcW w:type="dxa" w:w="1728"/>
          </w:tcPr>
          <w:p>
            <w:r>
              <w:t>Display Name</w:t>
            </w:r>
          </w:p>
        </w:tc>
        <w:tc>
          <w:tcPr>
            <w:tcW w:type="dxa" w:w="1728"/>
          </w:tcPr>
          <w:p>
            <w:r>
              <w:t>The name shown for this method.</w:t>
            </w:r>
          </w:p>
        </w:tc>
        <w:tc>
          <w:tcPr>
            <w:tcW w:type="dxa" w:w="1728"/>
          </w:tcPr>
          <w:p>
            <w:r>
              <w:t>Blank (new row)</w:t>
            </w:r>
          </w:p>
        </w:tc>
        <w:tc>
          <w:tcPr>
            <w:tcW w:type="dxa" w:w="1728"/>
          </w:tcPr>
          <w:p>
            <w:r>
              <w:t>The name users know, for example your company's single sign-on name</w:t>
            </w:r>
          </w:p>
        </w:tc>
        <w:tc>
          <w:tcPr>
            <w:tcW w:type="dxa" w:w="1728"/>
          </w:tcPr>
          <w:p>
            <w:r>
              <w:t>Users recognise which sign-in to pick.</w:t>
            </w:r>
          </w:p>
        </w:tc>
      </w:tr>
      <w:tr>
        <w:tc>
          <w:tcPr>
            <w:tcW w:type="dxa" w:w="1728"/>
          </w:tcPr>
          <w:p>
            <w:r>
              <w:t>Enabled</w:t>
            </w:r>
          </w:p>
        </w:tc>
        <w:tc>
          <w:tcPr>
            <w:tcW w:type="dxa" w:w="1728"/>
          </w:tcPr>
          <w:p>
            <w:r>
              <w:t>Whether users can sign in with this provider.</w:t>
            </w:r>
          </w:p>
        </w:tc>
        <w:tc>
          <w:tcPr>
            <w:tcW w:type="dxa" w:w="1728"/>
          </w:tcPr>
          <w:p>
            <w:r>
              <w:t>Off (new row)</w:t>
            </w:r>
          </w:p>
        </w:tc>
        <w:tc>
          <w:tcPr>
            <w:tcW w:type="dxa" w:w="1728"/>
          </w:tcPr>
          <w:p>
            <w:r>
              <w:t>On only for providers you use</w:t>
            </w:r>
          </w:p>
        </w:tc>
        <w:tc>
          <w:tcPr>
            <w:tcW w:type="dxa" w:w="1728"/>
          </w:tcPr>
          <w:p>
            <w:r>
              <w:t>Each enabled provider is another way in. A disabled provider grants nothing, even to sessions signed in before it was disabled.</w:t>
            </w:r>
          </w:p>
        </w:tc>
      </w:tr>
      <w:tr>
        <w:tc>
          <w:tcPr>
            <w:tcW w:type="dxa" w:w="1728"/>
          </w:tcPr>
          <w:p>
            <w:r>
              <w:t>Display Order</w:t>
            </w:r>
          </w:p>
        </w:tc>
        <w:tc>
          <w:tcPr>
            <w:tcW w:type="dxa" w:w="1728"/>
          </w:tcPr>
          <w:p>
            <w:r>
              <w:t>The order of providers. When two enabled providers share a type, the lower number is used.</w:t>
            </w:r>
          </w:p>
        </w:tc>
        <w:tc>
          <w:tcPr>
            <w:tcW w:type="dxa" w:w="1728"/>
          </w:tcPr>
          <w:p>
            <w:r>
              <w:t>0 (new row)</w:t>
            </w:r>
          </w:p>
        </w:tc>
        <w:tc>
          <w:tcPr>
            <w:tcW w:type="dxa" w:w="1728"/>
          </w:tcPr>
          <w:p>
            <w:r>
              <w:t>One enabled provider per type</w:t>
            </w:r>
          </w:p>
        </w:tc>
        <w:tc>
          <w:tcPr>
            <w:tcW w:type="dxa" w:w="1728"/>
          </w:tcPr>
          <w:p>
            <w:r>
              <w:t>Avoids any doubt about which configuration is used.</w:t>
            </w:r>
          </w:p>
        </w:tc>
      </w:tr>
      <w:tr>
        <w:tc>
          <w:tcPr>
            <w:tcW w:type="dxa" w:w="1728"/>
          </w:tcPr>
          <w:p>
            <w:r>
              <w:t>Secret (e.g. OIDC client secret)</w:t>
            </w:r>
          </w:p>
        </w:tc>
        <w:tc>
          <w:tcPr>
            <w:tcW w:type="dxa" w:w="1728"/>
          </w:tcPr>
          <w:p>
            <w:r>
              <w:t>The OIDC client secret. Write-only: leave blank to keep the stored one.</w:t>
            </w:r>
          </w:p>
        </w:tc>
        <w:tc>
          <w:tcPr>
            <w:tcW w:type="dxa" w:w="1728"/>
          </w:tcPr>
          <w:p>
            <w:r>
              <w:t>Blank</w:t>
            </w:r>
          </w:p>
        </w:tc>
        <w:tc>
          <w:tcPr>
            <w:tcW w:type="dxa" w:w="1728"/>
          </w:tcPr>
          <w:p>
            <w:r>
              <w:t>Set for OIDC</w:t>
            </w:r>
          </w:p>
        </w:tc>
        <w:tc>
          <w:tcPr>
            <w:tcW w:type="dxa" w:w="1728"/>
          </w:tcPr>
          <w:p>
            <w:r>
              <w:t>Stored encrypted on the server, never shown again.</w:t>
            </w:r>
          </w:p>
        </w:tc>
      </w:tr>
    </w:tbl>
    <w:p/>
    <w:p>
      <w:r>
        <w:rPr>
          <w:b/>
        </w:rPr>
        <w:t>OIDC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Authority</w:t>
            </w:r>
          </w:p>
        </w:tc>
        <w:tc>
          <w:tcPr>
            <w:tcW w:type="dxa" w:w="1728"/>
          </w:tcPr>
          <w:p>
            <w:r>
              <w:t>The identity provider's issuer address.</w:t>
            </w:r>
          </w:p>
        </w:tc>
        <w:tc>
          <w:tcPr>
            <w:tcW w:type="dxa" w:w="1728"/>
          </w:tcPr>
          <w:p>
            <w:r>
              <w:t>Blank</w:t>
            </w:r>
          </w:p>
        </w:tc>
        <w:tc>
          <w:tcPr>
            <w:tcW w:type="dxa" w:w="1728"/>
          </w:tcPr>
          <w:p>
            <w:r>
              <w:t xml:space="preserve">The issuer URL from your identity provider, </w:t>
            </w:r>
            <w:r>
              <w:rPr>
                <w:rFonts w:ascii="Consolas" w:hAnsi="Consolas"/>
                <w:sz w:val="19"/>
              </w:rPr>
              <w:t>https://</w:t>
            </w:r>
          </w:p>
        </w:tc>
        <w:tc>
          <w:tcPr>
            <w:tcW w:type="dxa" w:w="1728"/>
          </w:tcPr>
          <w:p>
            <w:r>
              <w:t>Must match the issuer in the provider's tokens.</w:t>
            </w:r>
          </w:p>
        </w:tc>
      </w:tr>
      <w:tr>
        <w:tc>
          <w:tcPr>
            <w:tcW w:type="dxa" w:w="1728"/>
          </w:tcPr>
          <w:p>
            <w:r>
              <w:t>Client ID</w:t>
            </w:r>
          </w:p>
        </w:tc>
        <w:tc>
          <w:tcPr>
            <w:tcW w:type="dxa" w:w="1728"/>
          </w:tcPr>
          <w:p>
            <w:r>
              <w:t>The application's client ID at the identity provider.</w:t>
            </w:r>
          </w:p>
        </w:tc>
        <w:tc>
          <w:tcPr>
            <w:tcW w:type="dxa" w:w="1728"/>
          </w:tcPr>
          <w:p>
            <w:r>
              <w:t>Blank</w:t>
            </w:r>
          </w:p>
        </w:tc>
        <w:tc>
          <w:tcPr>
            <w:tcW w:type="dxa" w:w="1728"/>
          </w:tcPr>
          <w:p>
            <w:r>
              <w:t>From your identity provider</w:t>
            </w:r>
          </w:p>
        </w:tc>
        <w:tc>
          <w:tcPr>
            <w:tcW w:type="dxa" w:w="1728"/>
          </w:tcPr>
          <w:p>
            <w:r>
              <w:t>Identifies BlueTrack to the provider.</w:t>
            </w:r>
          </w:p>
        </w:tc>
      </w:tr>
      <w:tr>
        <w:tc>
          <w:tcPr>
            <w:tcW w:type="dxa" w:w="1728"/>
          </w:tcPr>
          <w:p>
            <w:r>
              <w:t>Callback Path</w:t>
            </w:r>
          </w:p>
        </w:tc>
        <w:tc>
          <w:tcPr>
            <w:tcW w:type="dxa" w:w="1728"/>
          </w:tcPr>
          <w:p>
            <w:r>
              <w:t>The path the identity provider returns users to.</w:t>
            </w:r>
          </w:p>
        </w:tc>
        <w:tc>
          <w:tcPr>
            <w:tcW w:type="dxa" w:w="1728"/>
          </w:tcPr>
          <w:p>
            <w:r>
              <w:rPr>
                <w:rFonts w:ascii="Consolas" w:hAnsi="Consolas"/>
                <w:sz w:val="19"/>
              </w:rPr>
              <w:t>/signin-oidc</w:t>
            </w:r>
          </w:p>
        </w:tc>
        <w:tc>
          <w:tcPr>
            <w:tcW w:type="dxa" w:w="1728"/>
          </w:tcPr>
          <w:p>
            <w:r>
              <w:rPr>
                <w:rFonts w:ascii="Consolas" w:hAnsi="Consolas"/>
                <w:sz w:val="19"/>
              </w:rPr>
              <w:t>/signin-oidc</w:t>
            </w:r>
          </w:p>
        </w:tc>
        <w:tc>
          <w:tcPr>
            <w:tcW w:type="dxa" w:w="1728"/>
          </w:tcPr>
          <w:p>
            <w:r>
              <w:t>Change it only if your identity provider requires a different redirect path. Register the full redirect URI at the provider.</w:t>
            </w:r>
          </w:p>
        </w:tc>
      </w:tr>
      <w:tr>
        <w:tc>
          <w:tcPr>
            <w:tcW w:type="dxa" w:w="1728"/>
          </w:tcPr>
          <w:p>
            <w:r>
              <w:t>Groups Claim Type</w:t>
            </w:r>
          </w:p>
        </w:tc>
        <w:tc>
          <w:tcPr>
            <w:tcW w:type="dxa" w:w="1728"/>
          </w:tcPr>
          <w:p>
            <w:r>
              <w:t>The claim that carries the user's group names.</w:t>
            </w:r>
          </w:p>
        </w:tc>
        <w:tc>
          <w:tcPr>
            <w:tcW w:type="dxa" w:w="1728"/>
          </w:tcPr>
          <w:p>
            <w:r>
              <w:rPr>
                <w:rFonts w:ascii="Consolas" w:hAnsi="Consolas"/>
                <w:sz w:val="19"/>
              </w:rPr>
              <w:t>groups</w:t>
            </w:r>
          </w:p>
        </w:tc>
        <w:tc>
          <w:tcPr>
            <w:tcW w:type="dxa" w:w="1728"/>
          </w:tcPr>
          <w:p>
            <w:r>
              <w:t>The claim your provider uses</w:t>
            </w:r>
          </w:p>
        </w:tc>
        <w:tc>
          <w:tcPr>
            <w:tcW w:type="dxa" w:w="1728"/>
          </w:tcPr>
          <w:p>
            <w:r>
              <w:t>Group → Role Mapping matches against this claim; the wrong name means nobody gets a role.</w:t>
            </w:r>
          </w:p>
        </w:tc>
      </w:tr>
    </w:tbl>
    <w:p/>
    <w:p>
      <w:r>
        <w:t>Enabling OIDC, or changing its Authority, Client ID or secret, takes effect only after the application restarts. If the OIDC row is enabled but its Authority or Client ID is empty, OIDC doesn't start.</w:t>
      </w:r>
    </w:p>
    <w:p>
      <w:r>
        <w:rPr>
          <w:b/>
        </w:rPr>
        <w:t>SAML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SP Entity ID</w:t>
            </w:r>
          </w:p>
        </w:tc>
        <w:tc>
          <w:tcPr>
            <w:tcW w:type="dxa" w:w="1728"/>
          </w:tcPr>
          <w:p>
            <w:r>
              <w:t>BlueTrack's own SAML identity.</w:t>
            </w:r>
          </w:p>
        </w:tc>
        <w:tc>
          <w:tcPr>
            <w:tcW w:type="dxa" w:w="1728"/>
          </w:tcPr>
          <w:p>
            <w:r>
              <w:t>Blank</w:t>
            </w:r>
          </w:p>
        </w:tc>
        <w:tc>
          <w:tcPr>
            <w:tcW w:type="dxa" w:w="1728"/>
          </w:tcPr>
          <w:p>
            <w:r>
              <w:t xml:space="preserve">A stable value, for example </w:t>
            </w:r>
            <w:r>
              <w:rPr>
                <w:rFonts w:ascii="Consolas" w:hAnsi="Consolas"/>
                <w:sz w:val="19"/>
              </w:rPr>
              <w:t>https://&lt;your-BlueTrack-hostname&gt;/BlueTrack</w:t>
            </w:r>
          </w:p>
        </w:tc>
        <w:tc>
          <w:tcPr>
            <w:tcW w:type="dxa" w:w="1728"/>
          </w:tcPr>
          <w:p>
            <w:r>
              <w:t>The identity provider uses it as the audience; changing it later breaks sign-in until the provider is updated.</w:t>
            </w:r>
          </w:p>
        </w:tc>
      </w:tr>
      <w:tr>
        <w:tc>
          <w:tcPr>
            <w:tcW w:type="dxa" w:w="1728"/>
          </w:tcPr>
          <w:p>
            <w:r>
              <w:t>SP Certificate Thumbprint</w:t>
            </w:r>
          </w:p>
        </w:tc>
        <w:tc>
          <w:tcPr>
            <w:tcW w:type="dxa" w:w="1728"/>
          </w:tcPr>
          <w:p>
            <w:r>
              <w:t xml:space="preserve">BlueTrack's signing certificate, found by thumbprint in the App Pool account's own certificate store, then </w:t>
            </w:r>
            <w:r>
              <w:rPr>
                <w:rFonts w:ascii="Consolas" w:hAnsi="Consolas"/>
                <w:sz w:val="19"/>
              </w:rPr>
              <w:t>LocalMachine\My</w:t>
            </w:r>
            <w:r>
              <w:t>.</w:t>
            </w:r>
          </w:p>
        </w:tc>
        <w:tc>
          <w:tcPr>
            <w:tcW w:type="dxa" w:w="1728"/>
          </w:tcPr>
          <w:p>
            <w:r>
              <w:t>Blank</w:t>
            </w:r>
          </w:p>
        </w:tc>
        <w:tc>
          <w:tcPr>
            <w:tcW w:type="dxa" w:w="1728"/>
          </w:tcPr>
          <w:p>
            <w:r>
              <w:t>A certificate made for SAML signing</w:t>
            </w:r>
          </w:p>
        </w:tc>
        <w:tc>
          <w:tcPr>
            <w:tcW w:type="dxa" w:w="1728"/>
          </w:tcPr>
          <w:p>
            <w:r>
              <w:t>Its private key must be readable by the App Pool's account. Don't reuse the IIS TLS certificate.</w:t>
            </w:r>
          </w:p>
        </w:tc>
      </w:tr>
      <w:tr>
        <w:tc>
          <w:tcPr>
            <w:tcW w:type="dxa" w:w="1728"/>
          </w:tcPr>
          <w:p>
            <w:r>
              <w:t>IdP Entity ID</w:t>
            </w:r>
          </w:p>
        </w:tc>
        <w:tc>
          <w:tcPr>
            <w:tcW w:type="dxa" w:w="1728"/>
          </w:tcPr>
          <w:p>
            <w:r>
              <w:t>The identity provider's entity ID.</w:t>
            </w:r>
          </w:p>
        </w:tc>
        <w:tc>
          <w:tcPr>
            <w:tcW w:type="dxa" w:w="1728"/>
          </w:tcPr>
          <w:p>
            <w:r>
              <w:t>Blank</w:t>
            </w:r>
          </w:p>
        </w:tc>
        <w:tc>
          <w:tcPr>
            <w:tcW w:type="dxa" w:w="1728"/>
          </w:tcPr>
          <w:p>
            <w:r>
              <w:t>From your identity provider</w:t>
            </w:r>
          </w:p>
        </w:tc>
        <w:tc>
          <w:tcPr>
            <w:tcW w:type="dxa" w:w="1728"/>
          </w:tcPr>
          <w:p>
            <w:r>
              <w:t>Assertions are accepted only from this issuer.</w:t>
            </w:r>
          </w:p>
        </w:tc>
      </w:tr>
      <w:tr>
        <w:tc>
          <w:tcPr>
            <w:tcW w:type="dxa" w:w="1728"/>
          </w:tcPr>
          <w:p>
            <w:r>
              <w:t>IdP Single Sign-On Destination</w:t>
            </w:r>
          </w:p>
        </w:tc>
        <w:tc>
          <w:tcPr>
            <w:tcW w:type="dxa" w:w="1728"/>
          </w:tcPr>
          <w:p>
            <w:r>
              <w:t>The identity provider's sign-on URL.</w:t>
            </w:r>
          </w:p>
        </w:tc>
        <w:tc>
          <w:tcPr>
            <w:tcW w:type="dxa" w:w="1728"/>
          </w:tcPr>
          <w:p>
            <w:r>
              <w:t>Blank</w:t>
            </w:r>
          </w:p>
        </w:tc>
        <w:tc>
          <w:tcPr>
            <w:tcW w:type="dxa" w:w="1728"/>
          </w:tcPr>
          <w:p>
            <w:r>
              <w:t xml:space="preserve">From your identity provider, </w:t>
            </w:r>
            <w:r>
              <w:rPr>
                <w:rFonts w:ascii="Consolas" w:hAnsi="Consolas"/>
                <w:sz w:val="19"/>
              </w:rPr>
              <w:t>https://</w:t>
            </w:r>
          </w:p>
        </w:tc>
        <w:tc>
          <w:tcPr>
            <w:tcW w:type="dxa" w:w="1728"/>
          </w:tcPr>
          <w:p>
            <w:r>
              <w:t>Where users are sent to sign in.</w:t>
            </w:r>
          </w:p>
        </w:tc>
      </w:tr>
      <w:tr>
        <w:tc>
          <w:tcPr>
            <w:tcW w:type="dxa" w:w="1728"/>
          </w:tcPr>
          <w:p>
            <w:r>
              <w:t>IdP Single Logout Destination</w:t>
            </w:r>
          </w:p>
        </w:tc>
        <w:tc>
          <w:tcPr>
            <w:tcW w:type="dxa" w:w="1728"/>
          </w:tcPr>
          <w:p>
            <w:r>
              <w:t>The identity provider's logout URL. Optional.</w:t>
            </w:r>
          </w:p>
        </w:tc>
        <w:tc>
          <w:tcPr>
            <w:tcW w:type="dxa" w:w="1728"/>
          </w:tcPr>
          <w:p>
            <w:r>
              <w:t>Blank</w:t>
            </w:r>
          </w:p>
        </w:tc>
        <w:tc>
          <w:tcPr>
            <w:tcW w:type="dxa" w:w="1728"/>
          </w:tcPr>
          <w:p>
            <w:r>
              <w:t>Optional</w:t>
            </w:r>
          </w:p>
        </w:tc>
        <w:tc>
          <w:tcPr>
            <w:tcW w:type="dxa" w:w="1728"/>
          </w:tcPr>
          <w:p>
            <w:r>
              <w:t>Stored for future use: signing out of BlueTrack currently ends only the BlueTrack session, not the identity provider's.</w:t>
            </w:r>
          </w:p>
        </w:tc>
      </w:tr>
      <w:tr>
        <w:tc>
          <w:tcPr>
            <w:tcW w:type="dxa" w:w="1728"/>
          </w:tcPr>
          <w:p>
            <w:r>
              <w:t>IdP Certificate Thumbprint</w:t>
            </w:r>
          </w:p>
        </w:tc>
        <w:tc>
          <w:tcPr>
            <w:tcW w:type="dxa" w:w="1728"/>
          </w:tcPr>
          <w:p>
            <w:r>
              <w:t>The identity provider's signing certificate, by thumbprint in the Windows certificate store.</w:t>
            </w:r>
          </w:p>
        </w:tc>
        <w:tc>
          <w:tcPr>
            <w:tcW w:type="dxa" w:w="1728"/>
          </w:tcPr>
          <w:p>
            <w:r>
              <w:t>Blank</w:t>
            </w:r>
          </w:p>
        </w:tc>
        <w:tc>
          <w:tcPr>
            <w:tcW w:type="dxa" w:w="1728"/>
          </w:tcPr>
          <w:p>
            <w:r>
              <w:t xml:space="preserve">The provider's current signing certificate, imported into </w:t>
            </w:r>
            <w:r>
              <w:rPr>
                <w:rFonts w:ascii="Consolas" w:hAnsi="Consolas"/>
                <w:sz w:val="19"/>
              </w:rPr>
              <w:t>LocalMachine\My</w:t>
            </w:r>
          </w:p>
        </w:tc>
        <w:tc>
          <w:tcPr>
            <w:tcW w:type="dxa" w:w="1728"/>
          </w:tcPr>
          <w:p>
            <w:r>
              <w:t>BlueTrack checks assertion signatures against it. Update it before the provider rotates its certificate.</w:t>
            </w:r>
          </w:p>
        </w:tc>
      </w:tr>
      <w:tr>
        <w:tc>
          <w:tcPr>
            <w:tcW w:type="dxa" w:w="1728"/>
          </w:tcPr>
          <w:p>
            <w:r>
              <w:t>Group Claim Type</w:t>
            </w:r>
          </w:p>
        </w:tc>
        <w:tc>
          <w:tcPr>
            <w:tcW w:type="dxa" w:w="1728"/>
          </w:tcPr>
          <w:p>
            <w:r>
              <w:t>The attribute that carries group names.</w:t>
            </w:r>
          </w:p>
        </w:tc>
        <w:tc>
          <w:tcPr>
            <w:tcW w:type="dxa" w:w="1728"/>
          </w:tcPr>
          <w:p>
            <w:r>
              <w:rPr>
                <w:rFonts w:ascii="Consolas" w:hAnsi="Consolas"/>
                <w:sz w:val="19"/>
              </w:rPr>
              <w:t>http://schemas.xmlsoap.org/claims/Group</w:t>
            </w:r>
          </w:p>
        </w:tc>
        <w:tc>
          <w:tcPr>
            <w:tcW w:type="dxa" w:w="1728"/>
          </w:tcPr>
          <w:p>
            <w:r>
              <w:t>The attribute your provider sends</w:t>
            </w:r>
          </w:p>
        </w:tc>
        <w:tc>
          <w:tcPr>
            <w:tcW w:type="dxa" w:w="1728"/>
          </w:tcPr>
          <w:p>
            <w:r>
              <w:t>Same as the OIDC groups claim.</w:t>
            </w:r>
          </w:p>
        </w:tc>
      </w:tr>
    </w:tbl>
    <w:p/>
    <w:p>
      <w:r>
        <w:t>SAML changes take effect without a restart. Certificates are referenced by thumbprint only; there is no certificate upload.</w:t>
      </w:r>
    </w:p>
    <w:p>
      <w:r>
        <w:rPr>
          <w:b/>
        </w:rPr>
        <w:t>Default sign-in method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Default sign-in method</w:t>
            </w:r>
          </w:p>
        </w:tc>
        <w:tc>
          <w:tcPr>
            <w:tcW w:type="dxa" w:w="1728"/>
          </w:tcPr>
          <w:p>
            <w:r>
              <w:t>What happens when someone without a session opens BlueTrack: go straight to one method (WindowsIntegrated, OIDC or SAML), or "None", which lists the enabled methods.</w:t>
            </w:r>
          </w:p>
        </w:tc>
        <w:tc>
          <w:tcPr>
            <w:tcW w:type="dxa" w:w="1728"/>
          </w:tcPr>
          <w:p>
            <w:r>
              <w:t>WindowsIntegrated on a new install</w:t>
            </w:r>
          </w:p>
        </w:tc>
        <w:tc>
          <w:tcPr>
            <w:tcW w:type="dxa" w:w="1728"/>
          </w:tcPr>
          <w:p>
            <w:r>
              <w:t>Your main single sign-on method</w:t>
            </w:r>
          </w:p>
        </w:tc>
        <w:tc>
          <w:tcPr>
            <w:tcW w:type="dxa" w:w="1728"/>
          </w:tcPr>
          <w:p>
            <w:r>
              <w:t>Users go straight to the method you want them to use, including its multi-factor prompt.</w:t>
            </w:r>
          </w:p>
        </w:tc>
      </w:tr>
    </w:tbl>
    <w:p/>
    <w:p>
      <w:r>
        <w:t>Each method also has a direct sign-in address (</w:t>
      </w:r>
      <w:r>
        <w:rPr>
          <w:rFonts w:ascii="Consolas" w:hAnsi="Consolas"/>
          <w:sz w:val="19"/>
        </w:rPr>
        <w:t>/login/windows</w:t>
      </w:r>
      <w:r>
        <w:t xml:space="preserve">, </w:t>
      </w:r>
      <w:r>
        <w:rPr>
          <w:rFonts w:ascii="Consolas" w:hAnsi="Consolas"/>
          <w:sz w:val="19"/>
        </w:rPr>
        <w:t>/login/oidc</w:t>
      </w:r>
      <w:r>
        <w:t xml:space="preserve">, </w:t>
      </w:r>
      <w:r>
        <w:rPr>
          <w:rFonts w:ascii="Consolas" w:hAnsi="Consolas"/>
          <w:sz w:val="19"/>
        </w:rPr>
        <w:t>/login/saml</w:t>
      </w:r>
      <w:r>
        <w:t>) that always uses that method. Use the OIDC or SAML address as the launch URL of the BlueTrack tile in your identity provider's portal, so users arriving from the tile aren't signed in with Windows instead.</w:t>
      </w:r>
    </w:p>
    <w:p>
      <w:r>
        <w:rPr>
          <w:b/>
        </w:rPr>
        <w:t>DevFakeAuth.</w:t>
      </w:r>
      <w:r>
        <w:t xml:space="preserve"> This provider simulates users for development and automated testing. Its sign-in works only when BlueTrack runs in the Development environment. Keep it disabled in every other environment. BlueTrack sends a "DevFakeAuth enabled too long" alert if it stays enabled for more than 7 days.</w:t>
      </w:r>
    </w:p>
    <w:p>
      <w:pPr>
        <w:pStyle w:val="Heading2"/>
      </w:pPr>
      <w:r>
        <w:t>Group → Role Mapping</w:t>
      </w:r>
    </w:p>
    <w:p>
      <w:r>
        <w:rPr>
          <w:b/>
        </w:rPr>
        <w:t>Admin &gt; Group → Role Mapping</w:t>
      </w:r>
      <w:r>
        <w:t xml:space="preserve"> (permission </w:t>
      </w:r>
      <w:r>
        <w:rPr>
          <w:rFonts w:ascii="Consolas" w:hAnsi="Consolas"/>
          <w:sz w:val="19"/>
        </w:rPr>
        <w:t>ManageGroupRoleMapping</w:t>
      </w:r>
      <w:r>
        <w:t>). Users get roles only through their groups; BlueTrack ignores any permissions an identity provider sends in its tokens.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Provider</w:t>
            </w:r>
          </w:p>
        </w:tc>
        <w:tc>
          <w:tcPr>
            <w:tcW w:type="dxa" w:w="1728"/>
          </w:tcPr>
          <w:p>
            <w:r>
              <w:t>Which identity provider the mapping applies to.</w:t>
            </w:r>
          </w:p>
        </w:tc>
        <w:tc>
          <w:tcPr>
            <w:tcW w:type="dxa" w:w="1728"/>
          </w:tcPr>
          <w:p>
            <w:r>
              <w:t>Windows Integrated</w:t>
            </w:r>
          </w:p>
        </w:tc>
        <w:tc>
          <w:tcPr>
            <w:tcW w:type="dxa" w:w="1728"/>
          </w:tcPr>
          <w:p>
            <w:r>
              <w:t>The provider the group comes from</w:t>
            </w:r>
          </w:p>
        </w:tc>
        <w:tc>
          <w:tcPr>
            <w:tcW w:type="dxa" w:w="1728"/>
          </w:tcPr>
          <w:p>
            <w:r>
              <w:t>A mapping applies only to sign-ins through that provider.</w:t>
            </w:r>
          </w:p>
        </w:tc>
      </w:tr>
      <w:tr>
        <w:tc>
          <w:tcPr>
            <w:tcW w:type="dxa" w:w="1728"/>
          </w:tcPr>
          <w:p>
            <w:r>
              <w:t>Group Name</w:t>
            </w:r>
          </w:p>
        </w:tc>
        <w:tc>
          <w:tcPr>
            <w:tcW w:type="dxa" w:w="1728"/>
          </w:tcPr>
          <w:p>
            <w:r>
              <w:t xml:space="preserve">For Windows Integrated: an AD group as </w:t>
            </w:r>
            <w:r>
              <w:rPr>
                <w:rFonts w:ascii="Consolas" w:hAnsi="Consolas"/>
                <w:sz w:val="19"/>
              </w:rPr>
              <w:t>DOMAIN\GroupName</w:t>
            </w:r>
            <w:r>
              <w:t>, resolved to its SID when saved. For OIDC or SAML: the group name exactly as the provider sends it.</w:t>
            </w:r>
          </w:p>
        </w:tc>
        <w:tc>
          <w:tcPr>
            <w:tcW w:type="dxa" w:w="1728"/>
          </w:tcPr>
          <w:p>
            <w:r>
              <w:t>Blank</w:t>
            </w:r>
          </w:p>
        </w:tc>
        <w:tc>
          <w:tcPr>
            <w:tcW w:type="dxa" w:w="1728"/>
          </w:tcPr>
          <w:p>
            <w:r>
              <w:t>A dedicated group per BlueTrack role</w:t>
            </w:r>
          </w:p>
        </w:tc>
        <w:tc>
          <w:tcPr>
            <w:tcW w:type="dxa" w:w="1728"/>
          </w:tcPr>
          <w:p>
            <w:r>
              <w:t>Dedicated groups keep BlueTrack access separate from other access. OIDC and SAML names aren't checked when saved, so a typo never matches.</w:t>
            </w:r>
          </w:p>
        </w:tc>
      </w:tr>
      <w:tr>
        <w:tc>
          <w:tcPr>
            <w:tcW w:type="dxa" w:w="1728"/>
          </w:tcPr>
          <w:p>
            <w:r>
              <w:t>Role</w:t>
            </w:r>
          </w:p>
        </w:tc>
        <w:tc>
          <w:tcPr>
            <w:tcW w:type="dxa" w:w="1728"/>
          </w:tcPr>
          <w:p>
            <w:r>
              <w:t>The BlueTrack role the group grants.</w:t>
            </w:r>
          </w:p>
        </w:tc>
        <w:tc>
          <w:tcPr>
            <w:tcW w:type="dxa" w:w="1728"/>
          </w:tcPr>
          <w:p>
            <w:r>
              <w:t>First role in the list</w:t>
            </w:r>
          </w:p>
        </w:tc>
        <w:tc>
          <w:tcPr>
            <w:tcW w:type="dxa" w:w="1728"/>
          </w:tcPr>
          <w:p>
            <w:r>
              <w:t>The narrowest role that covers the job</w:t>
            </w:r>
          </w:p>
        </w:tc>
        <w:tc>
          <w:tcPr>
            <w:tcW w:type="dxa" w:w="1728"/>
          </w:tcPr>
          <w:p>
            <w:r>
              <w:t>Least privilege. A user in several mapped groups gets every permission from all of them.</w:t>
            </w:r>
          </w:p>
        </w:tc>
      </w:tr>
    </w:tbl>
    <w:p/>
    <w:p>
      <w:r>
        <w:t xml:space="preserve">A new install maps </w:t>
      </w:r>
      <w:r>
        <w:rPr>
          <w:rFonts w:ascii="Consolas" w:hAnsi="Consolas"/>
          <w:sz w:val="19"/>
        </w:rPr>
        <w:t>BUILTIN\Administrators</w:t>
      </w:r>
      <w:r>
        <w:t xml:space="preserve"> (local administrators of the server) to the Admin role, so the installer's smoke test and the first sign-in work. Once your own Admin group is mapped and tested, delete that mapping: local administrators of the server shouldn't automatically be BlueTrack administrators. Use the </w:t>
      </w:r>
      <w:r>
        <w:rPr>
          <w:b/>
        </w:rPr>
        <w:t>Lookup / Test Tool</w:t>
      </w:r>
      <w:r>
        <w:t xml:space="preserve"> to check what a group grants before and after a change.</w:t>
      </w:r>
    </w:p>
    <w:p>
      <w:pPr>
        <w:pStyle w:val="Heading2"/>
      </w:pPr>
      <w:r>
        <w:t>Roles &amp; Permissions</w:t>
      </w:r>
    </w:p>
    <w:p>
      <w:r>
        <w:rPr>
          <w:b/>
        </w:rPr>
        <w:t>Admin &gt; Roles &amp; Permissions</w:t>
      </w:r>
      <w:r>
        <w:t xml:space="preserve"> (permission </w:t>
      </w:r>
      <w:r>
        <w:rPr>
          <w:rFonts w:ascii="Consolas" w:hAnsi="Consolas"/>
          <w:sz w:val="19"/>
        </w:rPr>
        <w:t>ManageRolesAndPermissions</w:t>
      </w:r>
      <w:r>
        <w:t>). The list of permissions is fixed. You choose which permissions each role holds, and you can add roles.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Role Name</w:t>
            </w:r>
          </w:p>
        </w:tc>
        <w:tc>
          <w:tcPr>
            <w:tcW w:type="dxa" w:w="1728"/>
          </w:tcPr>
          <w:p>
            <w:r>
              <w:t>The role's name.</w:t>
            </w:r>
          </w:p>
        </w:tc>
        <w:tc>
          <w:tcPr>
            <w:tcW w:type="dxa" w:w="1728"/>
          </w:tcPr>
          <w:p>
            <w:r>
              <w:t>Blank (new role)</w:t>
            </w:r>
          </w:p>
        </w:tc>
        <w:tc>
          <w:tcPr>
            <w:tcW w:type="dxa" w:w="1728"/>
          </w:tcPr>
          <w:p>
            <w:r>
              <w:t>A name that says what the role is for</w:t>
            </w:r>
          </w:p>
        </w:tc>
        <w:tc>
          <w:tcPr>
            <w:tcW w:type="dxa" w:w="1728"/>
          </w:tcPr>
          <w:p>
            <w:r>
              <w:t>Clear names make reviews easier.</w:t>
            </w:r>
          </w:p>
        </w:tc>
      </w:tr>
      <w:tr>
        <w:tc>
          <w:tcPr>
            <w:tcW w:type="dxa" w:w="1728"/>
          </w:tcPr>
          <w:p>
            <w:r>
              <w:t>Description</w:t>
            </w:r>
          </w:p>
        </w:tc>
        <w:tc>
          <w:tcPr>
            <w:tcW w:type="dxa" w:w="1728"/>
          </w:tcPr>
          <w:p>
            <w:r>
              <w:t>A free-text description.</w:t>
            </w:r>
          </w:p>
        </w:tc>
        <w:tc>
          <w:tcPr>
            <w:tcW w:type="dxa" w:w="1728"/>
          </w:tcPr>
          <w:p>
            <w:r>
              <w:t>Blank (new role)</w:t>
            </w:r>
          </w:p>
        </w:tc>
        <w:tc>
          <w:tcPr>
            <w:tcW w:type="dxa" w:w="1728"/>
          </w:tcPr>
          <w:p>
            <w:r>
              <w:t>What the role is for and who holds it</w:t>
            </w:r>
          </w:p>
        </w:tc>
        <w:tc>
          <w:tcPr>
            <w:tcW w:type="dxa" w:w="1728"/>
          </w:tcPr>
          <w:p>
            <w:r>
              <w:t>Helps access reviewers.</w:t>
            </w:r>
          </w:p>
        </w:tc>
      </w:tr>
      <w:tr>
        <w:tc>
          <w:tcPr>
            <w:tcW w:type="dxa" w:w="1728"/>
          </w:tcPr>
          <w:p>
            <w:r>
              <w:t>Notification Email</w:t>
            </w:r>
          </w:p>
        </w:tc>
        <w:tc>
          <w:tcPr>
            <w:tcW w:type="dxa" w:w="1728"/>
          </w:tcPr>
          <w:p>
            <w:r>
              <w:t>An email address for the role. Used when the role is a notification type's target role.</w:t>
            </w:r>
          </w:p>
        </w:tc>
        <w:tc>
          <w:tcPr>
            <w:tcW w:type="dxa" w:w="1728"/>
          </w:tcPr>
          <w:p>
            <w:r>
              <w:t>Blank</w:t>
            </w:r>
          </w:p>
        </w:tc>
        <w:tc>
          <w:tcPr>
            <w:tcW w:type="dxa" w:w="1728"/>
          </w:tcPr>
          <w:p>
            <w:r>
              <w:t>A team mailbox, if the role receives alerts</w:t>
            </w:r>
          </w:p>
        </w:tc>
        <w:tc>
          <w:tcPr>
            <w:tcW w:type="dxa" w:w="1728"/>
          </w:tcPr>
          <w:p>
            <w:r>
              <w:t>Alerts reach a monitored mailbox rather than one person.</w:t>
            </w:r>
          </w:p>
        </w:tc>
      </w:tr>
      <w:tr>
        <w:tc>
          <w:tcPr>
            <w:tcW w:type="dxa" w:w="1728"/>
          </w:tcPr>
          <w:p>
            <w:r>
              <w:t>Permissions</w:t>
            </w:r>
          </w:p>
        </w:tc>
        <w:tc>
          <w:tcPr>
            <w:tcW w:type="dxa" w:w="1728"/>
          </w:tcPr>
          <w:p>
            <w:r>
              <w:t>The permissions the role grants.</w:t>
            </w:r>
          </w:p>
        </w:tc>
        <w:tc>
          <w:tcPr>
            <w:tcW w:type="dxa" w:w="1728"/>
          </w:tcPr>
          <w:p>
            <w:r>
              <w:t>See below</w:t>
            </w:r>
          </w:p>
        </w:tc>
        <w:tc>
          <w:tcPr>
            <w:tcW w:type="dxa" w:w="1728"/>
          </w:tcPr>
          <w:p>
            <w:r>
              <w:t>The fewest the role's job needs</w:t>
            </w:r>
          </w:p>
        </w:tc>
        <w:tc>
          <w:tcPr>
            <w:tcW w:type="dxa" w:w="1728"/>
          </w:tcPr>
          <w:p>
            <w:r>
              <w:t>Least privilege.</w:t>
            </w:r>
          </w:p>
        </w:tc>
      </w:tr>
    </w:tbl>
    <w:p/>
    <w:p>
      <w:r>
        <w:rPr>
          <w:b/>
        </w:rPr>
        <w:t>Permission catalog</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Permission</w:t>
            </w:r>
          </w:p>
        </w:tc>
        <w:tc>
          <w:tcPr>
            <w:tcW w:type="dxa" w:w="2880"/>
          </w:tcPr>
          <w:p>
            <w:r>
              <w:rPr>
                <w:b/>
              </w:rPr>
              <w:t>What it allows</w:t>
            </w:r>
          </w:p>
        </w:tc>
        <w:tc>
          <w:tcPr>
            <w:tcW w:type="dxa" w:w="2880"/>
          </w:tcPr>
          <w:p>
            <w:r>
              <w:rPr>
                <w:b/>
              </w:rPr>
              <w:t>Seeded in</w:t>
            </w:r>
          </w:p>
        </w:tc>
      </w:tr>
      <w:tr>
        <w:tc>
          <w:tcPr>
            <w:tcW w:type="dxa" w:w="2880"/>
          </w:tcPr>
          <w:p>
            <w:r>
              <w:rPr>
                <w:rFonts w:ascii="Consolas" w:hAnsi="Consolas"/>
                <w:sz w:val="19"/>
              </w:rPr>
              <w:t>ViewDashboard</w:t>
            </w:r>
          </w:p>
        </w:tc>
        <w:tc>
          <w:tcPr>
            <w:tcW w:type="dxa" w:w="2880"/>
          </w:tcPr>
          <w:p>
            <w:r>
              <w:t>View the dashboard and read tracked data</w:t>
            </w:r>
          </w:p>
        </w:tc>
        <w:tc>
          <w:tcPr>
            <w:tcW w:type="dxa" w:w="2880"/>
          </w:tcPr>
          <w:p>
            <w:r>
              <w:t>Admin, Viewer, Analyst, Approver</w:t>
            </w:r>
          </w:p>
        </w:tc>
      </w:tr>
      <w:tr>
        <w:tc>
          <w:tcPr>
            <w:tcW w:type="dxa" w:w="2880"/>
          </w:tcPr>
          <w:p>
            <w:r>
              <w:rPr>
                <w:rFonts w:ascii="Consolas" w:hAnsi="Consolas"/>
                <w:sz w:val="19"/>
              </w:rPr>
              <w:t>EditAccountProgress</w:t>
            </w:r>
          </w:p>
        </w:tc>
        <w:tc>
          <w:tcPr>
            <w:tcW w:type="dxa" w:w="2880"/>
          </w:tcPr>
          <w:p>
            <w:r>
              <w:t>Edit an account's Blueprint progress record</w:t>
            </w:r>
          </w:p>
        </w:tc>
        <w:tc>
          <w:tcPr>
            <w:tcW w:type="dxa" w:w="2880"/>
          </w:tcPr>
          <w:p>
            <w:r>
              <w:t>Admin, Analyst, Approver</w:t>
            </w:r>
          </w:p>
        </w:tc>
      </w:tr>
      <w:tr>
        <w:tc>
          <w:tcPr>
            <w:tcW w:type="dxa" w:w="2880"/>
          </w:tcPr>
          <w:p>
            <w:r>
              <w:rPr>
                <w:rFonts w:ascii="Consolas" w:hAnsi="Consolas"/>
                <w:sz w:val="19"/>
              </w:rPr>
              <w:t>ApproveExceptions</w:t>
            </w:r>
          </w:p>
        </w:tc>
        <w:tc>
          <w:tcPr>
            <w:tcW w:type="dxa" w:w="2880"/>
          </w:tcPr>
          <w:p>
            <w:r>
              <w:t>Add or approve a risk exception</w:t>
            </w:r>
          </w:p>
        </w:tc>
        <w:tc>
          <w:tcPr>
            <w:tcW w:type="dxa" w:w="2880"/>
          </w:tcPr>
          <w:p>
            <w:r>
              <w:t>Admin, Approver</w:t>
            </w:r>
          </w:p>
        </w:tc>
      </w:tr>
      <w:tr>
        <w:tc>
          <w:tcPr>
            <w:tcW w:type="dxa" w:w="2880"/>
          </w:tcPr>
          <w:p>
            <w:r>
              <w:rPr>
                <w:rFonts w:ascii="Consolas" w:hAnsi="Consolas"/>
                <w:sz w:val="19"/>
              </w:rPr>
              <w:t>ConfirmReconciliation</w:t>
            </w:r>
          </w:p>
        </w:tc>
        <w:tc>
          <w:tcPr>
            <w:tcW w:type="dxa" w:w="2880"/>
          </w:tcPr>
          <w:p>
            <w:r>
              <w:t>Confirm an account reconciliation match</w:t>
            </w:r>
          </w:p>
        </w:tc>
        <w:tc>
          <w:tcPr>
            <w:tcW w:type="dxa" w:w="2880"/>
          </w:tcPr>
          <w:p>
            <w:r>
              <w:t>Admin, Approver</w:t>
            </w:r>
          </w:p>
        </w:tc>
      </w:tr>
      <w:tr>
        <w:tc>
          <w:tcPr>
            <w:tcW w:type="dxa" w:w="2880"/>
          </w:tcPr>
          <w:p>
            <w:r>
              <w:rPr>
                <w:rFonts w:ascii="Consolas" w:hAnsi="Consolas"/>
                <w:sz w:val="19"/>
              </w:rPr>
              <w:t>ManageTargets</w:t>
            </w:r>
          </w:p>
        </w:tc>
        <w:tc>
          <w:tcPr>
            <w:tcW w:type="dxa" w:w="2880"/>
          </w:tcPr>
          <w:p>
            <w:r>
              <w:t>Manage the Target inventory; also opens Target Match Review and Import Mapping Profiles</w:t>
            </w:r>
          </w:p>
        </w:tc>
        <w:tc>
          <w:tcPr>
            <w:tcW w:type="dxa" w:w="2880"/>
          </w:tcPr>
          <w:p>
            <w:r>
              <w:t>Admin, Analyst</w:t>
            </w:r>
          </w:p>
        </w:tc>
      </w:tr>
      <w:tr>
        <w:tc>
          <w:tcPr>
            <w:tcW w:type="dxa" w:w="2880"/>
          </w:tcPr>
          <w:p>
            <w:r>
              <w:rPr>
                <w:rFonts w:ascii="Consolas" w:hAnsi="Consolas"/>
                <w:sz w:val="19"/>
              </w:rPr>
              <w:t>ManageAccessGroups</w:t>
            </w:r>
          </w:p>
        </w:tc>
        <w:tc>
          <w:tcPr>
            <w:tcW w:type="dxa" w:w="2880"/>
          </w:tcPr>
          <w:p>
            <w:r>
              <w:t>Manage Access Groups for risk scoring</w:t>
            </w:r>
          </w:p>
        </w:tc>
        <w:tc>
          <w:tcPr>
            <w:tcW w:type="dxa" w:w="2880"/>
          </w:tcPr>
          <w:p>
            <w:r>
              <w:t>Admin, Analyst</w:t>
            </w:r>
          </w:p>
        </w:tc>
      </w:tr>
      <w:tr>
        <w:tc>
          <w:tcPr>
            <w:tcW w:type="dxa" w:w="2880"/>
          </w:tcPr>
          <w:p>
            <w:r>
              <w:rPr>
                <w:rFonts w:ascii="Consolas" w:hAnsi="Consolas"/>
                <w:sz w:val="19"/>
              </w:rPr>
              <w:t>ViewRiskReport</w:t>
            </w:r>
          </w:p>
        </w:tc>
        <w:tc>
          <w:tcPr>
            <w:tcW w:type="dxa" w:w="2880"/>
          </w:tcPr>
          <w:p>
            <w:r>
              <w:t>View the account risk score report</w:t>
            </w:r>
          </w:p>
        </w:tc>
        <w:tc>
          <w:tcPr>
            <w:tcW w:type="dxa" w:w="2880"/>
          </w:tcPr>
          <w:p>
            <w:r>
              <w:t>Admin, Analyst</w:t>
            </w:r>
          </w:p>
        </w:tc>
      </w:tr>
      <w:tr>
        <w:tc>
          <w:tcPr>
            <w:tcW w:type="dxa" w:w="2880"/>
          </w:tcPr>
          <w:p>
            <w:r>
              <w:rPr>
                <w:rFonts w:ascii="Consolas" w:hAnsi="Consolas"/>
                <w:sz w:val="19"/>
              </w:rPr>
              <w:t>ManageRiskScoreBands</w:t>
            </w:r>
          </w:p>
        </w:tc>
        <w:tc>
          <w:tcPr>
            <w:tcW w:type="dxa" w:w="2880"/>
          </w:tcPr>
          <w:p>
            <w:r>
              <w:t>Manage Risk Score Bands</w:t>
            </w:r>
          </w:p>
        </w:tc>
        <w:tc>
          <w:tcPr>
            <w:tcW w:type="dxa" w:w="2880"/>
          </w:tcPr>
          <w:p>
            <w:r>
              <w:t>Admin</w:t>
            </w:r>
          </w:p>
        </w:tc>
      </w:tr>
      <w:tr>
        <w:tc>
          <w:tcPr>
            <w:tcW w:type="dxa" w:w="2880"/>
          </w:tcPr>
          <w:p>
            <w:r>
              <w:rPr>
                <w:rFonts w:ascii="Consolas" w:hAnsi="Consolas"/>
                <w:sz w:val="19"/>
              </w:rPr>
              <w:t>ViewDiscoveredAccounts</w:t>
            </w:r>
          </w:p>
        </w:tc>
        <w:tc>
          <w:tcPr>
            <w:tcW w:type="dxa" w:w="2880"/>
          </w:tcPr>
          <w:p>
            <w:r>
              <w:t>View the Discovered Accounts report</w:t>
            </w:r>
          </w:p>
        </w:tc>
        <w:tc>
          <w:tcPr>
            <w:tcW w:type="dxa" w:w="2880"/>
          </w:tcPr>
          <w:p>
            <w:r>
              <w:t>Admin</w:t>
            </w:r>
          </w:p>
        </w:tc>
      </w:tr>
      <w:tr>
        <w:tc>
          <w:tcPr>
            <w:tcW w:type="dxa" w:w="2880"/>
          </w:tcPr>
          <w:p>
            <w:r>
              <w:rPr>
                <w:rFonts w:ascii="Consolas" w:hAnsi="Consolas"/>
                <w:sz w:val="19"/>
              </w:rPr>
              <w:t>ManageDiscoveredAccounts</w:t>
            </w:r>
          </w:p>
        </w:tc>
        <w:tc>
          <w:tcPr>
            <w:tcW w:type="dxa" w:w="2880"/>
          </w:tcPr>
          <w:p>
            <w:r>
              <w:t>Accept or dismiss a Discovered Account</w:t>
            </w:r>
          </w:p>
        </w:tc>
        <w:tc>
          <w:tcPr>
            <w:tcW w:type="dxa" w:w="2880"/>
          </w:tcPr>
          <w:p>
            <w:r>
              <w:t>Admin</w:t>
            </w:r>
          </w:p>
        </w:tc>
      </w:tr>
      <w:tr>
        <w:tc>
          <w:tcPr>
            <w:tcW w:type="dxa" w:w="2880"/>
          </w:tcPr>
          <w:p>
            <w:r>
              <w:rPr>
                <w:rFonts w:ascii="Consolas" w:hAnsi="Consolas"/>
                <w:sz w:val="19"/>
              </w:rPr>
              <w:t>ViewRiskExceptionSodReport</w:t>
            </w:r>
          </w:p>
        </w:tc>
        <w:tc>
          <w:tcPr>
            <w:tcW w:type="dxa" w:w="2880"/>
          </w:tcPr>
          <w:p>
            <w:r>
              <w:t>View the Risk Exception segregation-of-duties report</w:t>
            </w:r>
          </w:p>
        </w:tc>
        <w:tc>
          <w:tcPr>
            <w:tcW w:type="dxa" w:w="2880"/>
          </w:tcPr>
          <w:p>
            <w:r>
              <w:t>Admin</w:t>
            </w:r>
          </w:p>
        </w:tc>
      </w:tr>
      <w:tr>
        <w:tc>
          <w:tcPr>
            <w:tcW w:type="dxa" w:w="2880"/>
          </w:tcPr>
          <w:p>
            <w:r>
              <w:rPr>
                <w:rFonts w:ascii="Consolas" w:hAnsi="Consolas"/>
                <w:sz w:val="19"/>
              </w:rPr>
              <w:t>DeleteAccounts</w:t>
            </w:r>
          </w:p>
        </w:tc>
        <w:tc>
          <w:tcPr>
            <w:tcW w:type="dxa" w:w="2880"/>
          </w:tcPr>
          <w:p>
            <w:r>
              <w:t>Delete and undelete accounts in BlueTrack, with a reason</w:t>
            </w:r>
          </w:p>
        </w:tc>
        <w:tc>
          <w:tcPr>
            <w:tcW w:type="dxa" w:w="2880"/>
          </w:tcPr>
          <w:p>
            <w:r>
              <w:t>Admin</w:t>
            </w:r>
          </w:p>
        </w:tc>
      </w:tr>
      <w:tr>
        <w:tc>
          <w:tcPr>
            <w:tcW w:type="dxa" w:w="2880"/>
          </w:tcPr>
          <w:p>
            <w:r>
              <w:rPr>
                <w:rFonts w:ascii="Consolas" w:hAnsi="Consolas"/>
                <w:sz w:val="19"/>
              </w:rPr>
              <w:t>CuratePlatformMapping</w:t>
            </w:r>
          </w:p>
        </w:tc>
        <w:tc>
          <w:tcPr>
            <w:tcW w:type="dxa" w:w="2880"/>
          </w:tcPr>
          <w:p>
            <w:r>
              <w:t>Curate the platform to account-type mapping</w:t>
            </w:r>
          </w:p>
        </w:tc>
        <w:tc>
          <w:tcPr>
            <w:tcW w:type="dxa" w:w="2880"/>
          </w:tcPr>
          <w:p>
            <w:r>
              <w:t>Admin</w:t>
            </w:r>
          </w:p>
        </w:tc>
      </w:tr>
      <w:tr>
        <w:tc>
          <w:tcPr>
            <w:tcW w:type="dxa" w:w="2880"/>
          </w:tcPr>
          <w:p>
            <w:r>
              <w:rPr>
                <w:rFonts w:ascii="Consolas" w:hAnsi="Consolas"/>
                <w:sz w:val="19"/>
              </w:rPr>
              <w:t>CurateApplicationMapping</w:t>
            </w:r>
          </w:p>
        </w:tc>
        <w:tc>
          <w:tcPr>
            <w:tcW w:type="dxa" w:w="2880"/>
          </w:tcPr>
          <w:p>
            <w:r>
              <w:t>Manage Applications and Application ↔ Safe Mapping</w:t>
            </w:r>
          </w:p>
        </w:tc>
        <w:tc>
          <w:tcPr>
            <w:tcW w:type="dxa" w:w="2880"/>
          </w:tcPr>
          <w:p>
            <w:r>
              <w:t>Admin</w:t>
            </w:r>
          </w:p>
        </w:tc>
      </w:tr>
      <w:tr>
        <w:tc>
          <w:tcPr>
            <w:tcW w:type="dxa" w:w="2880"/>
          </w:tcPr>
          <w:p>
            <w:r>
              <w:rPr>
                <w:rFonts w:ascii="Consolas" w:hAnsi="Consolas"/>
                <w:sz w:val="19"/>
              </w:rPr>
              <w:t>ManageFieldMetadata</w:t>
            </w:r>
          </w:p>
        </w:tc>
        <w:tc>
          <w:tcPr>
            <w:tcW w:type="dxa" w:w="2880"/>
          </w:tcPr>
          <w:p>
            <w:r>
              <w:t>Manage Field Metadata</w:t>
            </w:r>
          </w:p>
        </w:tc>
        <w:tc>
          <w:tcPr>
            <w:tcW w:type="dxa" w:w="2880"/>
          </w:tcPr>
          <w:p>
            <w:r>
              <w:t>Admin</w:t>
            </w:r>
          </w:p>
        </w:tc>
      </w:tr>
      <w:tr>
        <w:tc>
          <w:tcPr>
            <w:tcW w:type="dxa" w:w="2880"/>
          </w:tcPr>
          <w:p>
            <w:r>
              <w:rPr>
                <w:rFonts w:ascii="Consolas" w:hAnsi="Consolas"/>
                <w:sz w:val="19"/>
              </w:rPr>
              <w:t>ManageDataSources</w:t>
            </w:r>
          </w:p>
        </w:tc>
        <w:tc>
          <w:tcPr>
            <w:tcW w:type="dxa" w:w="2880"/>
          </w:tcPr>
          <w:p>
            <w:r>
              <w:t>Manage, test and run data feeds</w:t>
            </w:r>
          </w:p>
        </w:tc>
        <w:tc>
          <w:tcPr>
            <w:tcW w:type="dxa" w:w="2880"/>
          </w:tcPr>
          <w:p>
            <w:r>
              <w:t>Admin</w:t>
            </w:r>
          </w:p>
        </w:tc>
      </w:tr>
      <w:tr>
        <w:tc>
          <w:tcPr>
            <w:tcW w:type="dxa" w:w="2880"/>
          </w:tcPr>
          <w:p>
            <w:r>
              <w:rPr>
                <w:rFonts w:ascii="Consolas" w:hAnsi="Consolas"/>
                <w:sz w:val="19"/>
              </w:rPr>
              <w:t>ViewAuditLog</w:t>
            </w:r>
          </w:p>
        </w:tc>
        <w:tc>
          <w:tcPr>
            <w:tcW w:type="dxa" w:w="2880"/>
          </w:tcPr>
          <w:p>
            <w:r>
              <w:t>View the audit log</w:t>
            </w:r>
          </w:p>
        </w:tc>
        <w:tc>
          <w:tcPr>
            <w:tcW w:type="dxa" w:w="2880"/>
          </w:tcPr>
          <w:p>
            <w:r>
              <w:t>Admin, Auditor</w:t>
            </w:r>
          </w:p>
        </w:tc>
      </w:tr>
      <w:tr>
        <w:tc>
          <w:tcPr>
            <w:tcW w:type="dxa" w:w="2880"/>
          </w:tcPr>
          <w:p>
            <w:r>
              <w:rPr>
                <w:rFonts w:ascii="Consolas" w:hAnsi="Consolas"/>
                <w:sz w:val="19"/>
              </w:rPr>
              <w:t>ViewDeploymentInfo</w:t>
            </w:r>
          </w:p>
        </w:tc>
        <w:tc>
          <w:tcPr>
            <w:tcW w:type="dxa" w:w="2880"/>
          </w:tcPr>
          <w:p>
            <w:r>
              <w:t>View the Deployment page, health checks and backup status</w:t>
            </w:r>
          </w:p>
        </w:tc>
        <w:tc>
          <w:tcPr>
            <w:tcW w:type="dxa" w:w="2880"/>
          </w:tcPr>
          <w:p>
            <w:r>
              <w:t>Admin</w:t>
            </w:r>
          </w:p>
        </w:tc>
      </w:tr>
      <w:tr>
        <w:tc>
          <w:tcPr>
            <w:tcW w:type="dxa" w:w="2880"/>
          </w:tcPr>
          <w:p>
            <w:r>
              <w:rPr>
                <w:rFonts w:ascii="Consolas" w:hAnsi="Consolas"/>
                <w:sz w:val="19"/>
              </w:rPr>
              <w:t>TriggerBackup</w:t>
            </w:r>
          </w:p>
        </w:tc>
        <w:tc>
          <w:tcPr>
            <w:tcW w:type="dxa" w:w="2880"/>
          </w:tcPr>
          <w:p>
            <w:r>
              <w:t xml:space="preserve">Run </w:t>
            </w:r>
            <w:r>
              <w:rPr>
                <w:b/>
              </w:rPr>
              <w:t>Backup App</w:t>
            </w:r>
            <w:r>
              <w:t xml:space="preserve"> on the Deployment page</w:t>
            </w:r>
          </w:p>
        </w:tc>
        <w:tc>
          <w:tcPr>
            <w:tcW w:type="dxa" w:w="2880"/>
          </w:tcPr>
          <w:p>
            <w:r>
              <w:t>Admin</w:t>
            </w:r>
          </w:p>
        </w:tc>
      </w:tr>
      <w:tr>
        <w:tc>
          <w:tcPr>
            <w:tcW w:type="dxa" w:w="2880"/>
          </w:tcPr>
          <w:p>
            <w:r>
              <w:rPr>
                <w:rFonts w:ascii="Consolas" w:hAnsi="Consolas"/>
                <w:sz w:val="19"/>
              </w:rPr>
              <w:t>ManageApplicationConfiguration</w:t>
            </w:r>
          </w:p>
        </w:tc>
        <w:tc>
          <w:tcPr>
            <w:tcW w:type="dxa" w:w="2880"/>
          </w:tcPr>
          <w:p>
            <w:r>
              <w:t>Change Global Application Configuration</w:t>
            </w:r>
          </w:p>
        </w:tc>
        <w:tc>
          <w:tcPr>
            <w:tcW w:type="dxa" w:w="2880"/>
          </w:tcPr>
          <w:p>
            <w:r>
              <w:t>Admin</w:t>
            </w:r>
          </w:p>
        </w:tc>
      </w:tr>
      <w:tr>
        <w:tc>
          <w:tcPr>
            <w:tcW w:type="dxa" w:w="2880"/>
          </w:tcPr>
          <w:p>
            <w:r>
              <w:rPr>
                <w:rFonts w:ascii="Consolas" w:hAnsi="Consolas"/>
                <w:sz w:val="19"/>
              </w:rPr>
              <w:t>ManageIdentityProviders</w:t>
            </w:r>
          </w:p>
        </w:tc>
        <w:tc>
          <w:tcPr>
            <w:tcW w:type="dxa" w:w="2880"/>
          </w:tcPr>
          <w:p>
            <w:r>
              <w:t>Configure identity providers</w:t>
            </w:r>
          </w:p>
        </w:tc>
        <w:tc>
          <w:tcPr>
            <w:tcW w:type="dxa" w:w="2880"/>
          </w:tcPr>
          <w:p>
            <w:r>
              <w:t>Admin</w:t>
            </w:r>
          </w:p>
        </w:tc>
      </w:tr>
      <w:tr>
        <w:tc>
          <w:tcPr>
            <w:tcW w:type="dxa" w:w="2880"/>
          </w:tcPr>
          <w:p>
            <w:r>
              <w:rPr>
                <w:rFonts w:ascii="Consolas" w:hAnsi="Consolas"/>
                <w:sz w:val="19"/>
              </w:rPr>
              <w:t>ManageGroupRoleMapping</w:t>
            </w:r>
          </w:p>
        </w:tc>
        <w:tc>
          <w:tcPr>
            <w:tcW w:type="dxa" w:w="2880"/>
          </w:tcPr>
          <w:p>
            <w:r>
              <w:t>Manage Group → Role Mapping</w:t>
            </w:r>
          </w:p>
        </w:tc>
        <w:tc>
          <w:tcPr>
            <w:tcW w:type="dxa" w:w="2880"/>
          </w:tcPr>
          <w:p>
            <w:r>
              <w:t>Admin</w:t>
            </w:r>
          </w:p>
        </w:tc>
      </w:tr>
      <w:tr>
        <w:tc>
          <w:tcPr>
            <w:tcW w:type="dxa" w:w="2880"/>
          </w:tcPr>
          <w:p>
            <w:r>
              <w:rPr>
                <w:rFonts w:ascii="Consolas" w:hAnsi="Consolas"/>
                <w:sz w:val="19"/>
              </w:rPr>
              <w:t>ManageRolesAndPermissions</w:t>
            </w:r>
          </w:p>
        </w:tc>
        <w:tc>
          <w:tcPr>
            <w:tcW w:type="dxa" w:w="2880"/>
          </w:tcPr>
          <w:p>
            <w:r>
              <w:t>Manage roles and their permissions</w:t>
            </w:r>
          </w:p>
        </w:tc>
        <w:tc>
          <w:tcPr>
            <w:tcW w:type="dxa" w:w="2880"/>
          </w:tcPr>
          <w:p>
            <w:r>
              <w:t>Admin</w:t>
            </w:r>
          </w:p>
        </w:tc>
      </w:tr>
      <w:tr>
        <w:tc>
          <w:tcPr>
            <w:tcW w:type="dxa" w:w="2880"/>
          </w:tcPr>
          <w:p>
            <w:r>
              <w:rPr>
                <w:rFonts w:ascii="Consolas" w:hAnsi="Consolas"/>
                <w:sz w:val="19"/>
              </w:rPr>
              <w:t>ReloadRights</w:t>
            </w:r>
          </w:p>
        </w:tc>
        <w:tc>
          <w:tcPr>
            <w:tcW w:type="dxa" w:w="2880"/>
          </w:tcPr>
          <w:p>
            <w:r>
              <w:t>Reload another user's rights</w:t>
            </w:r>
          </w:p>
        </w:tc>
        <w:tc>
          <w:tcPr>
            <w:tcW w:type="dxa" w:w="2880"/>
          </w:tcPr>
          <w:p>
            <w:r>
              <w:t>Admin</w:t>
            </w:r>
          </w:p>
        </w:tc>
      </w:tr>
      <w:tr>
        <w:tc>
          <w:tcPr>
            <w:tcW w:type="dxa" w:w="2880"/>
          </w:tcPr>
          <w:p>
            <w:r>
              <w:rPr>
                <w:rFonts w:ascii="Consolas" w:hAnsi="Consolas"/>
                <w:sz w:val="19"/>
              </w:rPr>
              <w:t>ManageSecretsStore</w:t>
            </w:r>
          </w:p>
        </w:tc>
        <w:tc>
          <w:tcPr>
            <w:tcW w:type="dxa" w:w="2880"/>
          </w:tcPr>
          <w:p>
            <w:r>
              <w:t>Configure Secrets Store backends</w:t>
            </w:r>
          </w:p>
        </w:tc>
        <w:tc>
          <w:tcPr>
            <w:tcW w:type="dxa" w:w="2880"/>
          </w:tcPr>
          <w:p>
            <w:r>
              <w:t>Admin</w:t>
            </w:r>
          </w:p>
        </w:tc>
      </w:tr>
      <w:tr>
        <w:tc>
          <w:tcPr>
            <w:tcW w:type="dxa" w:w="2880"/>
          </w:tcPr>
          <w:p>
            <w:r>
              <w:rPr>
                <w:rFonts w:ascii="Consolas" w:hAnsi="Consolas"/>
                <w:sz w:val="19"/>
              </w:rPr>
              <w:t>ManageCredentials</w:t>
            </w:r>
          </w:p>
        </w:tc>
        <w:tc>
          <w:tcPr>
            <w:tcW w:type="dxa" w:w="2880"/>
          </w:tcPr>
          <w:p>
            <w:r>
              <w:t>Manage credentials and LDAP configuration</w:t>
            </w:r>
          </w:p>
        </w:tc>
        <w:tc>
          <w:tcPr>
            <w:tcW w:type="dxa" w:w="2880"/>
          </w:tcPr>
          <w:p>
            <w:r>
              <w:t>Admin</w:t>
            </w:r>
          </w:p>
        </w:tc>
      </w:tr>
      <w:tr>
        <w:tc>
          <w:tcPr>
            <w:tcW w:type="dxa" w:w="2880"/>
          </w:tcPr>
          <w:p>
            <w:r>
              <w:rPr>
                <w:rFonts w:ascii="Consolas" w:hAnsi="Consolas"/>
                <w:sz w:val="19"/>
              </w:rPr>
              <w:t>ManageNotifications</w:t>
            </w:r>
          </w:p>
        </w:tc>
        <w:tc>
          <w:tcPr>
            <w:tcW w:type="dxa" w:w="2880"/>
          </w:tcPr>
          <w:p>
            <w:r>
              <w:t>Configure SMTP, notification types and recipients</w:t>
            </w:r>
          </w:p>
        </w:tc>
        <w:tc>
          <w:tcPr>
            <w:tcW w:type="dxa" w:w="2880"/>
          </w:tcPr>
          <w:p>
            <w:r>
              <w:t>Admin</w:t>
            </w:r>
          </w:p>
        </w:tc>
      </w:tr>
    </w:tbl>
    <w:p/>
    <w:p>
      <w:r>
        <w:rPr>
          <w:b/>
        </w:rPr>
        <w:t>Seeded roles</w:t>
      </w:r>
    </w:p>
    <w:tbl>
      <w:tblPr>
        <w:tblStyle w:val="TableGrid"/>
        <w:tblW w:type="auto" w:w="0"/>
        <w:tblLook w:firstColumn="1" w:firstRow="1" w:lastColumn="0" w:lastRow="0" w:noHBand="0" w:noVBand="1" w:val="04A0"/>
      </w:tblPr>
      <w:tblGrid>
        <w:gridCol w:w="2880"/>
        <w:gridCol w:w="2880"/>
        <w:gridCol w:w="2880"/>
      </w:tblGrid>
      <w:tr>
        <w:tc>
          <w:tcPr>
            <w:tcW w:type="dxa" w:w="2880"/>
          </w:tcPr>
          <w:p>
            <w:r>
              <w:rPr>
                <w:b/>
              </w:rPr>
              <w:t>Role</w:t>
            </w:r>
          </w:p>
        </w:tc>
        <w:tc>
          <w:tcPr>
            <w:tcW w:type="dxa" w:w="2880"/>
          </w:tcPr>
          <w:p>
            <w:r>
              <w:rPr>
                <w:b/>
              </w:rPr>
              <w:t>Permissions on a new install</w:t>
            </w:r>
          </w:p>
        </w:tc>
        <w:tc>
          <w:tcPr>
            <w:tcW w:type="dxa" w:w="2880"/>
          </w:tcPr>
          <w:p>
            <w:r>
              <w:rPr>
                <w:b/>
              </w:rPr>
              <w:t>Recommended use</w:t>
            </w:r>
          </w:p>
        </w:tc>
      </w:tr>
      <w:tr>
        <w:tc>
          <w:tcPr>
            <w:tcW w:type="dxa" w:w="2880"/>
          </w:tcPr>
          <w:p>
            <w:r>
              <w:t>Admin</w:t>
            </w:r>
          </w:p>
        </w:tc>
        <w:tc>
          <w:tcPr>
            <w:tcW w:type="dxa" w:w="2880"/>
          </w:tcPr>
          <w:p>
            <w:r>
              <w:t>Every permission</w:t>
            </w:r>
          </w:p>
        </w:tc>
        <w:tc>
          <w:tcPr>
            <w:tcW w:type="dxa" w:w="2880"/>
          </w:tcPr>
          <w:p>
            <w:r>
              <w:t>A small group of BlueTrack administrators only.</w:t>
            </w:r>
          </w:p>
        </w:tc>
      </w:tr>
      <w:tr>
        <w:tc>
          <w:tcPr>
            <w:tcW w:type="dxa" w:w="2880"/>
          </w:tcPr>
          <w:p>
            <w:r>
              <w:t>Viewer</w:t>
            </w:r>
          </w:p>
        </w:tc>
        <w:tc>
          <w:tcPr>
            <w:tcW w:type="dxa" w:w="2880"/>
          </w:tcPr>
          <w:p>
            <w:r>
              <w:rPr>
                <w:rFonts w:ascii="Consolas" w:hAnsi="Consolas"/>
                <w:sz w:val="19"/>
              </w:rPr>
              <w:t>ViewDashboard</w:t>
            </w:r>
          </w:p>
        </w:tc>
        <w:tc>
          <w:tcPr>
            <w:tcW w:type="dxa" w:w="2880"/>
          </w:tcPr>
          <w:p>
            <w:r>
              <w:t>Anyone who only needs to see progress.</w:t>
            </w:r>
          </w:p>
        </w:tc>
      </w:tr>
      <w:tr>
        <w:tc>
          <w:tcPr>
            <w:tcW w:type="dxa" w:w="2880"/>
          </w:tcPr>
          <w:p>
            <w:r>
              <w:t>Analyst</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ManageTargets</w:t>
            </w:r>
            <w:r>
              <w:t xml:space="preserve">, </w:t>
            </w:r>
            <w:r>
              <w:rPr>
                <w:rFonts w:ascii="Consolas" w:hAnsi="Consolas"/>
                <w:sz w:val="19"/>
              </w:rPr>
              <w:t>ManageAccessGroups</w:t>
            </w:r>
          </w:p>
        </w:tc>
        <w:tc>
          <w:tcPr>
            <w:tcW w:type="dxa" w:w="2880"/>
          </w:tcPr>
          <w:p>
            <w:r>
              <w:t>Staff who update onboarding progress and risk inventory.</w:t>
            </w:r>
          </w:p>
        </w:tc>
      </w:tr>
      <w:tr>
        <w:tc>
          <w:tcPr>
            <w:tcW w:type="dxa" w:w="2880"/>
          </w:tcPr>
          <w:p>
            <w:r>
              <w:t>Approver</w:t>
            </w:r>
          </w:p>
        </w:tc>
        <w:tc>
          <w:tcPr>
            <w:tcW w:type="dxa" w:w="2880"/>
          </w:tcPr>
          <w:p>
            <w:r>
              <w:rPr>
                <w:rFonts w:ascii="Consolas" w:hAnsi="Consolas"/>
                <w:sz w:val="19"/>
              </w:rPr>
              <w:t>ViewDashboard</w:t>
            </w:r>
            <w:r>
              <w:t xml:space="preserve">, </w:t>
            </w:r>
            <w:r>
              <w:rPr>
                <w:rFonts w:ascii="Consolas" w:hAnsi="Consolas"/>
                <w:sz w:val="19"/>
              </w:rPr>
              <w:t>EditAccountProgress</w:t>
            </w:r>
            <w:r>
              <w:t xml:space="preserve">, </w:t>
            </w:r>
            <w:r>
              <w:rPr>
                <w:rFonts w:ascii="Consolas" w:hAnsi="Consolas"/>
                <w:sz w:val="19"/>
              </w:rPr>
              <w:t>ConfirmReconciliation</w:t>
            </w:r>
            <w:r>
              <w:t xml:space="preserve">, </w:t>
            </w:r>
            <w:r>
              <w:rPr>
                <w:rFonts w:ascii="Consolas" w:hAnsi="Consolas"/>
                <w:sz w:val="19"/>
              </w:rPr>
              <w:t>ApproveExceptions</w:t>
            </w:r>
          </w:p>
        </w:tc>
        <w:tc>
          <w:tcPr>
            <w:tcW w:type="dxa" w:w="2880"/>
          </w:tcPr>
          <w:p>
            <w:r>
              <w:t>Staff who approve risk exceptions and confirm matches.</w:t>
            </w:r>
          </w:p>
        </w:tc>
      </w:tr>
      <w:tr>
        <w:tc>
          <w:tcPr>
            <w:tcW w:type="dxa" w:w="2880"/>
          </w:tcPr>
          <w:p>
            <w:r>
              <w:t>Auditor</w:t>
            </w:r>
          </w:p>
        </w:tc>
        <w:tc>
          <w:tcPr>
            <w:tcW w:type="dxa" w:w="2880"/>
          </w:tcPr>
          <w:p>
            <w:r>
              <w:rPr>
                <w:rFonts w:ascii="Consolas" w:hAnsi="Consolas"/>
                <w:sz w:val="19"/>
              </w:rPr>
              <w:t>ViewAuditLog</w:t>
            </w:r>
          </w:p>
        </w:tc>
        <w:tc>
          <w:tcPr>
            <w:tcW w:type="dxa" w:w="2880"/>
          </w:tcPr>
          <w:p>
            <w:r>
              <w:t>Auditors; gives no access to tracked data.</w:t>
            </w:r>
          </w:p>
        </w:tc>
      </w:tr>
    </w:tbl>
    <w:p/>
    <w:p>
      <w:r>
        <w:t>Recommendations:</w:t>
      </w:r>
    </w:p>
    <w:p>
      <w:pPr>
        <w:pStyle w:val="ListBullet"/>
      </w:pPr>
      <w:r>
        <w:rPr>
          <w:b/>
        </w:rPr>
        <w:t>Split the Admin role.</w:t>
      </w:r>
      <w:r>
        <w:t xml:space="preserve"> Admin holds every permission. Consider separate roles for security settings (identity providers, group mapping, roles, secrets, credentials) and for day-to-day data administration (data sources, field metadata, risk bands, application mapping), so no one holds more than their job needs.</w:t>
      </w:r>
    </w:p>
    <w:p>
      <w:pPr>
        <w:pStyle w:val="ListBullet"/>
      </w:pPr>
      <w:r>
        <w:rPr>
          <w:b/>
        </w:rPr>
        <w:t>Grant reports by need.</w:t>
      </w:r>
      <w:r>
        <w:t xml:space="preserve"> The risk score report, Discovered Accounts and the segregation-of-duties report are Admin-only on a new install. Add them to Analyst or Approver only if those staff use them.</w:t>
      </w:r>
    </w:p>
    <w:p>
      <w:pPr>
        <w:pStyle w:val="ListBullet"/>
      </w:pPr>
      <w:r>
        <w:rPr>
          <w:b/>
        </w:rPr>
        <w:t>Keep `DeleteAccounts` narrow.</w:t>
      </w:r>
      <w:r>
        <w:t xml:space="preserve"> It removes accounts from tracking. Grant it only to people who should do that.</w:t>
      </w:r>
    </w:p>
    <w:p>
      <w:pPr>
        <w:pStyle w:val="ListBullet"/>
      </w:pPr>
      <w:r>
        <w:rPr>
          <w:b/>
        </w:rPr>
        <w:t>Mind `ManageTargets`.</w:t>
      </w:r>
      <w:r>
        <w:t xml:space="preserve"> It also lets Analysts edit Import Mapping Profiles, which change how data feeds read files. Remove it from Analyst if that should be an administrator task.</w:t>
      </w:r>
    </w:p>
    <w:p>
      <w:pPr>
        <w:pStyle w:val="ListBullet"/>
      </w:pPr>
      <w:r>
        <w:rPr>
          <w:b/>
        </w:rPr>
        <w:t>Sending a stored credential to a new SMTP server</w:t>
      </w:r>
      <w:r>
        <w:t xml:space="preserve"> needs </w:t>
      </w:r>
      <w:r>
        <w:rPr>
          <w:rFonts w:ascii="Consolas" w:hAnsi="Consolas"/>
          <w:sz w:val="19"/>
        </w:rPr>
        <w:t>ManageCredentials</w:t>
      </w:r>
      <w:r>
        <w:t xml:space="preserve"> as well as </w:t>
      </w:r>
      <w:r>
        <w:rPr>
          <w:rFonts w:ascii="Consolas" w:hAnsi="Consolas"/>
          <w:sz w:val="19"/>
        </w:rPr>
        <w:t>ManageNotifications</w:t>
      </w:r>
      <w:r>
        <w:t xml:space="preserve">, so keep </w:t>
      </w:r>
      <w:r>
        <w:rPr>
          <w:rFonts w:ascii="Consolas" w:hAnsi="Consolas"/>
          <w:sz w:val="19"/>
        </w:rPr>
        <w:t>ManageCredentials</w:t>
      </w:r>
      <w:r>
        <w:t xml:space="preserve"> with security administrators.</w:t>
      </w:r>
    </w:p>
    <w:p>
      <w:pPr>
        <w:pStyle w:val="ListBullet"/>
      </w:pPr>
      <w:r>
        <w:t>A role still mapped to a group can't be deleted. Permission changes apply to every user on their next request.</w:t>
      </w:r>
    </w:p>
    <w:p>
      <w:pPr>
        <w:pStyle w:val="Heading1"/>
      </w:pPr>
      <w:r>
        <w:t>3. Secrets Store and Credentials</w:t>
      </w:r>
    </w:p>
    <w:p>
      <w:pPr>
        <w:pStyle w:val="Heading2"/>
      </w:pPr>
      <w:r>
        <w:t>Secrets Store Configuration</w:t>
      </w:r>
    </w:p>
    <w:p>
      <w:r>
        <w:rPr>
          <w:b/>
        </w:rPr>
        <w:t>Admin &gt; Secrets Store Configuration</w:t>
      </w:r>
      <w:r>
        <w:t xml:space="preserve"> (permission </w:t>
      </w:r>
      <w:r>
        <w:rPr>
          <w:rFonts w:ascii="Consolas" w:hAnsi="Consolas"/>
          <w:sz w:val="19"/>
        </w:rPr>
        <w:t>ManageSecretsStore</w:t>
      </w:r>
      <w:r>
        <w:t xml:space="preserve">). Exactly one backend is active at a time; Windows DPAPI is active on a new install. Click </w:t>
      </w:r>
      <w:r>
        <w:rPr>
          <w:b/>
        </w:rPr>
        <w:t>Make Active</w:t>
      </w:r>
      <w:r>
        <w:t xml:space="preserve"> to switch, or </w:t>
      </w:r>
      <w:r>
        <w:rPr>
          <w:b/>
        </w:rPr>
        <w:t>Save</w:t>
      </w:r>
      <w:r>
        <w:t xml:space="preserve"> on the active backend. </w:t>
      </w:r>
      <w:r>
        <w:rPr>
          <w:b/>
        </w:rPr>
        <w:t>Test Connection</w:t>
      </w:r>
      <w:r>
        <w:t xml:space="preserve"> fetches one secret from the active backend and reports success with the user name and address, never the secret itself.</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Backend</w:t>
            </w:r>
          </w:p>
        </w:tc>
        <w:tc>
          <w:tcPr>
            <w:tcW w:type="dxa" w:w="1728"/>
          </w:tcPr>
          <w:p>
            <w:r>
              <w:rPr>
                <w:b/>
              </w:rPr>
              <w:t>Settings</w:t>
            </w:r>
          </w:p>
        </w:tc>
        <w:tc>
          <w:tcPr>
            <w:tcW w:type="dxa" w:w="1728"/>
          </w:tcPr>
          <w:p>
            <w:r>
              <w:rPr>
                <w:b/>
              </w:rPr>
              <w:t>Credential column</w:t>
            </w:r>
          </w:p>
        </w:tc>
        <w:tc>
          <w:tcPr>
            <w:tcW w:type="dxa" w:w="1728"/>
          </w:tcPr>
          <w:p>
            <w:r>
              <w:rPr>
                <w:b/>
              </w:rPr>
              <w:t>Recommended when</w:t>
            </w:r>
          </w:p>
        </w:tc>
        <w:tc>
          <w:tcPr>
            <w:tcW w:type="dxa" w:w="1728"/>
          </w:tcPr>
          <w:p>
            <w:r>
              <w:rPr>
                <w:b/>
              </w:rPr>
              <w:t>Why</w:t>
            </w:r>
          </w:p>
        </w:tc>
      </w:tr>
      <w:tr>
        <w:tc>
          <w:tcPr>
            <w:tcW w:type="dxa" w:w="1728"/>
          </w:tcPr>
          <w:p>
            <w:r>
              <w:t>WindowsDpapi</w:t>
            </w:r>
          </w:p>
        </w:tc>
        <w:tc>
          <w:tcPr>
            <w:tcW w:type="dxa" w:w="1728"/>
          </w:tcPr>
          <w:p>
            <w:r>
              <w:t>None</w:t>
            </w:r>
          </w:p>
        </w:tc>
        <w:tc>
          <w:tcPr>
            <w:tcW w:type="dxa" w:w="1728"/>
          </w:tcPr>
          <w:p>
            <w:r>
              <w:t>Not used</w:t>
            </w:r>
          </w:p>
        </w:tc>
        <w:tc>
          <w:tcPr>
            <w:tcW w:type="dxa" w:w="1728"/>
          </w:tcPr>
          <w:p>
            <w:r>
              <w:t>You have no central vault, or for a single server</w:t>
            </w:r>
          </w:p>
        </w:tc>
        <w:tc>
          <w:tcPr>
            <w:tcW w:type="dxa" w:w="1728"/>
          </w:tcPr>
          <w:p>
            <w:r>
              <w:t>Built in, no dependency. Secrets are tied to this server and can't be shared with another.</w:t>
            </w:r>
          </w:p>
        </w:tc>
      </w:tr>
      <w:tr>
        <w:tc>
          <w:tcPr>
            <w:tcW w:type="dxa" w:w="1728"/>
          </w:tcPr>
          <w:p>
            <w:r>
              <w:t>CyberArkCP</w:t>
            </w:r>
          </w:p>
        </w:tc>
        <w:tc>
          <w:tcPr>
            <w:tcW w:type="dxa" w:w="1728"/>
          </w:tcPr>
          <w:p>
            <w:r>
              <w:t>App ID</w:t>
            </w:r>
          </w:p>
        </w:tc>
        <w:tc>
          <w:tcPr>
            <w:tcW w:type="dxa" w:w="1728"/>
          </w:tcPr>
          <w:p>
            <w:r>
              <w:t>Not used</w:t>
            </w:r>
          </w:p>
        </w:tc>
        <w:tc>
          <w:tcPr>
            <w:tcW w:type="dxa" w:w="1728"/>
          </w:tcPr>
          <w:p>
            <w:r>
              <w:t>The CyberArk Credential Provider is installed on the server</w:t>
            </w:r>
          </w:p>
        </w:tc>
        <w:tc>
          <w:tcPr>
            <w:tcW w:type="dxa" w:w="1728"/>
          </w:tcPr>
          <w:p>
            <w:r>
              <w:t>Retrieval from the local CyberArk agent. Works only if BlueTrack was built with the CyberArk Application Password SDK.</w:t>
            </w:r>
          </w:p>
        </w:tc>
      </w:tr>
      <w:tr>
        <w:tc>
          <w:tcPr>
            <w:tcW w:type="dxa" w:w="1728"/>
          </w:tcPr>
          <w:p>
            <w:r>
              <w:t>CyberArkCCP</w:t>
            </w:r>
          </w:p>
        </w:tc>
        <w:tc>
          <w:tcPr>
            <w:tcW w:type="dxa" w:w="1728"/>
          </w:tcPr>
          <w:p>
            <w:r>
              <w:t>Base URL (</w:t>
            </w:r>
            <w:r>
              <w:rPr>
                <w:rFonts w:ascii="Consolas" w:hAnsi="Consolas"/>
                <w:sz w:val="19"/>
              </w:rPr>
              <w:t>https://</w:t>
            </w:r>
            <w:r>
              <w:t>), App ID</w:t>
            </w:r>
          </w:p>
        </w:tc>
        <w:tc>
          <w:tcPr>
            <w:tcW w:type="dxa" w:w="1728"/>
          </w:tcPr>
          <w:p>
            <w:r>
              <w:t>Not used</w:t>
            </w:r>
          </w:p>
        </w:tc>
        <w:tc>
          <w:tcPr>
            <w:tcW w:type="dxa" w:w="1728"/>
          </w:tcPr>
          <w:p>
            <w:r>
              <w:t>You use the CyberArk Central Credential Provider</w:t>
            </w:r>
          </w:p>
        </w:tc>
        <w:tc>
          <w:tcPr>
            <w:tcW w:type="dxa" w:w="1728"/>
          </w:tcPr>
          <w:p>
            <w:r>
              <w:t>No local agent needed.</w:t>
            </w:r>
          </w:p>
        </w:tc>
      </w:tr>
      <w:tr>
        <w:tc>
          <w:tcPr>
            <w:tcW w:type="dxa" w:w="1728"/>
          </w:tcPr>
          <w:p>
            <w:r>
              <w:t>CyberArkConjur</w:t>
            </w:r>
          </w:p>
        </w:tc>
        <w:tc>
          <w:tcPr>
            <w:tcW w:type="dxa" w:w="1728"/>
          </w:tcPr>
          <w:p>
            <w:r>
              <w:t>Appliance URL (</w:t>
            </w:r>
            <w:r>
              <w:rPr>
                <w:rFonts w:ascii="Consolas" w:hAnsi="Consolas"/>
                <w:sz w:val="19"/>
              </w:rPr>
              <w:t>https://</w:t>
            </w:r>
            <w:r>
              <w:t>), Account, Login</w:t>
            </w:r>
          </w:p>
        </w:tc>
        <w:tc>
          <w:tcPr>
            <w:tcW w:type="dxa" w:w="1728"/>
          </w:tcPr>
          <w:p>
            <w:r>
              <w:t>The Conjur API key</w:t>
            </w:r>
          </w:p>
        </w:tc>
        <w:tc>
          <w:tcPr>
            <w:tcW w:type="dxa" w:w="1728"/>
          </w:tcPr>
          <w:p>
            <w:r>
              <w:t>You use Conjur</w:t>
            </w:r>
          </w:p>
        </w:tc>
        <w:tc>
          <w:tcPr>
            <w:tcW w:type="dxa" w:w="1728"/>
          </w:tcPr>
          <w:p>
            <w:r>
              <w:t>The API key is stored encrypted on the server.</w:t>
            </w:r>
          </w:p>
        </w:tc>
      </w:tr>
      <w:tr>
        <w:tc>
          <w:tcPr>
            <w:tcW w:type="dxa" w:w="1728"/>
          </w:tcPr>
          <w:p>
            <w:r>
              <w:t>AzureKeyVault</w:t>
            </w:r>
          </w:p>
        </w:tc>
        <w:tc>
          <w:tcPr>
            <w:tcW w:type="dxa" w:w="1728"/>
          </w:tcPr>
          <w:p>
            <w:r>
              <w:t>Vault URI (</w:t>
            </w:r>
            <w:r>
              <w:rPr>
                <w:rFonts w:ascii="Consolas" w:hAnsi="Consolas"/>
                <w:sz w:val="19"/>
              </w:rPr>
              <w:t>https://</w:t>
            </w:r>
            <w:r>
              <w:t>), Auth Method (ManagedIdentity or ServicePrincipal), Tenant ID and Client ID for a service principal, Client ID for a user-assigned managed identity</w:t>
            </w:r>
          </w:p>
        </w:tc>
        <w:tc>
          <w:tcPr>
            <w:tcW w:type="dxa" w:w="1728"/>
          </w:tcPr>
          <w:p>
            <w:r>
              <w:t>The client secret, for ServicePrincipal only</w:t>
            </w:r>
          </w:p>
        </w:tc>
        <w:tc>
          <w:tcPr>
            <w:tcW w:type="dxa" w:w="1728"/>
          </w:tcPr>
          <w:p>
            <w:r>
              <w:t>BlueTrack runs in Azure</w:t>
            </w:r>
          </w:p>
        </w:tc>
        <w:tc>
          <w:tcPr>
            <w:tcW w:type="dxa" w:w="1728"/>
          </w:tcPr>
          <w:p>
            <w:r>
              <w:t xml:space="preserve">Prefer </w:t>
            </w:r>
            <w:r>
              <w:rPr>
                <w:b/>
              </w:rPr>
              <w:t>ManagedIdentity</w:t>
            </w:r>
            <w:r>
              <w:t xml:space="preserve"> (the default): no secret is stored at all.</w:t>
            </w:r>
          </w:p>
        </w:tc>
      </w:tr>
      <w:tr>
        <w:tc>
          <w:tcPr>
            <w:tcW w:type="dxa" w:w="1728"/>
          </w:tcPr>
          <w:p>
            <w:r>
              <w:t>AwsSecretsManager</w:t>
            </w:r>
          </w:p>
        </w:tc>
        <w:tc>
          <w:tcPr>
            <w:tcW w:type="dxa" w:w="1728"/>
          </w:tcPr>
          <w:p>
            <w:r>
              <w:t>Region, Auth Method (IamRole or AccessKey), Access Key ID for AccessKey</w:t>
            </w:r>
          </w:p>
        </w:tc>
        <w:tc>
          <w:tcPr>
            <w:tcW w:type="dxa" w:w="1728"/>
          </w:tcPr>
          <w:p>
            <w:r>
              <w:t>The secret access key, for AccessKey only</w:t>
            </w:r>
          </w:p>
        </w:tc>
        <w:tc>
          <w:tcPr>
            <w:tcW w:type="dxa" w:w="1728"/>
          </w:tcPr>
          <w:p>
            <w:r>
              <w:t>BlueTrack runs in AWS</w:t>
            </w:r>
          </w:p>
        </w:tc>
        <w:tc>
          <w:tcPr>
            <w:tcW w:type="dxa" w:w="1728"/>
          </w:tcPr>
          <w:p>
            <w:r>
              <w:t xml:space="preserve">Prefer </w:t>
            </w:r>
            <w:r>
              <w:rPr>
                <w:b/>
              </w:rPr>
              <w:t>IamRole</w:t>
            </w:r>
            <w:r>
              <w:t xml:space="preserve"> (the default): no key is stored at all.</w:t>
            </w:r>
          </w:p>
        </w:tc>
      </w:tr>
    </w:tbl>
    <w:p/>
    <w:p>
      <w:r>
        <w:t>Notes:</w:t>
      </w:r>
    </w:p>
    <w:p>
      <w:pPr>
        <w:pStyle w:val="ListBullet"/>
      </w:pPr>
      <w:r>
        <w:rPr>
          <w:b/>
        </w:rPr>
        <w:t>HTTPS only.</w:t>
      </w:r>
      <w:r>
        <w:t xml:space="preserve"> The CCP Base URL, Conjur Appliance URL and Azure Vault URI must start with </w:t>
      </w:r>
      <w:r>
        <w:rPr>
          <w:rFonts w:ascii="Consolas" w:hAnsi="Consolas"/>
          <w:sz w:val="19"/>
        </w:rPr>
        <w:t>https://</w:t>
      </w:r>
      <w:r>
        <w:t xml:space="preserve">; an </w:t>
      </w:r>
      <w:r>
        <w:rPr>
          <w:rFonts w:ascii="Consolas" w:hAnsi="Consolas"/>
          <w:sz w:val="19"/>
        </w:rPr>
        <w:t>http://</w:t>
      </w:r>
      <w:r>
        <w:t xml:space="preserve"> address is refused.</w:t>
      </w:r>
    </w:p>
    <w:p>
      <w:pPr>
        <w:pStyle w:val="ListBullet"/>
      </w:pPr>
      <w:r>
        <w:rPr>
          <w:b/>
        </w:rPr>
        <w:t>Credentials are write-only.</w:t>
      </w:r>
      <w:r>
        <w:t xml:space="preserve"> A stored credential shows "(already set -- leave blank to keep)". Saving again without retyping keeps it.</w:t>
      </w:r>
    </w:p>
    <w:p>
      <w:pPr>
        <w:pStyle w:val="ListBullet"/>
      </w:pPr>
      <w:r>
        <w:rPr>
          <w:b/>
        </w:rPr>
        <w:t>Short CyberArk outages.</w:t>
      </w:r>
      <w:r>
        <w:t xml:space="preserve"> For CyberArk CP and CCP, BlueTrack tries a live fetch first and, if CyberArk is briefly unreachable, uses the last value fetched for that secret within the past 24 hours. Saving the backend clears these kept values.</w:t>
      </w:r>
    </w:p>
    <w:p>
      <w:pPr>
        <w:pStyle w:val="ListBullet"/>
      </w:pPr>
      <w:r>
        <w:t>Recommended: use your organization's existing vault where you have one, so secrets are managed, rotated and audited in one place. Prefer authentication methods that store nothing on the BlueTrack server (CP, managed identity, IAM role).</w:t>
      </w:r>
    </w:p>
    <w:p>
      <w:pPr>
        <w:pStyle w:val="Heading2"/>
      </w:pPr>
      <w:r>
        <w:t>Credentials</w:t>
      </w:r>
    </w:p>
    <w:p>
      <w:r>
        <w:rPr>
          <w:b/>
        </w:rPr>
        <w:t>Admin &gt; Credentials &amp; LDAP</w:t>
      </w:r>
      <w:r>
        <w:t xml:space="preserve"> (permission </w:t>
      </w:r>
      <w:r>
        <w:rPr>
          <w:rFonts w:ascii="Consolas" w:hAnsi="Consolas"/>
          <w:sz w:val="19"/>
        </w:rPr>
        <w:t>ManageCredentials</w:t>
      </w:r>
      <w:r>
        <w:t>). Named credentials that BlueTrack itself signs in with: the SMTP account and LDAP bind accounts.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credential's name, chosen on the SMTP and LDAP settings.</w:t>
            </w:r>
          </w:p>
        </w:tc>
        <w:tc>
          <w:tcPr>
            <w:tcW w:type="dxa" w:w="1728"/>
          </w:tcPr>
          <w:p>
            <w:r>
              <w:t>Blank</w:t>
            </w:r>
          </w:p>
        </w:tc>
        <w:tc>
          <w:tcPr>
            <w:tcW w:type="dxa" w:w="1728"/>
          </w:tcPr>
          <w:p>
            <w:r>
              <w:t>Say what it is for, for example "SMTP relay account"</w:t>
            </w:r>
          </w:p>
        </w:tc>
        <w:tc>
          <w:tcPr>
            <w:tcW w:type="dxa" w:w="1728"/>
          </w:tcPr>
          <w:p>
            <w:r>
              <w:t>Clear names avoid using the wrong account.</w:t>
            </w:r>
          </w:p>
        </w:tc>
      </w:tr>
      <w:tr>
        <w:tc>
          <w:tcPr>
            <w:tcW w:type="dxa" w:w="1728"/>
          </w:tcPr>
          <w:p>
            <w:r>
              <w:t>Backend</w:t>
            </w:r>
          </w:p>
        </w:tc>
        <w:tc>
          <w:tcPr>
            <w:tcW w:type="dxa" w:w="1728"/>
          </w:tcPr>
          <w:p>
            <w:r>
              <w:t>Where the password is kept: WindowsDpapi (on this server) or one of the vault backends.</w:t>
            </w:r>
          </w:p>
        </w:tc>
        <w:tc>
          <w:tcPr>
            <w:tcW w:type="dxa" w:w="1728"/>
          </w:tcPr>
          <w:p>
            <w:r>
              <w:t>WindowsDpapi</w:t>
            </w:r>
          </w:p>
        </w:tc>
        <w:tc>
          <w:tcPr>
            <w:tcW w:type="dxa" w:w="1728"/>
          </w:tcPr>
          <w:p>
            <w:r>
              <w:t>A vault backend if you have one</w:t>
            </w:r>
          </w:p>
        </w:tc>
        <w:tc>
          <w:tcPr>
            <w:tcW w:type="dxa" w:w="1728"/>
          </w:tcPr>
          <w:p>
            <w:r>
              <w:t>The password is then managed and rotated in the vault.</w:t>
            </w:r>
          </w:p>
        </w:tc>
      </w:tr>
      <w:tr>
        <w:tc>
          <w:tcPr>
            <w:tcW w:type="dxa" w:w="1728"/>
          </w:tcPr>
          <w:p>
            <w:r>
              <w:t>Username and Password (WindowsDpapi)</w:t>
            </w:r>
          </w:p>
        </w:tc>
        <w:tc>
          <w:tcPr>
            <w:tcW w:type="dxa" w:w="1728"/>
          </w:tcPr>
          <w:p>
            <w:r>
              <w:t>The account and its password, encrypted on this server. Leave the password blank to keep it.</w:t>
            </w:r>
          </w:p>
        </w:tc>
        <w:tc>
          <w:tcPr>
            <w:tcW w:type="dxa" w:w="1728"/>
          </w:tcPr>
          <w:p>
            <w:r>
              <w:t>Blank</w:t>
            </w:r>
          </w:p>
        </w:tc>
        <w:tc>
          <w:tcPr>
            <w:tcW w:type="dxa" w:w="1728"/>
          </w:tcPr>
          <w:p>
            <w:r>
              <w:t>A dedicated service account</w:t>
            </w:r>
          </w:p>
        </w:tc>
        <w:tc>
          <w:tcPr>
            <w:tcW w:type="dxa" w:w="1728"/>
          </w:tcPr>
          <w:p>
            <w:r>
              <w:t>A dedicated account limits what a leaked password can do.</w:t>
            </w:r>
          </w:p>
        </w:tc>
      </w:tr>
      <w:tr>
        <w:tc>
          <w:tcPr>
            <w:tcW w:type="dxa" w:w="1728"/>
          </w:tcPr>
          <w:p>
            <w:r>
              <w:t>DPAPI Scope (WindowsDpapi)</w:t>
            </w:r>
          </w:p>
        </w:tc>
        <w:tc>
          <w:tcPr>
            <w:tcW w:type="dxa" w:w="1728"/>
          </w:tcPr>
          <w:p>
            <w:r>
              <w:t>Machine: any process on this server can decrypt it. User: only the App Pool's account can.</w:t>
            </w:r>
          </w:p>
        </w:tc>
        <w:tc>
          <w:tcPr>
            <w:tcW w:type="dxa" w:w="1728"/>
          </w:tcPr>
          <w:p>
            <w:r>
              <w:t>Machine</w:t>
            </w:r>
          </w:p>
        </w:tc>
        <w:tc>
          <w:tcPr>
            <w:tcW w:type="dxa" w:w="1728"/>
          </w:tcPr>
          <w:p>
            <w:r>
              <w:t>User</w:t>
            </w:r>
          </w:p>
        </w:tc>
        <w:tc>
          <w:tcPr>
            <w:tcW w:type="dxa" w:w="1728"/>
          </w:tcPr>
          <w:p>
            <w:r>
              <w:t>User scope keeps other processes on the server, and anyone holding a database backup, from decrypting it.</w:t>
            </w:r>
          </w:p>
        </w:tc>
      </w:tr>
      <w:tr>
        <w:tc>
          <w:tcPr>
            <w:tcW w:type="dxa" w:w="1728"/>
          </w:tcPr>
          <w:p>
            <w:r>
              <w:t>Safe, Folder, Object / Secret Name (vault backends)</w:t>
            </w:r>
          </w:p>
        </w:tc>
        <w:tc>
          <w:tcPr>
            <w:tcW w:type="dxa" w:w="1728"/>
          </w:tcPr>
          <w:p>
            <w:r>
              <w:t>Where the credential is found in the vault, using that backend's settings from the Secrets Store page.</w:t>
            </w:r>
          </w:p>
        </w:tc>
        <w:tc>
          <w:tcPr>
            <w:tcW w:type="dxa" w:w="1728"/>
          </w:tcPr>
          <w:p>
            <w:r>
              <w:t>Blank</w:t>
            </w:r>
          </w:p>
        </w:tc>
        <w:tc>
          <w:tcPr>
            <w:tcW w:type="dxa" w:w="1728"/>
          </w:tcPr>
          <w:p>
            <w:r>
              <w:t>As named in your vault</w:t>
            </w:r>
          </w:p>
        </w:tc>
        <w:tc>
          <w:tcPr>
            <w:tcW w:type="dxa" w:w="1728"/>
          </w:tcPr>
          <w:p>
            <w:r>
              <w:t>BlueTrack fetches the current password each time it's used.</w:t>
            </w:r>
          </w:p>
        </w:tc>
      </w:tr>
    </w:tbl>
    <w:p/>
    <w:p>
      <w:r>
        <w:t xml:space="preserve">A new User-scope credential is stored at Machine scope until the application decrypts it once, then upgrades itself. As with any DPAPI secret, a credential can't be decrypted on a different server, and a User-scope one can't be decrypted after the App Pool's account changes: re-enter the password in those cases. Use </w:t>
      </w:r>
      <w:r>
        <w:rPr>
          <w:b/>
        </w:rPr>
        <w:t>Test</w:t>
      </w:r>
      <w:r>
        <w:t xml:space="preserve"> to check a credential.</w:t>
      </w:r>
    </w:p>
    <w:p>
      <w:pPr>
        <w:pStyle w:val="Heading2"/>
      </w:pPr>
      <w:r>
        <w:t>LDAP Configuration</w:t>
      </w:r>
    </w:p>
    <w:p>
      <w:r>
        <w:t>On the same page: one row per Active Directory domain or forest BlueTrack queries (notification recipient lookup and AD account discovery).</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Domain Name</w:t>
            </w:r>
          </w:p>
        </w:tc>
        <w:tc>
          <w:tcPr>
            <w:tcW w:type="dxa" w:w="1728"/>
          </w:tcPr>
          <w:p>
            <w:r>
              <w:t>The domain this row is for.</w:t>
            </w:r>
          </w:p>
        </w:tc>
        <w:tc>
          <w:tcPr>
            <w:tcW w:type="dxa" w:w="1728"/>
          </w:tcPr>
          <w:p>
            <w:r>
              <w:rPr>
                <w:rFonts w:ascii="Consolas" w:hAnsi="Consolas"/>
                <w:sz w:val="19"/>
              </w:rPr>
              <w:t>Default</w:t>
            </w:r>
          </w:p>
        </w:tc>
        <w:tc>
          <w:tcPr>
            <w:tcW w:type="dxa" w:w="1728"/>
          </w:tcPr>
          <w:p>
            <w:r>
              <w:t>Your domain's DNS name</w:t>
            </w:r>
          </w:p>
        </w:tc>
        <w:tc>
          <w:tcPr>
            <w:tcW w:type="dxa" w:w="1728"/>
          </w:tcPr>
          <w:p>
            <w:r>
              <w:t>Identifies the row.</w:t>
            </w:r>
          </w:p>
        </w:tc>
      </w:tr>
      <w:tr>
        <w:tc>
          <w:tcPr>
            <w:tcW w:type="dxa" w:w="1728"/>
          </w:tcPr>
          <w:p>
            <w:r>
              <w:t>Enabled</w:t>
            </w:r>
          </w:p>
        </w:tc>
        <w:tc>
          <w:tcPr>
            <w:tcW w:type="dxa" w:w="1728"/>
          </w:tcPr>
          <w:p>
            <w:r>
              <w:t>Whether this domain is queried.</w:t>
            </w:r>
          </w:p>
        </w:tc>
        <w:tc>
          <w:tcPr>
            <w:tcW w:type="dxa" w:w="1728"/>
          </w:tcPr>
          <w:p>
            <w:r>
              <w:t>Off</w:t>
            </w:r>
          </w:p>
        </w:tc>
        <w:tc>
          <w:tcPr>
            <w:tcW w:type="dxa" w:w="1728"/>
          </w:tcPr>
          <w:p>
            <w:r>
              <w:t>On for domains you use</w:t>
            </w:r>
          </w:p>
        </w:tc>
        <w:tc>
          <w:tcPr>
            <w:tcW w:type="dxa" w:w="1728"/>
          </w:tcPr>
          <w:p>
            <w:r>
              <w:t>Unused rows do nothing.</w:t>
            </w:r>
          </w:p>
        </w:tc>
      </w:tr>
      <w:tr>
        <w:tc>
          <w:tcPr>
            <w:tcW w:type="dxa" w:w="1728"/>
          </w:tcPr>
          <w:p>
            <w:r>
              <w:t>Domain Controller</w:t>
            </w:r>
          </w:p>
        </w:tc>
        <w:tc>
          <w:tcPr>
            <w:tcW w:type="dxa" w:w="1728"/>
          </w:tcPr>
          <w:p>
            <w:r>
              <w:t>A specific domain controller. Blank uses the default domain.</w:t>
            </w:r>
          </w:p>
        </w:tc>
        <w:tc>
          <w:tcPr>
            <w:tcW w:type="dxa" w:w="1728"/>
          </w:tcPr>
          <w:p>
            <w:r>
              <w:t>Blank</w:t>
            </w:r>
          </w:p>
        </w:tc>
        <w:tc>
          <w:tcPr>
            <w:tcW w:type="dxa" w:w="1728"/>
          </w:tcPr>
          <w:p>
            <w:r>
              <w:t>Blank, unless you need a specific controller</w:t>
            </w:r>
          </w:p>
        </w:tc>
        <w:tc>
          <w:tcPr>
            <w:tcW w:type="dxa" w:w="1728"/>
          </w:tcPr>
          <w:p>
            <w:r>
              <w:t>Windows then finds an available controller itself.</w:t>
            </w:r>
          </w:p>
        </w:tc>
      </w:tr>
      <w:tr>
        <w:tc>
          <w:tcPr>
            <w:tcW w:type="dxa" w:w="1728"/>
          </w:tcPr>
          <w:p>
            <w:r>
              <w:t>Search Base</w:t>
            </w:r>
          </w:p>
        </w:tc>
        <w:tc>
          <w:tcPr>
            <w:tcW w:type="dxa" w:w="1728"/>
          </w:tcPr>
          <w:p>
            <w:r>
              <w:t xml:space="preserve">Where searches start, for example </w:t>
            </w:r>
            <w:r>
              <w:rPr>
                <w:rFonts w:ascii="Consolas" w:hAnsi="Consolas"/>
                <w:sz w:val="19"/>
              </w:rPr>
              <w:t>DC=company,DC=local</w:t>
            </w:r>
            <w:r>
              <w:t>.</w:t>
            </w:r>
          </w:p>
        </w:tc>
        <w:tc>
          <w:tcPr>
            <w:tcW w:type="dxa" w:w="1728"/>
          </w:tcPr>
          <w:p>
            <w:r>
              <w:t>Blank</w:t>
            </w:r>
          </w:p>
        </w:tc>
        <w:tc>
          <w:tcPr>
            <w:tcW w:type="dxa" w:w="1728"/>
          </w:tcPr>
          <w:p>
            <w:r>
              <w:t>The narrowest container that holds the users and groups needed</w:t>
            </w:r>
          </w:p>
        </w:tc>
        <w:tc>
          <w:tcPr>
            <w:tcW w:type="dxa" w:w="1728"/>
          </w:tcPr>
          <w:p>
            <w:r>
              <w:t>Smaller searches are faster and expose less.</w:t>
            </w:r>
          </w:p>
        </w:tc>
      </w:tr>
      <w:tr>
        <w:tc>
          <w:tcPr>
            <w:tcW w:type="dxa" w:w="1728"/>
          </w:tcPr>
          <w:p>
            <w:r>
              <w:t>Use SSL</w:t>
            </w:r>
          </w:p>
        </w:tc>
        <w:tc>
          <w:tcPr>
            <w:tcW w:type="dxa" w:w="1728"/>
          </w:tcPr>
          <w:p>
            <w:r>
              <w:t>Connect with LDAP over SSL.</w:t>
            </w:r>
          </w:p>
        </w:tc>
        <w:tc>
          <w:tcPr>
            <w:tcW w:type="dxa" w:w="1728"/>
          </w:tcPr>
          <w:p>
            <w:r>
              <w:t>Off</w:t>
            </w:r>
          </w:p>
        </w:tc>
        <w:tc>
          <w:tcPr>
            <w:tcW w:type="dxa" w:w="1728"/>
          </w:tcPr>
          <w:p>
            <w:r>
              <w:t>On</w:t>
            </w:r>
          </w:p>
        </w:tc>
        <w:tc>
          <w:tcPr>
            <w:tcW w:type="dxa" w:w="1728"/>
          </w:tcPr>
          <w:p>
            <w:r>
              <w:t>Protects directory queries and the bind password in transit. Needs a trusted certificate on the domain controllers.</w:t>
            </w:r>
          </w:p>
        </w:tc>
      </w:tr>
      <w:tr>
        <w:tc>
          <w:tcPr>
            <w:tcW w:type="dxa" w:w="1728"/>
          </w:tcPr>
          <w:p>
            <w:r>
              <w:t>Use trusted connection</w:t>
            </w:r>
          </w:p>
        </w:tc>
        <w:tc>
          <w:tcPr>
            <w:tcW w:type="dxa" w:w="1728"/>
          </w:tcPr>
          <w:p>
            <w:r>
              <w:t>Bind as the App Pool's account (or the server's computer account) instead of a stored credential.</w:t>
            </w:r>
          </w:p>
        </w:tc>
        <w:tc>
          <w:tcPr>
            <w:tcW w:type="dxa" w:w="1728"/>
          </w:tcPr>
          <w:p>
            <w:r>
              <w:t>Off</w:t>
            </w:r>
          </w:p>
        </w:tc>
        <w:tc>
          <w:tcPr>
            <w:tcW w:type="dxa" w:w="1728"/>
          </w:tcPr>
          <w:p>
            <w:r>
              <w:t>On, with a gMSA App Pool identity</w:t>
            </w:r>
          </w:p>
        </w:tc>
        <w:tc>
          <w:tcPr>
            <w:tcW w:type="dxa" w:w="1728"/>
          </w:tcPr>
          <w:p>
            <w:r>
              <w:t>No password to store or rotate.</w:t>
            </w:r>
          </w:p>
        </w:tc>
      </w:tr>
      <w:tr>
        <w:tc>
          <w:tcPr>
            <w:tcW w:type="dxa" w:w="1728"/>
          </w:tcPr>
          <w:p>
            <w:r>
              <w:t>Bind Account Credential</w:t>
            </w:r>
          </w:p>
        </w:tc>
        <w:tc>
          <w:tcPr>
            <w:tcW w:type="dxa" w:w="1728"/>
          </w:tcPr>
          <w:p>
            <w:r>
              <w:t>The credential to bind with, when not using a trusted connection.</w:t>
            </w:r>
          </w:p>
        </w:tc>
        <w:tc>
          <w:tcPr>
            <w:tcW w:type="dxa" w:w="1728"/>
          </w:tcPr>
          <w:p>
            <w:r>
              <w:t>None</w:t>
            </w:r>
          </w:p>
        </w:tc>
        <w:tc>
          <w:tcPr>
            <w:tcW w:type="dxa" w:w="1728"/>
          </w:tcPr>
          <w:p>
            <w:r>
              <w:t>A read-only service account</w:t>
            </w:r>
          </w:p>
        </w:tc>
        <w:tc>
          <w:tcPr>
            <w:tcW w:type="dxa" w:w="1728"/>
          </w:tcPr>
          <w:p>
            <w:r>
              <w:t>Least privilege.</w:t>
            </w:r>
          </w:p>
        </w:tc>
      </w:tr>
    </w:tbl>
    <w:p/>
    <w:p>
      <w:pPr>
        <w:pStyle w:val="Heading1"/>
      </w:pPr>
      <w:r>
        <w:t>4. Notifications</w:t>
      </w:r>
    </w:p>
    <w:p>
      <w:r>
        <w:rPr>
          <w:b/>
        </w:rPr>
        <w:t>Admin &gt; Notifications</w:t>
      </w:r>
      <w:r>
        <w:t xml:space="preserve"> (permission </w:t>
      </w:r>
      <w:r>
        <w:rPr>
          <w:rFonts w:ascii="Consolas" w:hAnsi="Consolas"/>
          <w:sz w:val="19"/>
        </w:rPr>
        <w:t>ManageNotifications</w:t>
      </w:r>
      <w:r>
        <w:t>). SMTP settings, notification types and recipients for BlueTrack's alerts.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SMTP Host</w:t>
            </w:r>
          </w:p>
        </w:tc>
        <w:tc>
          <w:tcPr>
            <w:tcW w:type="dxa" w:w="1728"/>
          </w:tcPr>
          <w:p>
            <w:r>
              <w:t>The mail server.</w:t>
            </w:r>
          </w:p>
        </w:tc>
        <w:tc>
          <w:tcPr>
            <w:tcW w:type="dxa" w:w="1728"/>
          </w:tcPr>
          <w:p>
            <w:r>
              <w:t>Blank</w:t>
            </w:r>
          </w:p>
        </w:tc>
        <w:tc>
          <w:tcPr>
            <w:tcW w:type="dxa" w:w="1728"/>
          </w:tcPr>
          <w:p>
            <w:r>
              <w:t>Your internal mail relay</w:t>
            </w:r>
          </w:p>
        </w:tc>
        <w:tc>
          <w:tcPr>
            <w:tcW w:type="dxa" w:w="1728"/>
          </w:tcPr>
          <w:p>
            <w:r>
              <w:t>Alerts are sent through it.</w:t>
            </w:r>
          </w:p>
        </w:tc>
      </w:tr>
      <w:tr>
        <w:tc>
          <w:tcPr>
            <w:tcW w:type="dxa" w:w="1728"/>
          </w:tcPr>
          <w:p>
            <w:r>
              <w:t>SMTP Port</w:t>
            </w:r>
          </w:p>
        </w:tc>
        <w:tc>
          <w:tcPr>
            <w:tcW w:type="dxa" w:w="1728"/>
          </w:tcPr>
          <w:p>
            <w:r>
              <w:t>The mail server port.</w:t>
            </w:r>
          </w:p>
        </w:tc>
        <w:tc>
          <w:tcPr>
            <w:tcW w:type="dxa" w:w="1728"/>
          </w:tcPr>
          <w:p>
            <w:r>
              <w:t>587</w:t>
            </w:r>
          </w:p>
        </w:tc>
        <w:tc>
          <w:tcPr>
            <w:tcW w:type="dxa" w:w="1728"/>
          </w:tcPr>
          <w:p>
            <w:r>
              <w:t>587</w:t>
            </w:r>
          </w:p>
        </w:tc>
        <w:tc>
          <w:tcPr>
            <w:tcW w:type="dxa" w:w="1728"/>
          </w:tcPr>
          <w:p>
            <w:r>
              <w:t>The standard submission port, used with STARTTLS.</w:t>
            </w:r>
          </w:p>
        </w:tc>
      </w:tr>
      <w:tr>
        <w:tc>
          <w:tcPr>
            <w:tcW w:type="dxa" w:w="1728"/>
          </w:tcPr>
          <w:p>
            <w:r>
              <w:t>Enable STARTTLS</w:t>
            </w:r>
          </w:p>
        </w:tc>
        <w:tc>
          <w:tcPr>
            <w:tcW w:type="dxa" w:w="1728"/>
          </w:tcPr>
          <w:p>
            <w:r>
              <w:t>Upgrade the connection to TLS before sending. When off, mail is sent unencrypted.</w:t>
            </w:r>
          </w:p>
        </w:tc>
        <w:tc>
          <w:tcPr>
            <w:tcW w:type="dxa" w:w="1728"/>
          </w:tcPr>
          <w:p>
            <w:r>
              <w:t>On</w:t>
            </w:r>
          </w:p>
        </w:tc>
        <w:tc>
          <w:tcPr>
            <w:tcW w:type="dxa" w:w="1728"/>
          </w:tcPr>
          <w:p>
            <w:r>
              <w:t>On</w:t>
            </w:r>
          </w:p>
        </w:tc>
        <w:tc>
          <w:tcPr>
            <w:tcW w:type="dxa" w:w="1728"/>
          </w:tcPr>
          <w:p>
            <w:r>
              <w:t>Required when a credential is used: saving Basic authentication with a credential and STARTTLS off is refused.</w:t>
            </w:r>
          </w:p>
        </w:tc>
      </w:tr>
      <w:tr>
        <w:tc>
          <w:tcPr>
            <w:tcW w:type="dxa" w:w="1728"/>
          </w:tcPr>
          <w:p>
            <w:r>
              <w:t>Auth Method</w:t>
            </w:r>
          </w:p>
        </w:tc>
        <w:tc>
          <w:tcPr>
            <w:tcW w:type="dxa" w:w="1728"/>
          </w:tcPr>
          <w:p>
            <w:r>
              <w:t>None (relay without sign-in) or Basic (user name and password).</w:t>
            </w:r>
          </w:p>
        </w:tc>
        <w:tc>
          <w:tcPr>
            <w:tcW w:type="dxa" w:w="1728"/>
          </w:tcPr>
          <w:p>
            <w:r>
              <w:t>Basic</w:t>
            </w:r>
          </w:p>
        </w:tc>
        <w:tc>
          <w:tcPr>
            <w:tcW w:type="dxa" w:w="1728"/>
          </w:tcPr>
          <w:p>
            <w:r>
              <w:t>Basic, with a dedicated credential</w:t>
            </w:r>
          </w:p>
        </w:tc>
        <w:tc>
          <w:tcPr>
            <w:tcW w:type="dxa" w:w="1728"/>
          </w:tcPr>
          <w:p>
            <w:r>
              <w:t>The relay knows who is sending. Use None only for a relay that accepts only this server.</w:t>
            </w:r>
          </w:p>
        </w:tc>
      </w:tr>
      <w:tr>
        <w:tc>
          <w:tcPr>
            <w:tcW w:type="dxa" w:w="1728"/>
          </w:tcPr>
          <w:p>
            <w:r>
              <w:t>Credential</w:t>
            </w:r>
          </w:p>
        </w:tc>
        <w:tc>
          <w:tcPr>
            <w:tcW w:type="dxa" w:w="1728"/>
          </w:tcPr>
          <w:p>
            <w:r>
              <w:t>The credential to sign in with (from Credentials &amp; LDAP).</w:t>
            </w:r>
          </w:p>
        </w:tc>
        <w:tc>
          <w:tcPr>
            <w:tcW w:type="dxa" w:w="1728"/>
          </w:tcPr>
          <w:p>
            <w:r>
              <w:t>None</w:t>
            </w:r>
          </w:p>
        </w:tc>
        <w:tc>
          <w:tcPr>
            <w:tcW w:type="dxa" w:w="1728"/>
          </w:tcPr>
          <w:p>
            <w:r>
              <w:t>A dedicated mail account</w:t>
            </w:r>
          </w:p>
        </w:tc>
        <w:tc>
          <w:tcPr>
            <w:tcW w:type="dxa" w:w="1728"/>
          </w:tcPr>
          <w:p>
            <w:r>
              <w:t>Least privilege.</w:t>
            </w:r>
          </w:p>
        </w:tc>
      </w:tr>
      <w:tr>
        <w:tc>
          <w:tcPr>
            <w:tcW w:type="dxa" w:w="1728"/>
          </w:tcPr>
          <w:p>
            <w:r>
              <w:t>From Address</w:t>
            </w:r>
          </w:p>
        </w:tc>
        <w:tc>
          <w:tcPr>
            <w:tcW w:type="dxa" w:w="1728"/>
          </w:tcPr>
          <w:p>
            <w:r>
              <w:t>The sender address.</w:t>
            </w:r>
          </w:p>
        </w:tc>
        <w:tc>
          <w:tcPr>
            <w:tcW w:type="dxa" w:w="1728"/>
          </w:tcPr>
          <w:p>
            <w:r>
              <w:t>Blank</w:t>
            </w:r>
          </w:p>
        </w:tc>
        <w:tc>
          <w:tcPr>
            <w:tcW w:type="dxa" w:w="1728"/>
          </w:tcPr>
          <w:p>
            <w:r>
              <w:t xml:space="preserve">A no-reply or team address, for example </w:t>
            </w:r>
            <w:r>
              <w:rPr>
                <w:rFonts w:ascii="Consolas" w:hAnsi="Consolas"/>
                <w:sz w:val="19"/>
              </w:rPr>
              <w:t>bluetrack@&lt;your-domain&gt;</w:t>
            </w:r>
          </w:p>
        </w:tc>
        <w:tc>
          <w:tcPr>
            <w:tcW w:type="dxa" w:w="1728"/>
          </w:tcPr>
          <w:p>
            <w:r>
              <w:t>Recipients recognise the sender, and replies don't go to a person.</w:t>
            </w:r>
          </w:p>
        </w:tc>
      </w:tr>
      <w:tr>
        <w:tc>
          <w:tcPr>
            <w:tcW w:type="dxa" w:w="1728"/>
          </w:tcPr>
          <w:p>
            <w:r>
              <w:t>From Display Name</w:t>
            </w:r>
          </w:p>
        </w:tc>
        <w:tc>
          <w:tcPr>
            <w:tcW w:type="dxa" w:w="1728"/>
          </w:tcPr>
          <w:p>
            <w:r>
              <w:t>The sender name.</w:t>
            </w:r>
          </w:p>
        </w:tc>
        <w:tc>
          <w:tcPr>
            <w:tcW w:type="dxa" w:w="1728"/>
          </w:tcPr>
          <w:p>
            <w:r>
              <w:t>Blank</w:t>
            </w:r>
          </w:p>
        </w:tc>
        <w:tc>
          <w:tcPr>
            <w:tcW w:type="dxa" w:w="1728"/>
          </w:tcPr>
          <w:p>
            <w:r>
              <w:rPr>
                <w:rFonts w:ascii="Consolas" w:hAnsi="Consolas"/>
                <w:sz w:val="19"/>
              </w:rPr>
              <w:t>BlueTrack</w:t>
            </w:r>
          </w:p>
        </w:tc>
        <w:tc>
          <w:tcPr>
            <w:tcW w:type="dxa" w:w="1728"/>
          </w:tcPr>
          <w:p>
            <w:r>
              <w:t>Recipients recognise the alert.</w:t>
            </w:r>
          </w:p>
        </w:tc>
      </w:tr>
      <w:tr>
        <w:tc>
          <w:tcPr>
            <w:tcW w:type="dxa" w:w="1728"/>
          </w:tcPr>
          <w:p>
            <w:r>
              <w:t>Ignore CRL issues</w:t>
            </w:r>
          </w:p>
        </w:tc>
        <w:tc>
          <w:tcPr>
            <w:tcW w:type="dxa" w:w="1728"/>
          </w:tcPr>
          <w:p>
            <w:r>
              <w:t>Skip only the certificate revocation check. Host name and chain are still checked.</w:t>
            </w:r>
          </w:p>
        </w:tc>
        <w:tc>
          <w:tcPr>
            <w:tcW w:type="dxa" w:w="1728"/>
          </w:tcPr>
          <w:p>
            <w:r>
              <w:t>Off</w:t>
            </w:r>
          </w:p>
        </w:tc>
        <w:tc>
          <w:tcPr>
            <w:tcW w:type="dxa" w:w="1728"/>
          </w:tcPr>
          <w:p>
            <w:r>
              <w:t>Off</w:t>
            </w:r>
          </w:p>
        </w:tc>
        <w:tc>
          <w:tcPr>
            <w:tcW w:type="dxa" w:w="1728"/>
          </w:tcPr>
          <w:p>
            <w:r>
              <w:t>Turn it on only if your relay's revocation list can't be reached from the server.</w:t>
            </w:r>
          </w:p>
        </w:tc>
      </w:tr>
      <w:tr>
        <w:tc>
          <w:tcPr>
            <w:tcW w:type="dxa" w:w="1728"/>
          </w:tcPr>
          <w:p>
            <w:r>
              <w:t>Ignore all SSL errors</w:t>
            </w:r>
          </w:p>
        </w:tc>
        <w:tc>
          <w:tcPr>
            <w:tcW w:type="dxa" w:w="1728"/>
          </w:tcPr>
          <w:p>
            <w:r>
              <w:t>Skip all certificate checks.</w:t>
            </w:r>
          </w:p>
        </w:tc>
        <w:tc>
          <w:tcPr>
            <w:tcW w:type="dxa" w:w="1728"/>
          </w:tcPr>
          <w:p>
            <w:r>
              <w:t>Off</w:t>
            </w:r>
          </w:p>
        </w:tc>
        <w:tc>
          <w:tcPr>
            <w:tcW w:type="dxa" w:w="1728"/>
          </w:tcPr>
          <w:p>
            <w:r>
              <w:t>Off</w:t>
            </w:r>
          </w:p>
        </w:tc>
        <w:tc>
          <w:tcPr>
            <w:tcW w:type="dxa" w:w="1728"/>
          </w:tcPr>
          <w:p>
            <w:r>
              <w:t>It removes the protection TLS gives. Fix the certificate instead.</w:t>
            </w:r>
          </w:p>
        </w:tc>
      </w:tr>
    </w:tbl>
    <w:p/>
    <w:p>
      <w:r>
        <w:rPr>
          <w:b/>
        </w:rPr>
        <w:t>Notification types.</w:t>
      </w:r>
      <w:r>
        <w:t xml:space="preserve"> Each alert type can have a </w:t>
      </w:r>
      <w:r>
        <w:rPr>
          <w:b/>
        </w:rPr>
        <w:t>Target Role</w:t>
      </w:r>
      <w:r>
        <w:t xml:space="preserve">. The alert then also goes to that role's Notification Email and, if LDAP is set up, to members of the role's mapped AD groups, in addition to the recipient list. One type exists: </w:t>
      </w:r>
      <w:r>
        <w:rPr>
          <w:b/>
        </w:rPr>
        <w:t>DevFakeAuthEnabledTooLong</w:t>
      </w:r>
      <w:r>
        <w:t>, checked once a day; it fires when DevFakeAuth has been enabled for more than 7 days and repeats at most every 7 days. Recommended: set its target role to your Admin role.</w:t>
      </w:r>
    </w:p>
    <w:p>
      <w:r>
        <w:rPr>
          <w:b/>
        </w:rPr>
        <w:t>Recipients.</w:t>
      </w:r>
      <w:r>
        <w:t xml:space="preserve"> Each recipient has an </w:t>
      </w:r>
      <w:r>
        <w:rPr>
          <w:b/>
        </w:rPr>
        <w:t>Email</w:t>
      </w:r>
      <w:r>
        <w:t xml:space="preserve">, an optional </w:t>
      </w:r>
      <w:r>
        <w:rPr>
          <w:b/>
        </w:rPr>
        <w:t>Display Name</w:t>
      </w:r>
      <w:r>
        <w:t xml:space="preserve"> and an </w:t>
      </w:r>
      <w:r>
        <w:rPr>
          <w:b/>
        </w:rPr>
        <w:t>Active</w:t>
      </w:r>
      <w:r>
        <w:t xml:space="preserve"> flag. Add at least one monitored mailbox; with no recipients, alerts go nowhere.</w:t>
      </w:r>
    </w:p>
    <w:p>
      <w:r>
        <w:rPr>
          <w:b/>
        </w:rPr>
        <w:t>Send Test Email</w:t>
      </w:r>
      <w:r>
        <w:t xml:space="preserve"> sends a real message to every active recipient using the saved settings. Use it after every SMTP change.</w:t>
      </w:r>
    </w:p>
    <w:p>
      <w:r>
        <w:t xml:space="preserve">Changing the host, port, STARTTLS, "Ignore all SSL errors", authentication method or credential while a credential is in use also needs </w:t>
      </w:r>
      <w:r>
        <w:rPr>
          <w:rFonts w:ascii="Consolas" w:hAnsi="Consolas"/>
          <w:sz w:val="19"/>
        </w:rPr>
        <w:t>ManageCredentials</w:t>
      </w:r>
      <w:r>
        <w:t>.</w:t>
      </w:r>
    </w:p>
    <w:p>
      <w:pPr>
        <w:pStyle w:val="Heading1"/>
      </w:pPr>
      <w:r>
        <w:t>5. Data and risk scoring</w:t>
      </w:r>
    </w:p>
    <w:p>
      <w:pPr>
        <w:pStyle w:val="Heading2"/>
      </w:pPr>
      <w:r>
        <w:t>Data Sources (feeds)</w:t>
      </w:r>
    </w:p>
    <w:p>
      <w:r>
        <w:rPr>
          <w:b/>
        </w:rPr>
        <w:t>Admin &gt; Data Sources</w:t>
      </w:r>
      <w:r>
        <w:t xml:space="preserve"> (permission </w:t>
      </w:r>
      <w:r>
        <w:rPr>
          <w:rFonts w:ascii="Consolas" w:hAnsi="Consolas"/>
          <w:sz w:val="19"/>
        </w:rPr>
        <w:t>ManageDataSources</w:t>
      </w:r>
      <w:r>
        <w:t>). Each feed imports the newest matching CSV file from a folder, using the same imports as the Bulk Actions uploads. The schedule and business hours are on Global Application Configuration.</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feed's name, up to 200 characters.</w:t>
            </w:r>
          </w:p>
        </w:tc>
        <w:tc>
          <w:tcPr>
            <w:tcW w:type="dxa" w:w="1728"/>
          </w:tcPr>
          <w:p>
            <w:r>
              <w:t>Blank</w:t>
            </w:r>
          </w:p>
        </w:tc>
        <w:tc>
          <w:tcPr>
            <w:tcW w:type="dxa" w:w="1728"/>
          </w:tcPr>
          <w:p>
            <w:r>
              <w:t>Say what the file is and where it comes from</w:t>
            </w:r>
          </w:p>
        </w:tc>
        <w:tc>
          <w:tcPr>
            <w:tcW w:type="dxa" w:w="1728"/>
          </w:tcPr>
          <w:p>
            <w:r>
              <w:t>Makes run history easy to read.</w:t>
            </w:r>
          </w:p>
        </w:tc>
      </w:tr>
      <w:tr>
        <w:tc>
          <w:tcPr>
            <w:tcW w:type="dxa" w:w="1728"/>
          </w:tcPr>
          <w:p>
            <w:r>
              <w:t>Import</w:t>
            </w:r>
          </w:p>
        </w:tc>
        <w:tc>
          <w:tcPr>
            <w:tcW w:type="dxa" w:w="1728"/>
          </w:tcPr>
          <w:p>
            <w:r>
              <w:t>What the file holds: Target inventory, Access group inventory, Access group → target map, Account → access group membership, Account → target map, Applications, or Safe → application assignments.</w:t>
            </w:r>
          </w:p>
        </w:tc>
        <w:tc>
          <w:tcPr>
            <w:tcW w:type="dxa" w:w="1728"/>
          </w:tcPr>
          <w:p>
            <w:r>
              <w:t>None</w:t>
            </w:r>
          </w:p>
        </w:tc>
        <w:tc>
          <w:tcPr>
            <w:tcW w:type="dxa" w:w="1728"/>
          </w:tcPr>
          <w:p>
            <w:r>
              <w:t>The import the file matches</w:t>
            </w:r>
          </w:p>
        </w:tc>
        <w:tc>
          <w:tcPr>
            <w:tcW w:type="dxa" w:w="1728"/>
          </w:tcPr>
          <w:p>
            <w:r>
              <w:t>The file must have the columns of that import's Bulk Actions template, or match a mapping profile.</w:t>
            </w:r>
          </w:p>
        </w:tc>
      </w:tr>
      <w:tr>
        <w:tc>
          <w:tcPr>
            <w:tcW w:type="dxa" w:w="1728"/>
          </w:tcPr>
          <w:p>
            <w:r>
              <w:t>Mapping profile</w:t>
            </w:r>
          </w:p>
        </w:tc>
        <w:tc>
          <w:tcPr>
            <w:tcW w:type="dxa" w:w="1728"/>
          </w:tcPr>
          <w:p>
            <w:r>
              <w:t>For the five risk-scoring imports: which Import Mapping Profile translates the file's column names.</w:t>
            </w:r>
          </w:p>
        </w:tc>
        <w:tc>
          <w:tcPr>
            <w:tcW w:type="dxa" w:w="1728"/>
          </w:tcPr>
          <w:p>
            <w:r>
              <w:t>None</w:t>
            </w:r>
          </w:p>
        </w:tc>
        <w:tc>
          <w:tcPr>
            <w:tcW w:type="dxa" w:w="1728"/>
          </w:tcPr>
          <w:p>
            <w:r>
              <w:t>Choose the profile when the file isn't in template format</w:t>
            </w:r>
          </w:p>
        </w:tc>
        <w:tc>
          <w:tcPr>
            <w:tcW w:type="dxa" w:w="1728"/>
          </w:tcPr>
          <w:p>
            <w:r>
              <w:t>None means the file uses the template's own column names.</w:t>
            </w:r>
          </w:p>
        </w:tc>
      </w:tr>
      <w:tr>
        <w:tc>
          <w:tcPr>
            <w:tcW w:type="dxa" w:w="1728"/>
          </w:tcPr>
          <w:p>
            <w:r>
              <w:t>Folder path</w:t>
            </w:r>
          </w:p>
        </w:tc>
        <w:tc>
          <w:tcPr>
            <w:tcW w:type="dxa" w:w="1728"/>
          </w:tcPr>
          <w:p>
            <w:r>
              <w:t>A full local or UNC path, up to 500 characters.</w:t>
            </w:r>
          </w:p>
        </w:tc>
        <w:tc>
          <w:tcPr>
            <w:tcW w:type="dxa" w:w="1728"/>
          </w:tcPr>
          <w:p>
            <w:r>
              <w:t>Blank</w:t>
            </w:r>
          </w:p>
        </w:tc>
        <w:tc>
          <w:tcPr>
            <w:tcW w:type="dxa" w:w="1728"/>
          </w:tcPr>
          <w:p>
            <w:r>
              <w:t>A dedicated feed folder inside the server's allowed folders</w:t>
            </w:r>
          </w:p>
        </w:tc>
        <w:tc>
          <w:tcPr>
            <w:tcW w:type="dxa" w:w="1728"/>
          </w:tcPr>
          <w:p>
            <w:r>
              <w:t>The App Pool's account reads it, so it needs read access. Network shares need to be in the allowed folders.</w:t>
            </w:r>
          </w:p>
        </w:tc>
      </w:tr>
      <w:tr>
        <w:tc>
          <w:tcPr>
            <w:tcW w:type="dxa" w:w="1728"/>
          </w:tcPr>
          <w:p>
            <w:r>
              <w:t>File name pattern</w:t>
            </w:r>
          </w:p>
        </w:tc>
        <w:tc>
          <w:tcPr>
            <w:tcW w:type="dxa" w:w="1728"/>
          </w:tcPr>
          <w:p>
            <w:r>
              <w:t xml:space="preserve">The file to pick, up to 260 characters. A date format in braces, such as </w:t>
            </w:r>
            <w:r>
              <w:rPr>
                <w:rFonts w:ascii="Consolas" w:hAnsi="Consolas"/>
                <w:sz w:val="19"/>
              </w:rPr>
              <w:t>{yyyy-MM-dd}</w:t>
            </w:r>
            <w:r>
              <w:t xml:space="preserve">, becomes today's date; </w:t>
            </w:r>
            <w:r>
              <w:rPr>
                <w:rFonts w:ascii="Consolas" w:hAnsi="Consolas"/>
                <w:sz w:val="19"/>
              </w:rPr>
              <w:t>*</w:t>
            </w:r>
            <w:r>
              <w:t xml:space="preserve"> and </w:t>
            </w:r>
            <w:r>
              <w:rPr>
                <w:rFonts w:ascii="Consolas" w:hAnsi="Consolas"/>
                <w:sz w:val="19"/>
              </w:rPr>
              <w:t>?</w:t>
            </w:r>
            <w:r>
              <w:t xml:space="preserve"> are wildcards.</w:t>
            </w:r>
          </w:p>
        </w:tc>
        <w:tc>
          <w:tcPr>
            <w:tcW w:type="dxa" w:w="1728"/>
          </w:tcPr>
          <w:p>
            <w:r>
              <w:t>Blank</w:t>
            </w:r>
          </w:p>
        </w:tc>
        <w:tc>
          <w:tcPr>
            <w:tcW w:type="dxa" w:w="1728"/>
          </w:tcPr>
          <w:p>
            <w:r>
              <w:t xml:space="preserve">Include the date, for example </w:t>
            </w:r>
            <w:r>
              <w:rPr>
                <w:rFonts w:ascii="Consolas" w:hAnsi="Consolas"/>
                <w:sz w:val="19"/>
              </w:rPr>
              <w:t>targets_{yyyy-MM-dd}.csv</w:t>
            </w:r>
          </w:p>
        </w:tc>
        <w:tc>
          <w:tcPr>
            <w:tcW w:type="dxa" w:w="1728"/>
          </w:tcPr>
          <w:p>
            <w:r>
              <w:t>A dated name stops yesterday's file being imported again by mistake.</w:t>
            </w:r>
          </w:p>
        </w:tc>
      </w:tr>
      <w:tr>
        <w:tc>
          <w:tcPr>
            <w:tcW w:type="dxa" w:w="1728"/>
          </w:tcPr>
          <w:p>
            <w:r>
              <w:t>Run order</w:t>
            </w:r>
          </w:p>
        </w:tc>
        <w:tc>
          <w:tcPr>
            <w:tcW w:type="dxa" w:w="1728"/>
          </w:tcPr>
          <w:p>
            <w:r>
              <w:t>The order enabled feeds run in.</w:t>
            </w:r>
          </w:p>
        </w:tc>
        <w:tc>
          <w:tcPr>
            <w:tcW w:type="dxa" w:w="1728"/>
          </w:tcPr>
          <w:p>
            <w:r>
              <w:t>0</w:t>
            </w:r>
          </w:p>
        </w:tc>
        <w:tc>
          <w:tcPr>
            <w:tcW w:type="dxa" w:w="1728"/>
          </w:tcPr>
          <w:p>
            <w:r>
              <w:t>Inventories first, then the maps that refer to them</w:t>
            </w:r>
          </w:p>
        </w:tc>
        <w:tc>
          <w:tcPr>
            <w:tcW w:type="dxa" w:w="1728"/>
          </w:tcPr>
          <w:p>
            <w:r>
              <w:t>A map that refers to targets or groups loads cleanly once they exist.</w:t>
            </w:r>
          </w:p>
        </w:tc>
      </w:tr>
      <w:tr>
        <w:tc>
          <w:tcPr>
            <w:tcW w:type="dxa" w:w="1728"/>
          </w:tcPr>
          <w:p>
            <w:r>
              <w:t>Enabled (runs nightly)</w:t>
            </w:r>
          </w:p>
        </w:tc>
        <w:tc>
          <w:tcPr>
            <w:tcW w:type="dxa" w:w="1728"/>
          </w:tcPr>
          <w:p>
            <w:r>
              <w:t>Whether the feed runs at the nightly run time.</w:t>
            </w:r>
          </w:p>
        </w:tc>
        <w:tc>
          <w:tcPr>
            <w:tcW w:type="dxa" w:w="1728"/>
          </w:tcPr>
          <w:p>
            <w:r>
              <w:t>On</w:t>
            </w:r>
          </w:p>
        </w:tc>
        <w:tc>
          <w:tcPr>
            <w:tcW w:type="dxa" w:w="1728"/>
          </w:tcPr>
          <w:p>
            <w:r>
              <w:t xml:space="preserve">On once </w:t>
            </w:r>
            <w:r>
              <w:rPr>
                <w:b/>
              </w:rPr>
              <w:t>Test</w:t>
            </w:r>
            <w:r>
              <w:t xml:space="preserve"> passes</w:t>
            </w:r>
          </w:p>
        </w:tc>
        <w:tc>
          <w:tcPr>
            <w:tcW w:type="dxa" w:w="1728"/>
          </w:tcPr>
          <w:p>
            <w:r>
              <w:t>Test shows the file a run would pick and any missing required columns.</w:t>
            </w:r>
          </w:p>
        </w:tc>
      </w:tr>
    </w:tbl>
    <w:p/>
    <w:p>
      <w:r>
        <w:t>The matched file is left in place after import. Only one run happens at a time.</w:t>
      </w:r>
    </w:p>
    <w:p>
      <w:pPr>
        <w:pStyle w:val="Heading2"/>
      </w:pPr>
      <w:r>
        <w:t>Import Mapping Profiles</w:t>
      </w:r>
    </w:p>
    <w:p>
      <w:r>
        <w:rPr>
          <w:b/>
        </w:rPr>
        <w:t>Admin &gt; Import Mapping Profiles</w:t>
      </w:r>
      <w:r>
        <w:t xml:space="preserve"> (permission </w:t>
      </w:r>
      <w:r>
        <w:rPr>
          <w:rFonts w:ascii="Consolas" w:hAnsi="Consolas"/>
          <w:sz w:val="19"/>
        </w:rPr>
        <w:t>ManageTargets</w:t>
      </w:r>
      <w:r>
        <w:t>). A profile maps a source file's column names to BlueTrack's internal field names, for the five risk-scoring imports (TargetInventory, AccessGroupInventory, AccessGroupTargetMap, AccountAccessGroupMembership, AccountTargetMap).</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Feed Type</w:t>
            </w:r>
          </w:p>
        </w:tc>
        <w:tc>
          <w:tcPr>
            <w:tcW w:type="dxa" w:w="1728"/>
          </w:tcPr>
          <w:p>
            <w:r>
              <w:t>Which import the profile is for.</w:t>
            </w:r>
          </w:p>
        </w:tc>
        <w:tc>
          <w:tcPr>
            <w:tcW w:type="dxa" w:w="1728"/>
          </w:tcPr>
          <w:p>
            <w:r>
              <w:t>TargetInventory</w:t>
            </w:r>
          </w:p>
        </w:tc>
        <w:tc>
          <w:tcPr>
            <w:tcW w:type="dxa" w:w="1728"/>
          </w:tcPr>
          <w:p>
            <w:r>
              <w:t>The import the file feeds</w:t>
            </w:r>
          </w:p>
        </w:tc>
        <w:tc>
          <w:tcPr>
            <w:tcW w:type="dxa" w:w="1728"/>
          </w:tcPr>
          <w:p>
            <w:r>
              <w:t>A profile only applies to its own import.</w:t>
            </w:r>
          </w:p>
        </w:tc>
      </w:tr>
      <w:tr>
        <w:tc>
          <w:tcPr>
            <w:tcW w:type="dxa" w:w="1728"/>
          </w:tcPr>
          <w:p>
            <w:r>
              <w:t>Profile Name</w:t>
            </w:r>
          </w:p>
        </w:tc>
        <w:tc>
          <w:tcPr>
            <w:tcW w:type="dxa" w:w="1728"/>
          </w:tcPr>
          <w:p>
            <w:r>
              <w:t>The profile's name; unique per feed type.</w:t>
            </w:r>
          </w:p>
        </w:tc>
        <w:tc>
          <w:tcPr>
            <w:tcW w:type="dxa" w:w="1728"/>
          </w:tcPr>
          <w:p>
            <w:r>
              <w:t>Blank</w:t>
            </w:r>
          </w:p>
        </w:tc>
        <w:tc>
          <w:tcPr>
            <w:tcW w:type="dxa" w:w="1728"/>
          </w:tcPr>
          <w:p>
            <w:r>
              <w:t>The source tool and version, for example "CMDB export v2"</w:t>
            </w:r>
          </w:p>
        </w:tc>
        <w:tc>
          <w:tcPr>
            <w:tcW w:type="dxa" w:w="1728"/>
          </w:tcPr>
          <w:p>
            <w:r>
              <w:t>A new file format gets a new profile.</w:t>
            </w:r>
          </w:p>
        </w:tc>
      </w:tr>
      <w:tr>
        <w:tc>
          <w:tcPr>
            <w:tcW w:type="dxa" w:w="1728"/>
          </w:tcPr>
          <w:p>
            <w:r>
              <w:t>Active</w:t>
            </w:r>
          </w:p>
        </w:tc>
        <w:tc>
          <w:tcPr>
            <w:tcW w:type="dxa" w:w="1728"/>
          </w:tcPr>
          <w:p>
            <w:r>
              <w:t>Whether the profile is offered when a data feed or a Bulk Actions upload chooses a profile.</w:t>
            </w:r>
          </w:p>
        </w:tc>
        <w:tc>
          <w:tcPr>
            <w:tcW w:type="dxa" w:w="1728"/>
          </w:tcPr>
          <w:p>
            <w:r>
              <w:t>On</w:t>
            </w:r>
          </w:p>
        </w:tc>
        <w:tc>
          <w:tcPr>
            <w:tcW w:type="dxa" w:w="1728"/>
          </w:tcPr>
          <w:p>
            <w:r>
              <w:t>On for the profiles in use</w:t>
            </w:r>
          </w:p>
        </w:tc>
        <w:tc>
          <w:tcPr>
            <w:tcW w:type="dxa" w:w="1728"/>
          </w:tcPr>
          <w:p>
            <w:r>
              <w:t>A profile is used only when it's chosen; none chosen means the template's own column names.</w:t>
            </w:r>
          </w:p>
        </w:tc>
      </w:tr>
      <w:tr>
        <w:tc>
          <w:tcPr>
            <w:tcW w:type="dxa" w:w="1728"/>
          </w:tcPr>
          <w:p>
            <w:r>
              <w:t>Description</w:t>
            </w:r>
          </w:p>
        </w:tc>
        <w:tc>
          <w:tcPr>
            <w:tcW w:type="dxa" w:w="1728"/>
          </w:tcPr>
          <w:p>
            <w:r>
              <w:t>Free text.</w:t>
            </w:r>
          </w:p>
        </w:tc>
        <w:tc>
          <w:tcPr>
            <w:tcW w:type="dxa" w:w="1728"/>
          </w:tcPr>
          <w:p>
            <w:r>
              <w:t>Blank</w:t>
            </w:r>
          </w:p>
        </w:tc>
        <w:tc>
          <w:tcPr>
            <w:tcW w:type="dxa" w:w="1728"/>
          </w:tcPr>
          <w:p>
            <w:r>
              <w:t>Where the file comes from</w:t>
            </w:r>
          </w:p>
        </w:tc>
        <w:tc>
          <w:tcPr>
            <w:tcW w:type="dxa" w:w="1728"/>
          </w:tcPr>
          <w:p>
            <w:r>
              <w:t>Helps the next administrator.</w:t>
            </w:r>
          </w:p>
        </w:tc>
      </w:tr>
      <w:tr>
        <w:tc>
          <w:tcPr>
            <w:tcW w:type="dxa" w:w="1728"/>
          </w:tcPr>
          <w:p>
            <w:r>
              <w:t>Source Column</w:t>
            </w:r>
          </w:p>
        </w:tc>
        <w:tc>
          <w:tcPr>
            <w:tcW w:type="dxa" w:w="1728"/>
          </w:tcPr>
          <w:p>
            <w:r>
              <w:t>The column header exactly as it appears in the file.</w:t>
            </w:r>
          </w:p>
        </w:tc>
        <w:tc>
          <w:tcPr>
            <w:tcW w:type="dxa" w:w="1728"/>
          </w:tcPr>
          <w:p>
            <w:r>
              <w:t>Blank</w:t>
            </w:r>
          </w:p>
        </w:tc>
        <w:tc>
          <w:tcPr>
            <w:tcW w:type="dxa" w:w="1728"/>
          </w:tcPr>
          <w:p>
            <w:r>
              <w:t>Copy it from the file</w:t>
            </w:r>
          </w:p>
        </w:tc>
        <w:tc>
          <w:tcPr>
            <w:tcW w:type="dxa" w:w="1728"/>
          </w:tcPr>
          <w:p>
            <w:r>
              <w:t>Must match the header.</w:t>
            </w:r>
          </w:p>
        </w:tc>
      </w:tr>
      <w:tr>
        <w:tc>
          <w:tcPr>
            <w:tcW w:type="dxa" w:w="1728"/>
          </w:tcPr>
          <w:p>
            <w:r>
              <w:t>Internal Field</w:t>
            </w:r>
          </w:p>
        </w:tc>
        <w:tc>
          <w:tcPr>
            <w:tcW w:type="dxa" w:w="1728"/>
          </w:tcPr>
          <w:p>
            <w:r>
              <w:t>The BlueTrack field the column feeds.</w:t>
            </w:r>
          </w:p>
        </w:tc>
        <w:tc>
          <w:tcPr>
            <w:tcW w:type="dxa" w:w="1728"/>
          </w:tcPr>
          <w:p>
            <w:r>
              <w:t>Blank</w:t>
            </w:r>
          </w:p>
        </w:tc>
        <w:tc>
          <w:tcPr>
            <w:tcW w:type="dxa" w:w="1728"/>
          </w:tcPr>
          <w:p>
            <w:r>
              <w:t>A field name from that import's template</w:t>
            </w:r>
          </w:p>
        </w:tc>
        <w:tc>
          <w:tcPr>
            <w:tcW w:type="dxa" w:w="1728"/>
          </w:tcPr>
          <w:p>
            <w:r>
              <w:t>Only the template's field names are used.</w:t>
            </w:r>
          </w:p>
        </w:tc>
      </w:tr>
      <w:tr>
        <w:tc>
          <w:tcPr>
            <w:tcW w:type="dxa" w:w="1728"/>
          </w:tcPr>
          <w:p>
            <w:r>
              <w:t>Required</w:t>
            </w:r>
          </w:p>
        </w:tc>
        <w:tc>
          <w:tcPr>
            <w:tcW w:type="dxa" w:w="1728"/>
          </w:tcPr>
          <w:p>
            <w:r>
              <w:t>A row with this value missing is reported as an error.</w:t>
            </w:r>
          </w:p>
        </w:tc>
        <w:tc>
          <w:tcPr>
            <w:tcW w:type="dxa" w:w="1728"/>
          </w:tcPr>
          <w:p>
            <w:r>
              <w:t>Off</w:t>
            </w:r>
          </w:p>
        </w:tc>
        <w:tc>
          <w:tcPr>
            <w:tcW w:type="dxa" w:w="1728"/>
          </w:tcPr>
          <w:p>
            <w:r>
              <w:t>On for identifying fields</w:t>
            </w:r>
          </w:p>
        </w:tc>
        <w:tc>
          <w:tcPr>
            <w:tcW w:type="dxa" w:w="1728"/>
          </w:tcPr>
          <w:p>
            <w:r>
              <w:t>Catches incomplete rows instead of loading them.</w:t>
            </w:r>
          </w:p>
        </w:tc>
      </w:tr>
      <w:tr>
        <w:tc>
          <w:tcPr>
            <w:tcW w:type="dxa" w:w="1728"/>
          </w:tcPr>
          <w:p>
            <w:r>
              <w:t>Default</w:t>
            </w:r>
          </w:p>
        </w:tc>
        <w:tc>
          <w:tcPr>
            <w:tcW w:type="dxa" w:w="1728"/>
          </w:tcPr>
          <w:p>
            <w:r>
              <w:t>The value used when the column is blank or missing and not required.</w:t>
            </w:r>
          </w:p>
        </w:tc>
        <w:tc>
          <w:tcPr>
            <w:tcW w:type="dxa" w:w="1728"/>
          </w:tcPr>
          <w:p>
            <w:r>
              <w:t>Blank</w:t>
            </w:r>
          </w:p>
        </w:tc>
        <w:tc>
          <w:tcPr>
            <w:tcW w:type="dxa" w:w="1728"/>
          </w:tcPr>
          <w:p>
            <w:r>
              <w:t>Only where a sensible default exists</w:t>
            </w:r>
          </w:p>
        </w:tc>
        <w:tc>
          <w:tcPr>
            <w:tcW w:type="dxa" w:w="1728"/>
          </w:tcPr>
          <w:p>
            <w:r>
              <w:t>A default fills gaps silently, so use it sparingly.</w:t>
            </w:r>
          </w:p>
        </w:tc>
      </w:tr>
    </w:tbl>
    <w:p/>
    <w:p>
      <w:r>
        <w:t>A file in the template's own format needs no profile.</w:t>
      </w:r>
    </w:p>
    <w:p>
      <w:pPr>
        <w:pStyle w:val="Heading2"/>
      </w:pPr>
      <w:r>
        <w:t>Field Metadata</w:t>
      </w:r>
    </w:p>
    <w:p>
      <w:r>
        <w:rPr>
          <w:b/>
        </w:rPr>
        <w:t>Admin &gt; Field Metadata Management</w:t>
      </w:r>
      <w:r>
        <w:t xml:space="preserve"> (permission </w:t>
      </w:r>
      <w:r>
        <w:rPr>
          <w:rFonts w:ascii="Consolas" w:hAnsi="Consolas"/>
          <w:sz w:val="19"/>
        </w:rPr>
        <w:t>ManageFieldMetadata</w:t>
      </w:r>
      <w:r>
        <w:t>). The list of fields shown on the Account Progress edit form. A new install has ten fields: Blueprint Stage and Status (both required), Risk Level, Account Type, Source of Record, Owner Name, Business Unit, Target Remediation Date, Actual Completion Date and Notes.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Field Name</w:t>
            </w:r>
          </w:p>
        </w:tc>
        <w:tc>
          <w:tcPr>
            <w:tcW w:type="dxa" w:w="1728"/>
          </w:tcPr>
          <w:p>
            <w:r>
              <w:t>The underlying field.</w:t>
            </w:r>
          </w:p>
        </w:tc>
        <w:tc>
          <w:tcPr>
            <w:tcW w:type="dxa" w:w="1728"/>
          </w:tcPr>
          <w:p>
            <w:r>
              <w:t>As seeded</w:t>
            </w:r>
          </w:p>
        </w:tc>
        <w:tc>
          <w:tcPr>
            <w:tcW w:type="dxa" w:w="1728"/>
          </w:tcPr>
          <w:p>
            <w:r>
              <w:t>Don't change the seeded names</w:t>
            </w:r>
          </w:p>
        </w:tc>
        <w:tc>
          <w:tcPr>
            <w:tcW w:type="dxa" w:w="1728"/>
          </w:tcPr>
          <w:p>
            <w:r>
              <w:t>The edit form matches each field to its stored value by this name.</w:t>
            </w:r>
          </w:p>
        </w:tc>
      </w:tr>
      <w:tr>
        <w:tc>
          <w:tcPr>
            <w:tcW w:type="dxa" w:w="1728"/>
          </w:tcPr>
          <w:p>
            <w:r>
              <w:t>Display Label</w:t>
            </w:r>
          </w:p>
        </w:tc>
        <w:tc>
          <w:tcPr>
            <w:tcW w:type="dxa" w:w="1728"/>
          </w:tcPr>
          <w:p>
            <w:r>
              <w:t>The label users see.</w:t>
            </w:r>
          </w:p>
        </w:tc>
        <w:tc>
          <w:tcPr>
            <w:tcW w:type="dxa" w:w="1728"/>
          </w:tcPr>
          <w:p>
            <w:r>
              <w:t>As seeded</w:t>
            </w:r>
          </w:p>
        </w:tc>
        <w:tc>
          <w:tcPr>
            <w:tcW w:type="dxa" w:w="1728"/>
          </w:tcPr>
          <w:p>
            <w:r>
              <w:t>Your organization's terms</w:t>
            </w:r>
          </w:p>
        </w:tc>
        <w:tc>
          <w:tcPr>
            <w:tcW w:type="dxa" w:w="1728"/>
          </w:tcPr>
          <w:p>
            <w:r>
              <w:t>Change labels freely; it changes nothing stored.</w:t>
            </w:r>
          </w:p>
        </w:tc>
      </w:tr>
      <w:tr>
        <w:tc>
          <w:tcPr>
            <w:tcW w:type="dxa" w:w="1728"/>
          </w:tcPr>
          <w:p>
            <w:r>
              <w:t>Field Type</w:t>
            </w:r>
          </w:p>
        </w:tc>
        <w:tc>
          <w:tcPr>
            <w:tcW w:type="dxa" w:w="1728"/>
          </w:tcPr>
          <w:p>
            <w:r>
              <w:t xml:space="preserve">How the input is shown: </w:t>
            </w:r>
            <w:r>
              <w:rPr>
                <w:rFonts w:ascii="Consolas" w:hAnsi="Consolas"/>
                <w:sz w:val="19"/>
              </w:rPr>
              <w:t>Text</w:t>
            </w:r>
            <w:r>
              <w:t xml:space="preserve">, </w:t>
            </w:r>
            <w:r>
              <w:rPr>
                <w:rFonts w:ascii="Consolas" w:hAnsi="Consolas"/>
                <w:sz w:val="19"/>
              </w:rPr>
              <w:t>Date</w:t>
            </w:r>
            <w:r>
              <w:t xml:space="preserve">, </w:t>
            </w:r>
            <w:r>
              <w:rPr>
                <w:rFonts w:ascii="Consolas" w:hAnsi="Consolas"/>
                <w:sz w:val="19"/>
              </w:rPr>
              <w:t>Dropdown</w:t>
            </w:r>
            <w:r>
              <w:t xml:space="preserve"> or </w:t>
            </w:r>
            <w:r>
              <w:rPr>
                <w:rFonts w:ascii="Consolas" w:hAnsi="Consolas"/>
                <w:sz w:val="19"/>
              </w:rPr>
              <w:t>TextArea</w:t>
            </w:r>
            <w:r>
              <w:t>.</w:t>
            </w:r>
          </w:p>
        </w:tc>
        <w:tc>
          <w:tcPr>
            <w:tcW w:type="dxa" w:w="1728"/>
          </w:tcPr>
          <w:p>
            <w:r>
              <w:t>As seeded</w:t>
            </w:r>
          </w:p>
        </w:tc>
        <w:tc>
          <w:tcPr>
            <w:tcW w:type="dxa" w:w="1728"/>
          </w:tcPr>
          <w:p>
            <w:r>
              <w:t>Keep the seeded type</w:t>
            </w:r>
          </w:p>
        </w:tc>
        <w:tc>
          <w:tcPr>
            <w:tcW w:type="dxa" w:w="1728"/>
          </w:tcPr>
          <w:p>
            <w:r>
              <w:t>The type must suit the stored value.</w:t>
            </w:r>
          </w:p>
        </w:tc>
      </w:tr>
      <w:tr>
        <w:tc>
          <w:tcPr>
            <w:tcW w:type="dxa" w:w="1728"/>
          </w:tcPr>
          <w:p>
            <w:r>
              <w:t>Reference Table</w:t>
            </w:r>
          </w:p>
        </w:tc>
        <w:tc>
          <w:tcPr>
            <w:tcW w:type="dxa" w:w="1728"/>
          </w:tcPr>
          <w:p>
            <w:r>
              <w:t>For Dropdown fields, the list the choices come from.</w:t>
            </w:r>
          </w:p>
        </w:tc>
        <w:tc>
          <w:tcPr>
            <w:tcW w:type="dxa" w:w="1728"/>
          </w:tcPr>
          <w:p>
            <w:r>
              <w:t>As seeded</w:t>
            </w:r>
          </w:p>
        </w:tc>
        <w:tc>
          <w:tcPr>
            <w:tcW w:type="dxa" w:w="1728"/>
          </w:tcPr>
          <w:p>
            <w:r>
              <w:t>Keep the seeded table</w:t>
            </w:r>
          </w:p>
        </w:tc>
        <w:tc>
          <w:tcPr>
            <w:tcW w:type="dxa" w:w="1728"/>
          </w:tcPr>
          <w:p>
            <w:r>
              <w:t>The choices come from that list.</w:t>
            </w:r>
          </w:p>
        </w:tc>
      </w:tr>
      <w:tr>
        <w:tc>
          <w:tcPr>
            <w:tcW w:type="dxa" w:w="1728"/>
          </w:tcPr>
          <w:p>
            <w:r>
              <w:t>Required</w:t>
            </w:r>
          </w:p>
        </w:tc>
        <w:tc>
          <w:tcPr>
            <w:tcW w:type="dxa" w:w="1728"/>
          </w:tcPr>
          <w:p>
            <w:r>
              <w:t>The form can't be saved without a value.</w:t>
            </w:r>
          </w:p>
        </w:tc>
        <w:tc>
          <w:tcPr>
            <w:tcW w:type="dxa" w:w="1728"/>
          </w:tcPr>
          <w:p>
            <w:r>
              <w:t>Stage and Status</w:t>
            </w:r>
          </w:p>
        </w:tc>
        <w:tc>
          <w:tcPr>
            <w:tcW w:type="dxa" w:w="1728"/>
          </w:tcPr>
          <w:p>
            <w:r>
              <w:t>Stage and Status, plus any your process requires</w:t>
            </w:r>
          </w:p>
        </w:tc>
        <w:tc>
          <w:tcPr>
            <w:tcW w:type="dxa" w:w="1728"/>
          </w:tcPr>
          <w:p>
            <w:r>
              <w:t>Required fields keep the reports complete.</w:t>
            </w:r>
          </w:p>
        </w:tc>
      </w:tr>
      <w:tr>
        <w:tc>
          <w:tcPr>
            <w:tcW w:type="dxa" w:w="1728"/>
          </w:tcPr>
          <w:p>
            <w:r>
              <w:t>Display Order</w:t>
            </w:r>
          </w:p>
        </w:tc>
        <w:tc>
          <w:tcPr>
            <w:tcW w:type="dxa" w:w="1728"/>
          </w:tcPr>
          <w:p>
            <w:r>
              <w:t>The order of fields on the form.</w:t>
            </w:r>
          </w:p>
        </w:tc>
        <w:tc>
          <w:tcPr>
            <w:tcW w:type="dxa" w:w="1728"/>
          </w:tcPr>
          <w:p>
            <w:r>
              <w:t>10, 20 ... 100</w:t>
            </w:r>
          </w:p>
        </w:tc>
        <w:tc>
          <w:tcPr>
            <w:tcW w:type="dxa" w:w="1728"/>
          </w:tcPr>
          <w:p>
            <w:r>
              <w:t>Your preferred order</w:t>
            </w:r>
          </w:p>
        </w:tc>
        <w:tc>
          <w:tcPr>
            <w:tcW w:type="dxa" w:w="1728"/>
          </w:tcPr>
          <w:p>
            <w:r>
              <w:t>Gaps of 10 make reordering easy.</w:t>
            </w:r>
          </w:p>
        </w:tc>
      </w:tr>
      <w:tr>
        <w:tc>
          <w:tcPr>
            <w:tcW w:type="dxa" w:w="1728"/>
          </w:tcPr>
          <w:p>
            <w:r>
              <w:t>Required permission</w:t>
            </w:r>
          </w:p>
        </w:tc>
        <w:tc>
          <w:tcPr>
            <w:tcW w:type="dxa" w:w="1728"/>
          </w:tcPr>
          <w:p>
            <w:r>
              <w:t xml:space="preserve">The permission needed to change this field, on top of </w:t>
            </w:r>
            <w:r>
              <w:rPr>
                <w:rFonts w:ascii="Consolas" w:hAnsi="Consolas"/>
                <w:sz w:val="19"/>
              </w:rPr>
              <w:t>EditAccountProgress</w:t>
            </w:r>
            <w:r>
              <w:t>. Enforced on the edit page, in bulk edit and in the Risk Exception import.</w:t>
            </w:r>
          </w:p>
        </w:tc>
        <w:tc>
          <w:tcPr>
            <w:tcW w:type="dxa" w:w="1728"/>
          </w:tcPr>
          <w:p>
            <w:r>
              <w:t>None</w:t>
            </w:r>
          </w:p>
        </w:tc>
        <w:tc>
          <w:tcPr>
            <w:tcW w:type="dxa" w:w="1728"/>
          </w:tcPr>
          <w:p>
            <w:r>
              <w:t>None, unless a field needs tighter control</w:t>
            </w:r>
          </w:p>
        </w:tc>
        <w:tc>
          <w:tcPr>
            <w:tcW w:type="dxa" w:w="1728"/>
          </w:tcPr>
          <w:p>
            <w:r>
              <w:t xml:space="preserve">Not shown on the page. It is the </w:t>
            </w:r>
            <w:r>
              <w:rPr>
                <w:rFonts w:ascii="Consolas" w:hAnsi="Consolas"/>
                <w:sz w:val="19"/>
              </w:rPr>
              <w:t>RequiredPermission</w:t>
            </w:r>
            <w:r>
              <w:t xml:space="preserve"> column in the field metadata table; ask your database administrator to set it.</w:t>
            </w:r>
          </w:p>
        </w:tc>
      </w:tr>
    </w:tbl>
    <w:p/>
    <w:p>
      <w:pPr>
        <w:pStyle w:val="Heading2"/>
      </w:pPr>
      <w:r>
        <w:t>Risk Score Bands</w:t>
      </w:r>
    </w:p>
    <w:p>
      <w:r>
        <w:rPr>
          <w:b/>
        </w:rPr>
        <w:t>Admin &gt; Risk Score Bands</w:t>
      </w:r>
      <w:r>
        <w:t xml:space="preserve"> (permission </w:t>
      </w:r>
      <w:r>
        <w:rPr>
          <w:rFonts w:ascii="Consolas" w:hAnsi="Consolas"/>
          <w:sz w:val="19"/>
        </w:rPr>
        <w:t>ManageRiskScoreBands</w:t>
      </w:r>
      <w:r>
        <w:t>). Bands turn a risk score (0 to 1000) into a label.</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Name</w:t>
            </w:r>
          </w:p>
        </w:tc>
        <w:tc>
          <w:tcPr>
            <w:tcW w:type="dxa" w:w="1728"/>
          </w:tcPr>
          <w:p>
            <w:r>
              <w:t>The band's label.</w:t>
            </w:r>
          </w:p>
        </w:tc>
        <w:tc>
          <w:tcPr>
            <w:tcW w:type="dxa" w:w="1728"/>
          </w:tcPr>
          <w:p>
            <w:r>
              <w:t>Low, Medium, High, Critical</w:t>
            </w:r>
          </w:p>
        </w:tc>
        <w:tc>
          <w:tcPr>
            <w:tcW w:type="dxa" w:w="1728"/>
          </w:tcPr>
          <w:p>
            <w:r>
              <w:t>Your organization's risk terms</w:t>
            </w:r>
          </w:p>
        </w:tc>
        <w:tc>
          <w:tcPr>
            <w:tcW w:type="dxa" w:w="1728"/>
          </w:tcPr>
          <w:p>
            <w:r>
              <w:t>Matches language people already use.</w:t>
            </w:r>
          </w:p>
        </w:tc>
      </w:tr>
      <w:tr>
        <w:tc>
          <w:tcPr>
            <w:tcW w:type="dxa" w:w="1728"/>
          </w:tcPr>
          <w:p>
            <w:r>
              <w:t>Min Score / Max Score</w:t>
            </w:r>
          </w:p>
        </w:tc>
        <w:tc>
          <w:tcPr>
            <w:tcW w:type="dxa" w:w="1728"/>
          </w:tcPr>
          <w:p>
            <w:r>
              <w:t>The band's score range. Min must not be greater than Max; bands may not overlap.</w:t>
            </w:r>
          </w:p>
        </w:tc>
        <w:tc>
          <w:tcPr>
            <w:tcW w:type="dxa" w:w="1728"/>
          </w:tcPr>
          <w:p>
            <w:r>
              <w:t>0-250, 251-500, 501-750, 751-1000</w:t>
            </w:r>
          </w:p>
        </w:tc>
        <w:tc>
          <w:tcPr>
            <w:tcW w:type="dxa" w:w="1728"/>
          </w:tcPr>
          <w:p>
            <w:r>
              <w:t>Cover 0 to 1000 with no gaps</w:t>
            </w:r>
          </w:p>
        </w:tc>
        <w:tc>
          <w:tcPr>
            <w:tcW w:type="dxa" w:w="1728"/>
          </w:tcPr>
          <w:p>
            <w:r>
              <w:t>A score in a gap gets no label.</w:t>
            </w:r>
          </w:p>
        </w:tc>
      </w:tr>
      <w:tr>
        <w:tc>
          <w:tcPr>
            <w:tcW w:type="dxa" w:w="1728"/>
          </w:tcPr>
          <w:p>
            <w:r>
              <w:t>Risk Order</w:t>
            </w:r>
          </w:p>
        </w:tc>
        <w:tc>
          <w:tcPr>
            <w:tcW w:type="dxa" w:w="1728"/>
          </w:tcPr>
          <w:p>
            <w:r>
              <w:t>The sort order, lowest risk first.</w:t>
            </w:r>
          </w:p>
        </w:tc>
        <w:tc>
          <w:tcPr>
            <w:tcW w:type="dxa" w:w="1728"/>
          </w:tcPr>
          <w:p>
            <w:r>
              <w:t>10, 20, 30, 40</w:t>
            </w:r>
          </w:p>
        </w:tc>
        <w:tc>
          <w:tcPr>
            <w:tcW w:type="dxa" w:w="1728"/>
          </w:tcPr>
          <w:p>
            <w:r>
              <w:t>Keep gaps of 10</w:t>
            </w:r>
          </w:p>
        </w:tc>
        <w:tc>
          <w:tcPr>
            <w:tcW w:type="dxa" w:w="1728"/>
          </w:tcPr>
          <w:p>
            <w:r>
              <w:t>Reports sort by it.</w:t>
            </w:r>
          </w:p>
        </w:tc>
      </w:tr>
    </w:tbl>
    <w:p/>
    <w:p>
      <w:pPr>
        <w:pStyle w:val="Heading2"/>
      </w:pPr>
      <w:r>
        <w:t>Application ↔ Safe Mapping</w:t>
      </w:r>
    </w:p>
    <w:p>
      <w:r>
        <w:rPr>
          <w:b/>
        </w:rPr>
        <w:t>Admin &gt; Application ↔ Safe Mapping</w:t>
      </w:r>
      <w:r>
        <w:t xml:space="preserve"> (permission </w:t>
      </w:r>
      <w:r>
        <w:rPr>
          <w:rFonts w:ascii="Consolas" w:hAnsi="Consolas"/>
          <w:sz w:val="19"/>
        </w:rPr>
        <w:t>CurateApplicationMapping</w:t>
      </w:r>
      <w:r>
        <w:t>) has no settings. It holds data: each application's code, name, description, owner and technical contact, and which application each safe belongs to. Keep it current, because the risk reports group accounts by application.</w:t>
      </w:r>
    </w:p>
    <w:p>
      <w:pPr>
        <w:pStyle w:val="Heading1"/>
      </w:pPr>
      <w:r>
        <w:t>6. Deployment page and health checks</w:t>
      </w:r>
    </w:p>
    <w:p>
      <w:r>
        <w:rPr>
          <w:b/>
        </w:rPr>
        <w:t>Admin &gt; Deployment</w:t>
      </w:r>
      <w:r>
        <w:t xml:space="preserve"> (permission </w:t>
      </w:r>
      <w:r>
        <w:rPr>
          <w:rFonts w:ascii="Consolas" w:hAnsi="Consolas"/>
          <w:sz w:val="19"/>
        </w:rPr>
        <w:t>ViewDeploymentInfo</w:t>
      </w:r>
      <w:r>
        <w:t xml:space="preserve">; </w:t>
      </w:r>
      <w:r>
        <w:rPr>
          <w:b/>
        </w:rPr>
        <w:t>Backup App</w:t>
      </w:r>
      <w:r>
        <w:t xml:space="preserve"> also needs </w:t>
      </w:r>
      <w:r>
        <w:rPr>
          <w:rFonts w:ascii="Consolas" w:hAnsi="Consolas"/>
          <w:sz w:val="19"/>
        </w:rPr>
        <w:t>TriggerBackup</w:t>
      </w:r>
      <w:r>
        <w:t>) shows the environment name, version and build time, the health checks, SQL Server's last backup times and recent BlueTrack backups.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Health check</w:t>
            </w:r>
          </w:p>
        </w:tc>
        <w:tc>
          <w:tcPr>
            <w:tcW w:type="dxa" w:w="2160"/>
          </w:tcPr>
          <w:p>
            <w:r>
              <w:rPr>
                <w:b/>
              </w:rPr>
              <w:t>Healthy means</w:t>
            </w:r>
          </w:p>
        </w:tc>
        <w:tc>
          <w:tcPr>
            <w:tcW w:type="dxa" w:w="2160"/>
          </w:tcPr>
          <w:p>
            <w:r>
              <w:rPr>
                <w:b/>
              </w:rPr>
              <w:t>A problem means</w:t>
            </w:r>
          </w:p>
        </w:tc>
        <w:tc>
          <w:tcPr>
            <w:tcW w:type="dxa" w:w="2160"/>
          </w:tcPr>
          <w:p>
            <w:r>
              <w:rPr>
                <w:b/>
              </w:rPr>
              <w:t>What to do</w:t>
            </w:r>
          </w:p>
        </w:tc>
      </w:tr>
      <w:tr>
        <w:tc>
          <w:tcPr>
            <w:tcW w:type="dxa" w:w="2160"/>
          </w:tcPr>
          <w:p>
            <w:r>
              <w:t>SQL Server</w:t>
            </w:r>
          </w:p>
        </w:tc>
        <w:tc>
          <w:tcPr>
            <w:tcW w:type="dxa" w:w="2160"/>
          </w:tcPr>
          <w:p>
            <w:r>
              <w:t>BlueTrack connected to its database.</w:t>
            </w:r>
          </w:p>
        </w:tc>
        <w:tc>
          <w:tcPr>
            <w:tcW w:type="dxa" w:w="2160"/>
          </w:tcPr>
          <w:p>
            <w:r>
              <w:t>Unhealthy: the connection failed.</w:t>
            </w:r>
          </w:p>
        </w:tc>
        <w:tc>
          <w:tcPr>
            <w:tcW w:type="dxa" w:w="2160"/>
          </w:tcPr>
          <w:p>
            <w:r>
              <w:t>Check SQL Server is running and the App Pool's account has its login.</w:t>
            </w:r>
          </w:p>
        </w:tc>
      </w:tr>
      <w:tr>
        <w:tc>
          <w:tcPr>
            <w:tcW w:type="dxa" w:w="2160"/>
          </w:tcPr>
          <w:p>
            <w:r>
              <w:t>Secrets Store</w:t>
            </w:r>
          </w:p>
        </w:tc>
        <w:tc>
          <w:tcPr>
            <w:tcW w:type="dxa" w:w="2160"/>
          </w:tcPr>
          <w:p>
            <w:r>
              <w:t>The active backend has an implementation in this build.</w:t>
            </w:r>
          </w:p>
        </w:tc>
        <w:tc>
          <w:tcPr>
            <w:tcW w:type="dxa" w:w="2160"/>
          </w:tcPr>
          <w:p>
            <w:r>
              <w:t>Unhealthy: no implementation, for example CyberArkCP without the SDK.</w:t>
            </w:r>
          </w:p>
        </w:tc>
        <w:tc>
          <w:tcPr>
            <w:tcW w:type="dxa" w:w="2160"/>
          </w:tcPr>
          <w:p>
            <w:r>
              <w:t xml:space="preserve">Make another backend active. This check doesn't fetch a secret; use </w:t>
            </w:r>
            <w:r>
              <w:rPr>
                <w:b/>
              </w:rPr>
              <w:t>Test Connection</w:t>
            </w:r>
            <w:r>
              <w:t xml:space="preserve"> for that.</w:t>
            </w:r>
          </w:p>
        </w:tc>
      </w:tr>
      <w:tr>
        <w:tc>
          <w:tcPr>
            <w:tcW w:type="dxa" w:w="2160"/>
          </w:tcPr>
          <w:p>
            <w:r>
              <w:t>Identity Providers</w:t>
            </w:r>
          </w:p>
        </w:tc>
        <w:tc>
          <w:tcPr>
            <w:tcW w:type="dxa" w:w="2160"/>
          </w:tcPr>
          <w:p>
            <w:r>
              <w:t>At least one provider is enabled, and enabled OIDC and SAML rows have their required fields.</w:t>
            </w:r>
          </w:p>
        </w:tc>
        <w:tc>
          <w:tcPr>
            <w:tcW w:type="dxa" w:w="2160"/>
          </w:tcPr>
          <w:p>
            <w:r>
              <w:t>Unhealthy: nothing is enabled. Degraded: OIDC lacks Authority or Client ID, or SAML lacks SP Entity ID, IdP Entity ID or sign-on destination.</w:t>
            </w:r>
          </w:p>
        </w:tc>
        <w:tc>
          <w:tcPr>
            <w:tcW w:type="dxa" w:w="2160"/>
          </w:tcPr>
          <w:p>
            <w:r>
              <w:t>Fill in the fields or disable the provider. The check doesn't test a real sign-in or an OIDC secret: always test one by hand.</w:t>
            </w:r>
          </w:p>
        </w:tc>
      </w:tr>
      <w:tr>
        <w:tc>
          <w:tcPr>
            <w:tcW w:type="dxa" w:w="2160"/>
          </w:tcPr>
          <w:p>
            <w:r>
              <w:t>Backup Folder</w:t>
            </w:r>
          </w:p>
        </w:tc>
        <w:tc>
          <w:tcPr>
            <w:tcW w:type="dxa" w:w="2160"/>
          </w:tcPr>
          <w:p>
            <w:r>
              <w:t>No folder is set, the folder can't be seen from this server, or only specific accounts can read it.</w:t>
            </w:r>
          </w:p>
        </w:tc>
        <w:tc>
          <w:tcPr>
            <w:tcW w:type="dxa" w:w="2160"/>
          </w:tcPr>
          <w:p>
            <w:r>
              <w:t>Degraded: a broad group can read the folder, or the App Pool's account can't read its permissions.</w:t>
            </w:r>
          </w:p>
        </w:tc>
        <w:tc>
          <w:tcPr>
            <w:tcW w:type="dxa" w:w="2160"/>
          </w:tcPr>
          <w:p>
            <w:r>
              <w:t>The next backup removes broad access, or is refused if it can't. Fix the permissions so backups aren't refused.</w:t>
            </w:r>
          </w:p>
        </w:tc>
      </w:tr>
    </w:tbl>
    <w:p/>
    <w:p>
      <w:r>
        <w:rPr>
          <w:b/>
        </w:rPr>
        <w:t>Backup App</w:t>
      </w:r>
      <w:r>
        <w:t xml:space="preserve"> writes an immediate full backup to the Backup Folder; it is never deleted automatically. Recommended: run it before any configuration change you might want to undo, and copy important backups off the server.</w:t>
      </w:r>
    </w:p>
    <w:p>
      <w:pPr>
        <w:pStyle w:val="Heading1"/>
      </w:pPr>
      <w:r>
        <w:t>7. Installer and server settings</w:t>
      </w:r>
    </w:p>
    <w:p>
      <w:r>
        <w:t xml:space="preserve">These are chosen when running </w:t>
      </w:r>
      <w:r>
        <w:rPr>
          <w:rFonts w:ascii="Consolas" w:hAnsi="Consolas"/>
          <w:sz w:val="19"/>
        </w:rPr>
        <w:t>Deploy\Install-BlueTrack.ps1</w:t>
      </w:r>
      <w:r>
        <w:t>. Each can be a parameter, a value in an answer file (</w:t>
      </w:r>
      <w:r>
        <w:rPr>
          <w:rFonts w:ascii="Consolas" w:hAnsi="Consolas"/>
          <w:sz w:val="19"/>
        </w:rPr>
        <w:t>-ConfigFile</w:t>
      </w:r>
      <w:r>
        <w:t xml:space="preserve">, see </w:t>
      </w:r>
      <w:r>
        <w:rPr>
          <w:rFonts w:ascii="Consolas" w:hAnsi="Consolas"/>
          <w:sz w:val="19"/>
        </w:rPr>
        <w:t>Deploy\answers.sample.json</w:t>
      </w:r>
      <w:r>
        <w:t>), or answered at a prompt. Never put a password in an answer file; the SQL credential is always prompted.</w:t>
      </w:r>
    </w:p>
    <w:p>
      <w:pPr>
        <w:pStyle w:val="Heading2"/>
      </w:pPr>
      <w:r>
        <w:t>Environment and database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-Environment</w:t>
            </w:r>
          </w:p>
        </w:tc>
        <w:tc>
          <w:tcPr>
            <w:tcW w:type="dxa" w:w="1728"/>
          </w:tcPr>
          <w:p>
            <w:r>
              <w:t>Development, Test, Staging or Production. Names the settings file and turns development-only features on or off.</w:t>
            </w:r>
          </w:p>
        </w:tc>
        <w:tc>
          <w:tcPr>
            <w:tcW w:type="dxa" w:w="1728"/>
          </w:tcPr>
          <w:p>
            <w:r>
              <w:t>Prompted</w:t>
            </w:r>
          </w:p>
        </w:tc>
        <w:tc>
          <w:tcPr>
            <w:tcW w:type="dxa" w:w="1728"/>
          </w:tcPr>
          <w:p>
            <w:r>
              <w:t>Production for live use</w:t>
            </w:r>
          </w:p>
        </w:tc>
        <w:tc>
          <w:tcPr>
            <w:tcW w:type="dxa" w:w="1728"/>
          </w:tcPr>
          <w:p>
            <w:r>
              <w:t>Development enables test-only sign-in features. Never run a live install as Development.</w:t>
            </w:r>
          </w:p>
        </w:tc>
      </w:tr>
      <w:tr>
        <w:tc>
          <w:tcPr>
            <w:tcW w:type="dxa" w:w="1728"/>
          </w:tcPr>
          <w:p>
            <w:r>
              <w:rPr>
                <w:rFonts w:ascii="Consolas" w:hAnsi="Consolas"/>
                <w:sz w:val="19"/>
              </w:rPr>
              <w:t>-SqlServerInstance</w:t>
            </w:r>
          </w:p>
        </w:tc>
        <w:tc>
          <w:tcPr>
            <w:tcW w:type="dxa" w:w="1728"/>
          </w:tcPr>
          <w:p>
            <w:r>
              <w:t>The SQL Server instance.</w:t>
            </w:r>
          </w:p>
        </w:tc>
        <w:tc>
          <w:tcPr>
            <w:tcW w:type="dxa" w:w="1728"/>
          </w:tcPr>
          <w:p>
            <w:r>
              <w:t>Prompted</w:t>
            </w:r>
          </w:p>
        </w:tc>
        <w:tc>
          <w:tcPr>
            <w:tcW w:type="dxa" w:w="1728"/>
          </w:tcPr>
          <w:p>
            <w:r>
              <w:t>The local instance on the BlueTrack server</w:t>
            </w:r>
          </w:p>
        </w:tc>
        <w:tc>
          <w:tcPr>
            <w:tcW w:type="dxa" w:w="1728"/>
          </w:tcPr>
          <w:p>
            <w:r>
              <w:t>BlueTrack is designed for a single server.</w:t>
            </w:r>
          </w:p>
        </w:tc>
      </w:tr>
      <w:tr>
        <w:tc>
          <w:tcPr>
            <w:tcW w:type="dxa" w:w="1728"/>
          </w:tcPr>
          <w:p>
            <w:r>
              <w:rPr>
                <w:rFonts w:ascii="Consolas" w:hAnsi="Consolas"/>
                <w:sz w:val="19"/>
              </w:rPr>
              <w:t>-DatabaseName</w:t>
            </w:r>
          </w:p>
        </w:tc>
        <w:tc>
          <w:tcPr>
            <w:tcW w:type="dxa" w:w="1728"/>
          </w:tcPr>
          <w:p>
            <w:r>
              <w:t>The database name.</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Scripts and jobs name the database; keep the default unless you host several environments on one instance.</w:t>
            </w:r>
          </w:p>
        </w:tc>
      </w:tr>
      <w:tr>
        <w:tc>
          <w:tcPr>
            <w:tcW w:type="dxa" w:w="1728"/>
          </w:tcPr>
          <w:p>
            <w:r>
              <w:rPr>
                <w:rFonts w:ascii="Consolas" w:hAnsi="Consolas"/>
                <w:sz w:val="19"/>
              </w:rPr>
              <w:t>-UseWindowsAuth</w:t>
            </w:r>
          </w:p>
        </w:tc>
        <w:tc>
          <w:tcPr>
            <w:tcW w:type="dxa" w:w="1728"/>
          </w:tcPr>
          <w:p>
            <w:r>
              <w:t>Connect to SQL Server with Windows authentication.</w:t>
            </w:r>
          </w:p>
        </w:tc>
        <w:tc>
          <w:tcPr>
            <w:tcW w:type="dxa" w:w="1728"/>
          </w:tcPr>
          <w:p>
            <w:r>
              <w:rPr>
                <w:rFonts w:ascii="Consolas" w:hAnsi="Consolas"/>
                <w:sz w:val="19"/>
              </w:rPr>
              <w:t>$true</w:t>
            </w:r>
          </w:p>
        </w:tc>
        <w:tc>
          <w:tcPr>
            <w:tcW w:type="dxa" w:w="1728"/>
          </w:tcPr>
          <w:p>
            <w:r>
              <w:rPr>
                <w:rFonts w:ascii="Consolas" w:hAnsi="Consolas"/>
                <w:sz w:val="19"/>
              </w:rPr>
              <w:t>$true</w:t>
            </w:r>
          </w:p>
        </w:tc>
        <w:tc>
          <w:tcPr>
            <w:tcW w:type="dxa" w:w="1728"/>
          </w:tcPr>
          <w:p>
            <w:r>
              <w:t>No password is stored. With SQL authentication the password sits in the settings file.</w:t>
            </w:r>
          </w:p>
        </w:tc>
      </w:tr>
      <w:tr>
        <w:tc>
          <w:tcPr>
            <w:tcW w:type="dxa" w:w="1728"/>
          </w:tcPr>
          <w:p>
            <w:r>
              <w:rPr>
                <w:rFonts w:ascii="Consolas" w:hAnsi="Consolas"/>
                <w:sz w:val="19"/>
              </w:rPr>
              <w:t>-SqlCredential</w:t>
            </w:r>
          </w:p>
        </w:tc>
        <w:tc>
          <w:tcPr>
            <w:tcW w:type="dxa" w:w="1728"/>
          </w:tcPr>
          <w:p>
            <w:r>
              <w:t>A SQL login, only when Windows authentication is off.</w:t>
            </w:r>
          </w:p>
        </w:tc>
        <w:tc>
          <w:tcPr>
            <w:tcW w:type="dxa" w:w="1728"/>
          </w:tcPr>
          <w:p>
            <w:r>
              <w:t>Prompted</w:t>
            </w:r>
          </w:p>
        </w:tc>
        <w:tc>
          <w:tcPr>
            <w:tcW w:type="dxa" w:w="1728"/>
          </w:tcPr>
          <w:p>
            <w:r>
              <w:t>Not used</w:t>
            </w:r>
          </w:p>
        </w:tc>
        <w:tc>
          <w:tcPr>
            <w:tcW w:type="dxa" w:w="1728"/>
          </w:tcPr>
          <w:p>
            <w:r>
              <w:t>See above.</w:t>
            </w:r>
          </w:p>
        </w:tc>
      </w:tr>
      <w:tr>
        <w:tc>
          <w:tcPr>
            <w:tcW w:type="dxa" w:w="1728"/>
          </w:tcPr>
          <w:p>
            <w:r>
              <w:rPr>
                <w:rFonts w:ascii="Consolas" w:hAnsi="Consolas"/>
                <w:sz w:val="19"/>
              </w:rPr>
              <w:t>-TrustServerCertificate</w:t>
            </w:r>
          </w:p>
        </w:tc>
        <w:tc>
          <w:tcPr>
            <w:tcW w:type="dxa" w:w="1728"/>
          </w:tcPr>
          <w:p>
            <w:r>
              <w:t>Skip checking SQL Server's TLS certificate.</w:t>
            </w:r>
          </w:p>
        </w:tc>
        <w:tc>
          <w:tcPr>
            <w:tcW w:type="dxa" w:w="1728"/>
          </w:tcPr>
          <w:p>
            <w:r>
              <w:t>Unset: trusted only when SQL Server is on this machine</w:t>
            </w:r>
          </w:p>
        </w:tc>
        <w:tc>
          <w:tcPr>
            <w:tcW w:type="dxa" w:w="1728"/>
          </w:tcPr>
          <w:p>
            <w:r>
              <w:t>Leave unset</w:t>
            </w:r>
          </w:p>
        </w:tc>
        <w:tc>
          <w:tcPr>
            <w:tcW w:type="dxa" w:w="1728"/>
          </w:tcPr>
          <w:p>
            <w:r>
              <w:t>A remote SQL Server's certificate is then checked, protecting the connection.</w:t>
            </w:r>
          </w:p>
        </w:tc>
      </w:tr>
      <w:tr>
        <w:tc>
          <w:tcPr>
            <w:tcW w:type="dxa" w:w="1728"/>
          </w:tcPr>
          <w:p>
            <w:r>
              <w:rPr>
                <w:rFonts w:ascii="Consolas" w:hAnsi="Consolas"/>
                <w:sz w:val="19"/>
              </w:rPr>
              <w:t>-GrantAppPoolSqlAccess</w:t>
            </w:r>
          </w:p>
        </w:tc>
        <w:tc>
          <w:tcPr>
            <w:tcW w:type="dxa" w:w="1728"/>
          </w:tcPr>
          <w:p>
            <w:r>
              <w:t xml:space="preserve">Give the App Pool's account a SQL login and only the rights BlueTrack needs (not </w:t>
            </w:r>
            <w:r>
              <w:rPr>
                <w:rFonts w:ascii="Consolas" w:hAnsi="Consolas"/>
                <w:sz w:val="19"/>
              </w:rPr>
              <w:t>db_owner</w:t>
            </w:r>
            <w:r>
              <w:t>).</w:t>
            </w:r>
          </w:p>
        </w:tc>
        <w:tc>
          <w:tcPr>
            <w:tcW w:type="dxa" w:w="1728"/>
          </w:tcPr>
          <w:p>
            <w:r>
              <w:t>Prompted</w:t>
            </w:r>
          </w:p>
        </w:tc>
        <w:tc>
          <w:tcPr>
            <w:tcW w:type="dxa" w:w="1728"/>
          </w:tcPr>
          <w:p>
            <w:r>
              <w:rPr>
                <w:rFonts w:ascii="Consolas" w:hAnsi="Consolas"/>
                <w:sz w:val="19"/>
              </w:rPr>
              <w:t>$true</w:t>
            </w:r>
          </w:p>
        </w:tc>
        <w:tc>
          <w:tcPr>
            <w:tcW w:type="dxa" w:w="1728"/>
          </w:tcPr>
          <w:p>
            <w:r>
              <w:t>The site can't reach the database without it. The account can add audit entries but not change or delete them.</w:t>
            </w:r>
          </w:p>
        </w:tc>
      </w:tr>
      <w:tr>
        <w:tc>
          <w:tcPr>
            <w:tcW w:type="dxa" w:w="1728"/>
          </w:tcPr>
          <w:p>
            <w:r>
              <w:rPr>
                <w:rFonts w:ascii="Consolas" w:hAnsi="Consolas"/>
                <w:sz w:val="19"/>
              </w:rPr>
              <w:t>-AppPoolSqlLogin</w:t>
            </w:r>
          </w:p>
        </w:tc>
        <w:tc>
          <w:tcPr>
            <w:tcW w:type="dxa" w:w="1728"/>
          </w:tcPr>
          <w:p>
            <w:r>
              <w:t>Override the account that gets the login.</w:t>
            </w:r>
          </w:p>
        </w:tc>
        <w:tc>
          <w:tcPr>
            <w:tcW w:type="dxa" w:w="1728"/>
          </w:tcPr>
          <w:p>
            <w:r>
              <w:t>Worked out from the App Pool</w:t>
            </w:r>
          </w:p>
        </w:tc>
        <w:tc>
          <w:tcPr>
            <w:tcW w:type="dxa" w:w="1728"/>
          </w:tcPr>
          <w:p>
            <w:r>
              <w:t>Leave unset</w:t>
            </w:r>
          </w:p>
        </w:tc>
        <w:tc>
          <w:tcPr>
            <w:tcW w:type="dxa" w:w="1728"/>
          </w:tcPr>
          <w:p>
            <w:r>
              <w:t>Only needed on a server that isn't domain-joined, or similar.</w:t>
            </w:r>
          </w:p>
        </w:tc>
      </w:tr>
      <w:tr>
        <w:tc>
          <w:tcPr>
            <w:tcW w:type="dxa" w:w="1728"/>
          </w:tcPr>
          <w:p>
            <w:r>
              <w:rPr>
                <w:rFonts w:ascii="Consolas" w:hAnsi="Consolas"/>
                <w:sz w:val="19"/>
              </w:rPr>
              <w:t>-SeedTestData</w:t>
            </w:r>
          </w:p>
        </w:tc>
        <w:tc>
          <w:tcPr>
            <w:tcW w:type="dxa" w:w="1728"/>
          </w:tcPr>
          <w:p>
            <w:r>
              <w:t>Load test users and synthetic data.</w:t>
            </w:r>
          </w:p>
        </w:tc>
        <w:tc>
          <w:tcPr>
            <w:tcW w:type="dxa" w:w="1728"/>
          </w:tcPr>
          <w:p>
            <w:r>
              <w:t>Prompted (never asked for Production)</w:t>
            </w:r>
          </w:p>
        </w:tc>
        <w:tc>
          <w:tcPr>
            <w:tcW w:type="dxa" w:w="1728"/>
          </w:tcPr>
          <w:p>
            <w:r>
              <w:rPr>
                <w:rFonts w:ascii="Consolas" w:hAnsi="Consolas"/>
                <w:sz w:val="19"/>
              </w:rPr>
              <w:t>$false</w:t>
            </w:r>
          </w:p>
        </w:tc>
        <w:tc>
          <w:tcPr>
            <w:tcW w:type="dxa" w:w="1728"/>
          </w:tcPr>
          <w:p>
            <w:r>
              <w:t>Test data and test sign-ins don't belong in a live install.</w:t>
            </w:r>
          </w:p>
        </w:tc>
      </w:tr>
    </w:tbl>
    <w:p/>
    <w:p>
      <w:pPr>
        <w:pStyle w:val="Heading2"/>
      </w:pPr>
      <w:r>
        <w:t>Nightly import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-InstallNightlyJob</w:t>
            </w:r>
          </w:p>
        </w:tc>
        <w:tc>
          <w:tcPr>
            <w:tcW w:type="dxa" w:w="1728"/>
          </w:tcPr>
          <w:p>
            <w:r>
              <w:t>Install the nightly Import and Load SQL Server Agent job (runs at 02:00).</w:t>
            </w:r>
          </w:p>
        </w:tc>
        <w:tc>
          <w:tcPr>
            <w:tcW w:type="dxa" w:w="1728"/>
          </w:tcPr>
          <w:p>
            <w:r>
              <w:t>Prompted</w:t>
            </w:r>
          </w:p>
        </w:tc>
        <w:tc>
          <w:tcPr>
            <w:tcW w:type="dxa" w:w="1728"/>
          </w:tcPr>
          <w:p>
            <w:r>
              <w:rPr>
                <w:rFonts w:ascii="Consolas" w:hAnsi="Consolas"/>
                <w:sz w:val="19"/>
              </w:rPr>
              <w:t>$true</w:t>
            </w:r>
            <w:r>
              <w:t xml:space="preserve"> once export files are in place</w:t>
            </w:r>
          </w:p>
        </w:tc>
        <w:tc>
          <w:tcPr>
            <w:tcW w:type="dxa" w:w="1728"/>
          </w:tcPr>
          <w:p>
            <w:r>
              <w:t>Without it, data is loaded only by hand.</w:t>
            </w:r>
          </w:p>
        </w:tc>
      </w:tr>
      <w:tr>
        <w:tc>
          <w:tcPr>
            <w:tcW w:type="dxa" w:w="1728"/>
          </w:tcPr>
          <w:p>
            <w:r>
              <w:rPr>
                <w:rFonts w:ascii="Consolas" w:hAnsi="Consolas"/>
                <w:sz w:val="19"/>
              </w:rPr>
              <w:t>-ImportSources</w:t>
            </w:r>
          </w:p>
        </w:tc>
        <w:tc>
          <w:tcPr>
            <w:tcW w:type="dxa" w:w="1728"/>
          </w:tcPr>
          <w:p>
            <w:r>
              <w:t>Which CyberArk sources the job imports: Both, PrivilegeCloud or SelfHosted.</w:t>
            </w:r>
          </w:p>
        </w:tc>
        <w:tc>
          <w:tcPr>
            <w:tcW w:type="dxa" w:w="1728"/>
          </w:tcPr>
          <w:p>
            <w:r>
              <w:t>Prompted</w:t>
            </w:r>
          </w:p>
        </w:tc>
        <w:tc>
          <w:tcPr>
            <w:tcW w:type="dxa" w:w="1728"/>
          </w:tcPr>
          <w:p>
            <w:r>
              <w:t>Only the sources you have</w:t>
            </w:r>
          </w:p>
        </w:tc>
        <w:tc>
          <w:tcPr>
            <w:tcW w:type="dxa" w:w="1728"/>
          </w:tcPr>
          <w:p>
            <w:r>
              <w:t>A source that is switched on but missing fails the job each night.</w:t>
            </w:r>
          </w:p>
        </w:tc>
      </w:tr>
      <w:tr>
        <w:tc>
          <w:tcPr>
            <w:tcW w:type="dxa" w:w="1728"/>
          </w:tcPr>
          <w:p>
            <w:r>
              <w:rPr>
                <w:rFonts w:ascii="Consolas" w:hAnsi="Consolas"/>
                <w:sz w:val="19"/>
              </w:rPr>
              <w:t>-ExportFolderPath</w:t>
            </w:r>
          </w:p>
        </w:tc>
        <w:tc>
          <w:tcPr>
            <w:tcW w:type="dxa" w:w="1728"/>
          </w:tcPr>
          <w:p>
            <w:r>
              <w:t>The Privilege Cloud export folder, as seen by the SQL Server service account.</w:t>
            </w:r>
          </w:p>
        </w:tc>
        <w:tc>
          <w:tcPr>
            <w:tcW w:type="dxa" w:w="1728"/>
          </w:tcPr>
          <w:p>
            <w:r>
              <w:t>Prompted if needed</w:t>
            </w:r>
          </w:p>
        </w:tc>
        <w:tc>
          <w:tcPr>
            <w:tcW w:type="dxa" w:w="1728"/>
          </w:tcPr>
          <w:p>
            <w:r>
              <w:t>A local folder on the SQL Server</w:t>
            </w:r>
          </w:p>
        </w:tc>
        <w:tc>
          <w:tcPr>
            <w:tcW w:type="dxa" w:w="1728"/>
          </w:tcPr>
          <w:p>
            <w:r>
              <w:t>SQL Server reads it directly.</w:t>
            </w:r>
          </w:p>
        </w:tc>
      </w:tr>
      <w:tr>
        <w:tc>
          <w:tcPr>
            <w:tcW w:type="dxa" w:w="1728"/>
          </w:tcPr>
          <w:p>
            <w:r>
              <w:rPr>
                <w:rFonts w:ascii="Consolas" w:hAnsi="Consolas"/>
                <w:sz w:val="19"/>
              </w:rPr>
              <w:t>-EvdDatabaseName</w:t>
            </w:r>
          </w:p>
        </w:tc>
        <w:tc>
          <w:tcPr>
            <w:tcW w:type="dxa" w:w="1728"/>
          </w:tcPr>
          <w:p>
            <w:r>
              <w:t>The Self-Hosted EVD database, on the same SQL Server instance.</w:t>
            </w:r>
          </w:p>
        </w:tc>
        <w:tc>
          <w:tcPr>
            <w:tcW w:type="dxa" w:w="1728"/>
          </w:tcPr>
          <w:p>
            <w:r>
              <w:t>Prompted if needed</w:t>
            </w:r>
          </w:p>
        </w:tc>
        <w:tc>
          <w:tcPr>
            <w:tcW w:type="dxa" w:w="1728"/>
          </w:tcPr>
          <w:p>
            <w:r>
              <w:t>Your EVD database</w:t>
            </w:r>
          </w:p>
        </w:tc>
        <w:tc>
          <w:tcPr>
            <w:tcW w:type="dxa" w:w="1728"/>
          </w:tcPr>
          <w:p>
            <w:r>
              <w:t>Needed for the Self-Hosted import.</w:t>
            </w:r>
          </w:p>
        </w:tc>
      </w:tr>
    </w:tbl>
    <w:p/>
    <w:p>
      <w:pPr>
        <w:pStyle w:val="Heading2"/>
      </w:pPr>
      <w:r>
        <w:t>IIS and certificate</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-SiteName</w:t>
            </w:r>
          </w:p>
        </w:tc>
        <w:tc>
          <w:tcPr>
            <w:tcW w:type="dxa" w:w="1728"/>
          </w:tcPr>
          <w:p>
            <w:r>
              <w:t xml:space="preserve">The IIS site name. The App Pool is named </w:t>
            </w:r>
            <w:r>
              <w:rPr>
                <w:rFonts w:ascii="Consolas" w:hAnsi="Consolas"/>
                <w:sz w:val="19"/>
              </w:rPr>
              <w:t>&lt;SiteName&gt;-AppPool</w:t>
            </w:r>
            <w:r>
              <w:t>.</w:t>
            </w:r>
          </w:p>
        </w:tc>
        <w:tc>
          <w:tcPr>
            <w:tcW w:type="dxa" w:w="1728"/>
          </w:tcPr>
          <w:p>
            <w:r>
              <w:rPr>
                <w:rFonts w:ascii="Consolas" w:hAnsi="Consolas"/>
                <w:sz w:val="19"/>
              </w:rPr>
              <w:t>BlueTrack</w:t>
            </w:r>
          </w:p>
        </w:tc>
        <w:tc>
          <w:tcPr>
            <w:tcW w:type="dxa" w:w="1728"/>
          </w:tcPr>
          <w:p>
            <w:r>
              <w:rPr>
                <w:rFonts w:ascii="Consolas" w:hAnsi="Consolas"/>
                <w:sz w:val="19"/>
              </w:rPr>
              <w:t>BlueTrack</w:t>
            </w:r>
          </w:p>
        </w:tc>
        <w:tc>
          <w:tcPr>
            <w:tcW w:type="dxa" w:w="1728"/>
          </w:tcPr>
          <w:p>
            <w:r>
              <w:t>Also names the installer's saved answers.</w:t>
            </w:r>
          </w:p>
        </w:tc>
      </w:tr>
      <w:tr>
        <w:tc>
          <w:tcPr>
            <w:tcW w:type="dxa" w:w="1728"/>
          </w:tcPr>
          <w:p>
            <w:r>
              <w:rPr>
                <w:rFonts w:ascii="Consolas" w:hAnsi="Consolas"/>
                <w:sz w:val="19"/>
              </w:rPr>
              <w:t>-ApiInstallPath</w:t>
            </w:r>
            <w:r>
              <w:t xml:space="preserve"> / </w:t>
            </w:r>
            <w:r>
              <w:rPr>
                <w:rFonts w:ascii="Consolas" w:hAnsi="Consolas"/>
                <w:sz w:val="19"/>
              </w:rPr>
              <w:t>-WebInstallPath</w:t>
            </w:r>
          </w:p>
        </w:tc>
        <w:tc>
          <w:tcPr>
            <w:tcW w:type="dxa" w:w="1728"/>
          </w:tcPr>
          <w:p>
            <w:r>
              <w:t>Where the API and web pages are installed.</w:t>
            </w:r>
          </w:p>
        </w:tc>
        <w:tc>
          <w:tcPr>
            <w:tcW w:type="dxa" w:w="1728"/>
          </w:tcPr>
          <w:p>
            <w:r>
              <w:rPr>
                <w:rFonts w:ascii="Consolas" w:hAnsi="Consolas"/>
                <w:sz w:val="19"/>
              </w:rPr>
              <w:t>&lt;system drive&gt;\inetpub\BlueTrack\&lt;Environment&gt;\api</w:t>
            </w:r>
            <w:r>
              <w:t xml:space="preserve"> and </w:t>
            </w:r>
            <w:r>
              <w:rPr>
                <w:rFonts w:ascii="Consolas" w:hAnsi="Consolas"/>
                <w:sz w:val="19"/>
              </w:rPr>
              <w:t>...\web</w:t>
            </w:r>
          </w:p>
        </w:tc>
        <w:tc>
          <w:tcPr>
            <w:tcW w:type="dxa" w:w="1728"/>
          </w:tcPr>
          <w:p>
            <w:r>
              <w:t>The defaults</w:t>
            </w:r>
          </w:p>
        </w:tc>
        <w:tc>
          <w:tcPr>
            <w:tcW w:type="dxa" w:w="1728"/>
          </w:tcPr>
          <w:p>
            <w:r>
              <w:t>Kept separate per environment.</w:t>
            </w:r>
          </w:p>
        </w:tc>
      </w:tr>
      <w:tr>
        <w:tc>
          <w:tcPr>
            <w:tcW w:type="dxa" w:w="1728"/>
          </w:tcPr>
          <w:p>
            <w:r>
              <w:rPr>
                <w:rFonts w:ascii="Consolas" w:hAnsi="Consolas"/>
                <w:sz w:val="19"/>
              </w:rPr>
              <w:t>-Hostname</w:t>
            </w:r>
          </w:p>
        </w:tc>
        <w:tc>
          <w:tcPr>
            <w:tcW w:type="dxa" w:w="1728"/>
          </w:tcPr>
          <w:p>
            <w:r>
              <w:t>The site's host name.</w:t>
            </w:r>
          </w:p>
        </w:tc>
        <w:tc>
          <w:tcPr>
            <w:tcW w:type="dxa" w:w="1728"/>
          </w:tcPr>
          <w:p>
            <w:r>
              <w:t>Prompted</w:t>
            </w:r>
          </w:p>
        </w:tc>
        <w:tc>
          <w:tcPr>
            <w:tcW w:type="dxa" w:w="1728"/>
          </w:tcPr>
          <w:p>
            <w:r>
              <w:t>The DNS name users will type</w:t>
            </w:r>
          </w:p>
        </w:tc>
        <w:tc>
          <w:tcPr>
            <w:tcW w:type="dxa" w:w="1728"/>
          </w:tcPr>
          <w:p>
            <w:r>
              <w:t>It must match the certificate.</w:t>
            </w:r>
          </w:p>
        </w:tc>
      </w:tr>
      <w:tr>
        <w:tc>
          <w:tcPr>
            <w:tcW w:type="dxa" w:w="1728"/>
          </w:tcPr>
          <w:p>
            <w:r>
              <w:rPr>
                <w:rFonts w:ascii="Consolas" w:hAnsi="Consolas"/>
                <w:sz w:val="19"/>
              </w:rPr>
              <w:t>-HttpPort</w:t>
            </w:r>
            <w:r>
              <w:t xml:space="preserve"> / </w:t>
            </w:r>
            <w:r>
              <w:rPr>
                <w:rFonts w:ascii="Consolas" w:hAnsi="Consolas"/>
                <w:sz w:val="19"/>
              </w:rPr>
              <w:t>-HttpsPort</w:t>
            </w:r>
          </w:p>
        </w:tc>
        <w:tc>
          <w:tcPr>
            <w:tcW w:type="dxa" w:w="1728"/>
          </w:tcPr>
          <w:p>
            <w:r>
              <w:t>The site bindings.</w:t>
            </w:r>
          </w:p>
        </w:tc>
        <w:tc>
          <w:tcPr>
            <w:tcW w:type="dxa" w:w="1728"/>
          </w:tcPr>
          <w:p>
            <w:r>
              <w:t>80 / 443</w:t>
            </w:r>
          </w:p>
        </w:tc>
        <w:tc>
          <w:tcPr>
            <w:tcW w:type="dxa" w:w="1728"/>
          </w:tcPr>
          <w:p>
            <w:r>
              <w:t>443 for HTTPS</w:t>
            </w:r>
          </w:p>
        </w:tc>
        <w:tc>
          <w:tcPr>
            <w:tcW w:type="dxa" w:w="1728"/>
          </w:tcPr>
          <w:p>
            <w:r>
              <w:t>Users should always use HTTPS; the OIDC sign-in cookie is never sent over plain HTTP.</w:t>
            </w:r>
          </w:p>
        </w:tc>
      </w:tr>
      <w:tr>
        <w:tc>
          <w:tcPr>
            <w:tcW w:type="dxa" w:w="1728"/>
          </w:tcPr>
          <w:p>
            <w:r>
              <w:rPr>
                <w:rFonts w:ascii="Consolas" w:hAnsi="Consolas"/>
                <w:sz w:val="19"/>
              </w:rPr>
              <w:t>-CertificateThumbprint</w:t>
            </w:r>
          </w:p>
        </w:tc>
        <w:tc>
          <w:tcPr>
            <w:tcW w:type="dxa" w:w="1728"/>
          </w:tcPr>
          <w:p>
            <w:r>
              <w:t xml:space="preserve">An existing certificate in </w:t>
            </w:r>
            <w:r>
              <w:rPr>
                <w:rFonts w:ascii="Consolas" w:hAnsi="Consolas"/>
                <w:sz w:val="19"/>
              </w:rPr>
              <w:t>LocalMachine\My</w:t>
            </w:r>
            <w:r>
              <w:t xml:space="preserve"> for the HTTPS binding.</w:t>
            </w:r>
          </w:p>
        </w:tc>
        <w:tc>
          <w:tcPr>
            <w:tcW w:type="dxa" w:w="1728"/>
          </w:tcPr>
          <w:p>
            <w:r>
              <w:t>Prompted; blank generates a self-signed certificate</w:t>
            </w:r>
          </w:p>
        </w:tc>
        <w:tc>
          <w:tcPr>
            <w:tcW w:type="dxa" w:w="1728"/>
          </w:tcPr>
          <w:p>
            <w:r>
              <w:t>A certificate from your organization's CA, with a Subject Alternative Name for the host name</w:t>
            </w:r>
          </w:p>
        </w:tc>
        <w:tc>
          <w:tcPr>
            <w:tcW w:type="dxa" w:w="1728"/>
          </w:tcPr>
          <w:p>
            <w:r>
              <w:t>Browsers trust it without warnings; Chrome and Edge reject a certificate without a SAN. With a CA-issued certificate the installer also turns on HSTS.</w:t>
            </w:r>
          </w:p>
        </w:tc>
      </w:tr>
      <w:tr>
        <w:tc>
          <w:tcPr>
            <w:tcW w:type="dxa" w:w="1728"/>
          </w:tcPr>
          <w:p>
            <w:r>
              <w:rPr>
                <w:rFonts w:ascii="Consolas" w:hAnsi="Consolas"/>
                <w:sz w:val="19"/>
              </w:rPr>
              <w:t>-GenerateSelfSignedCert</w:t>
            </w:r>
          </w:p>
        </w:tc>
        <w:tc>
          <w:tcPr>
            <w:tcW w:type="dxa" w:w="1728"/>
          </w:tcPr>
          <w:p>
            <w:r>
              <w:t>Create a self-signed certificate.</w:t>
            </w:r>
          </w:p>
        </w:tc>
        <w:tc>
          <w:tcPr>
            <w:tcW w:type="dxa" w:w="1728"/>
          </w:tcPr>
          <w:p>
            <w:r>
              <w:t>Off</w:t>
            </w:r>
          </w:p>
        </w:tc>
        <w:tc>
          <w:tcPr>
            <w:tcW w:type="dxa" w:w="1728"/>
          </w:tcPr>
          <w:p>
            <w:r>
              <w:t>Development and Test only</w:t>
            </w:r>
          </w:p>
        </w:tc>
        <w:tc>
          <w:tcPr>
            <w:tcW w:type="dxa" w:w="1728"/>
          </w:tcPr>
          <w:p>
            <w:r>
              <w:t>Browsers warn about it, and users learn to click through warnings.</w:t>
            </w:r>
          </w:p>
        </w:tc>
      </w:tr>
      <w:tr>
        <w:tc>
          <w:tcPr>
            <w:tcW w:type="dxa" w:w="1728"/>
          </w:tcPr>
          <w:p>
            <w:r>
              <w:rPr>
                <w:rFonts w:ascii="Consolas" w:hAnsi="Consolas"/>
                <w:sz w:val="19"/>
              </w:rPr>
              <w:t>-ResetIis</w:t>
            </w:r>
          </w:p>
        </w:tc>
        <w:tc>
          <w:tcPr>
            <w:tcW w:type="dxa" w:w="1728"/>
          </w:tcPr>
          <w:p>
            <w:r>
              <w:t xml:space="preserve">Run </w:t>
            </w:r>
            <w:r>
              <w:rPr>
                <w:rFonts w:ascii="Consolas" w:hAnsi="Consolas"/>
                <w:sz w:val="19"/>
              </w:rPr>
              <w:t>iisreset</w:t>
            </w:r>
            <w:r>
              <w:t xml:space="preserve"> after the IIS steps.</w:t>
            </w:r>
          </w:p>
        </w:tc>
        <w:tc>
          <w:tcPr>
            <w:tcW w:type="dxa" w:w="1728"/>
          </w:tcPr>
          <w:p>
            <w:r>
              <w:t>Prompted</w:t>
            </w:r>
          </w:p>
        </w:tc>
        <w:tc>
          <w:tcPr>
            <w:tcW w:type="dxa" w:w="1728"/>
          </w:tcPr>
          <w:p>
            <w:r>
              <w:rPr>
                <w:rFonts w:ascii="Consolas" w:hAnsi="Consolas"/>
                <w:sz w:val="19"/>
              </w:rPr>
              <w:t>$true</w:t>
            </w:r>
            <w:r>
              <w:t xml:space="preserve"> for a first install, if no other site is busy</w:t>
            </w:r>
          </w:p>
        </w:tc>
        <w:tc>
          <w:tcPr>
            <w:tcW w:type="dxa" w:w="1728"/>
          </w:tcPr>
          <w:p>
            <w:r>
              <w:t>Makes every IIS change take effect, but briefly stops every site on the server.</w:t>
            </w:r>
          </w:p>
        </w:tc>
      </w:tr>
      <w:tr>
        <w:tc>
          <w:tcPr>
            <w:tcW w:type="dxa" w:w="1728"/>
          </w:tcPr>
          <w:p>
            <w:r>
              <w:rPr>
                <w:rFonts w:ascii="Consolas" w:hAnsi="Consolas"/>
                <w:sz w:val="19"/>
              </w:rPr>
              <w:t>-Force</w:t>
            </w:r>
          </w:p>
        </w:tc>
        <w:tc>
          <w:tcPr>
            <w:tcW w:type="dxa" w:w="1728"/>
          </w:tcPr>
          <w:p>
            <w:r>
              <w:t>Recreate the App Pool, site and application even if they exist.</w:t>
            </w:r>
          </w:p>
        </w:tc>
        <w:tc>
          <w:tcPr>
            <w:tcW w:type="dxa" w:w="1728"/>
          </w:tcPr>
          <w:p>
            <w:r>
              <w:t>Off</w:t>
            </w:r>
          </w:p>
        </w:tc>
        <w:tc>
          <w:tcPr>
            <w:tcW w:type="dxa" w:w="1728"/>
          </w:tcPr>
          <w:p>
            <w:r>
              <w:t>Off</w:t>
            </w:r>
          </w:p>
        </w:tc>
        <w:tc>
          <w:tcPr>
            <w:tcW w:type="dxa" w:w="1728"/>
          </w:tcPr>
          <w:p>
            <w:r>
              <w:t>Only to repair a broken IIS setup.</w:t>
            </w:r>
          </w:p>
        </w:tc>
      </w:tr>
    </w:tbl>
    <w:p/>
    <w:p>
      <w:r>
        <w:t xml:space="preserve">To replace a certificate later, run the installer with </w:t>
      </w:r>
      <w:r>
        <w:rPr>
          <w:rFonts w:ascii="Consolas" w:hAnsi="Consolas"/>
          <w:sz w:val="19"/>
        </w:rPr>
        <w:t>-Step Iis.Site -CertificateThumbprint &lt;new thumbprint&gt;</w:t>
      </w:r>
      <w:r>
        <w:t>.</w:t>
      </w:r>
    </w:p>
    <w:p>
      <w:pPr>
        <w:pStyle w:val="Heading2"/>
      </w:pPr>
      <w:r>
        <w:t>Allowed folders and other server settings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rPr>
                <w:rFonts w:ascii="Consolas" w:hAnsi="Consolas"/>
                <w:sz w:val="19"/>
              </w:rPr>
              <w:t>-AllowedFileRoots</w:t>
            </w:r>
          </w:p>
        </w:tc>
        <w:tc>
          <w:tcPr>
            <w:tcW w:type="dxa" w:w="1728"/>
          </w:tcPr>
          <w:p>
            <w:r>
              <w:t xml:space="preserve">The only folders data feeds may read and backups may be written to. Written to </w:t>
            </w:r>
            <w:r>
              <w:rPr>
                <w:rFonts w:ascii="Consolas" w:hAnsi="Consolas"/>
                <w:sz w:val="19"/>
              </w:rPr>
              <w:t>FileAccess:AllowedRoots</w:t>
            </w:r>
            <w:r>
              <w:t xml:space="preserve"> in the settings file.</w:t>
            </w:r>
          </w:p>
        </w:tc>
        <w:tc>
          <w:tcPr>
            <w:tcW w:type="dxa" w:w="1728"/>
          </w:tcPr>
          <w:p>
            <w:r>
              <w:t>None: any local folder, no network shares</w:t>
            </w:r>
          </w:p>
        </w:tc>
        <w:tc>
          <w:tcPr>
            <w:tcW w:type="dxa" w:w="1728"/>
          </w:tcPr>
          <w:p>
            <w:r>
              <w:t xml:space="preserve">List only your feed folder and backup folder, for example </w:t>
            </w:r>
            <w:r>
              <w:rPr>
                <w:rFonts w:ascii="Consolas" w:hAnsi="Consolas"/>
                <w:sz w:val="19"/>
              </w:rPr>
              <w:t>'D:\Feeds','D:\Backups\BlueTrack'</w:t>
            </w:r>
          </w:p>
        </w:tc>
        <w:tc>
          <w:tcPr>
            <w:tcW w:type="dxa" w:w="1728"/>
          </w:tcPr>
          <w:p>
            <w:r>
              <w:t>The server reads and writes these paths as itself, so a short list stops an admin page reaching other files or shares. Add a share here only if you need one.</w:t>
            </w:r>
          </w:p>
        </w:tc>
      </w:tr>
      <w:tr>
        <w:tc>
          <w:tcPr>
            <w:tcW w:type="dxa" w:w="1728"/>
          </w:tcPr>
          <w:p>
            <w:r>
              <w:rPr>
                <w:rFonts w:ascii="Consolas" w:hAnsi="Consolas"/>
                <w:sz w:val="19"/>
              </w:rPr>
              <w:t>-BackupFolder</w:t>
            </w:r>
          </w:p>
        </w:tc>
        <w:tc>
          <w:tcPr>
            <w:tcW w:type="dxa" w:w="1728"/>
          </w:tcPr>
          <w:p>
            <w:r>
              <w:t>Where the installer's automatic pre-update backup goes, when the database already exists.</w:t>
            </w:r>
          </w:p>
        </w:tc>
        <w:tc>
          <w:tcPr>
            <w:tcW w:type="dxa" w:w="1728"/>
          </w:tcPr>
          <w:p>
            <w:r>
              <w:t>Prompted only if needed</w:t>
            </w:r>
          </w:p>
        </w:tc>
        <w:tc>
          <w:tcPr>
            <w:tcW w:type="dxa" w:w="1728"/>
          </w:tcPr>
          <w:p>
            <w:r>
              <w:t>The same backup folder</w:t>
            </w:r>
          </w:p>
        </w:tc>
        <w:tc>
          <w:tcPr>
            <w:tcW w:type="dxa" w:w="1728"/>
          </w:tcPr>
          <w:p>
            <w:r>
              <w:t>Keeps all backups together under the same access rules.</w:t>
            </w:r>
          </w:p>
        </w:tc>
      </w:tr>
      <w:tr>
        <w:tc>
          <w:tcPr>
            <w:tcW w:type="dxa" w:w="1728"/>
          </w:tcPr>
          <w:p>
            <w:r>
              <w:rPr>
                <w:rFonts w:ascii="Consolas" w:hAnsi="Consolas"/>
                <w:sz w:val="19"/>
              </w:rPr>
              <w:t>-SkipPreDeployBackup</w:t>
            </w:r>
          </w:p>
        </w:tc>
        <w:tc>
          <w:tcPr>
            <w:tcW w:type="dxa" w:w="1728"/>
          </w:tcPr>
          <w:p>
            <w:r>
              <w:t>Skip that automatic backup.</w:t>
            </w:r>
          </w:p>
        </w:tc>
        <w:tc>
          <w:tcPr>
            <w:tcW w:type="dxa" w:w="1728"/>
          </w:tcPr>
          <w:p>
            <w:r>
              <w:t>Off</w:t>
            </w:r>
          </w:p>
        </w:tc>
        <w:tc>
          <w:tcPr>
            <w:tcW w:type="dxa" w:w="1728"/>
          </w:tcPr>
          <w:p>
            <w:r>
              <w:t>Off</w:t>
            </w:r>
          </w:p>
        </w:tc>
        <w:tc>
          <w:tcPr>
            <w:tcW w:type="dxa" w:w="1728"/>
          </w:tcPr>
          <w:p>
            <w:r>
              <w:t>The backup is your way back if an update fails.</w:t>
            </w:r>
          </w:p>
        </w:tc>
      </w:tr>
      <w:tr>
        <w:tc>
          <w:tcPr>
            <w:tcW w:type="dxa" w:w="1728"/>
          </w:tcPr>
          <w:p>
            <w:r>
              <w:rPr>
                <w:rFonts w:ascii="Consolas" w:hAnsi="Consolas"/>
                <w:sz w:val="19"/>
              </w:rPr>
              <w:t>-SkipSmokeTest</w:t>
            </w:r>
            <w:r>
              <w:t xml:space="preserve"> / </w:t>
            </w:r>
            <w:r>
              <w:rPr>
                <w:rFonts w:ascii="Consolas" w:hAnsi="Consolas"/>
                <w:sz w:val="19"/>
              </w:rPr>
              <w:t>-SkipPrerequisiteInstall</w:t>
            </w:r>
          </w:p>
        </w:tc>
        <w:tc>
          <w:tcPr>
            <w:tcW w:type="dxa" w:w="1728"/>
          </w:tcPr>
          <w:p>
            <w:r>
              <w:t>Skip the post-install check, or only report missing prerequisites.</w:t>
            </w:r>
          </w:p>
        </w:tc>
        <w:tc>
          <w:tcPr>
            <w:tcW w:type="dxa" w:w="1728"/>
          </w:tcPr>
          <w:p>
            <w:r>
              <w:t>Off</w:t>
            </w:r>
          </w:p>
        </w:tc>
        <w:tc>
          <w:tcPr>
            <w:tcW w:type="dxa" w:w="1728"/>
          </w:tcPr>
          <w:p>
            <w:r>
              <w:t>Off</w:t>
            </w:r>
          </w:p>
        </w:tc>
        <w:tc>
          <w:tcPr>
            <w:tcW w:type="dxa" w:w="1728"/>
          </w:tcPr>
          <w:p>
            <w:r>
              <w:t>The smoke test confirms the site works before users arrive.</w:t>
            </w:r>
          </w:p>
        </w:tc>
      </w:tr>
      <w:tr>
        <w:tc>
          <w:tcPr>
            <w:tcW w:type="dxa" w:w="1728"/>
          </w:tcPr>
          <w:p>
            <w:r>
              <w:rPr>
                <w:rFonts w:ascii="Consolas" w:hAnsi="Consolas"/>
                <w:sz w:val="19"/>
              </w:rPr>
              <w:t>-PrerequisiteSource</w:t>
            </w:r>
            <w:r>
              <w:t xml:space="preserve"> / </w:t>
            </w:r>
            <w:r>
              <w:rPr>
                <w:rFonts w:ascii="Consolas" w:hAnsi="Consolas"/>
                <w:sz w:val="19"/>
              </w:rPr>
              <w:t>-InstallerSourcePath</w:t>
            </w:r>
          </w:p>
        </w:tc>
        <w:tc>
          <w:tcPr>
            <w:tcW w:type="dxa" w:w="1728"/>
          </w:tcPr>
          <w:p>
            <w:r>
              <w:t>Where prerequisite installers come from: Auto, Offline, Winget or Download, and an offline folder.</w:t>
            </w:r>
          </w:p>
        </w:tc>
        <w:tc>
          <w:tcPr>
            <w:tcW w:type="dxa" w:w="1728"/>
          </w:tcPr>
          <w:p>
            <w:r>
              <w:t>Auto</w:t>
            </w:r>
          </w:p>
        </w:tc>
        <w:tc>
          <w:tcPr>
            <w:tcW w:type="dxa" w:w="1728"/>
          </w:tcPr>
          <w:p>
            <w:r>
              <w:t>Offline, from a folder you've checked, for servers without internet</w:t>
            </w:r>
          </w:p>
        </w:tc>
        <w:tc>
          <w:tcPr>
            <w:tcW w:type="dxa" w:w="1728"/>
          </w:tcPr>
          <w:p>
            <w:r>
              <w:t>Every installer must also carry a valid vendor signature, whichever source is used.</w:t>
            </w:r>
          </w:p>
        </w:tc>
      </w:tr>
    </w:tbl>
    <w:p/>
    <w:p>
      <w:r>
        <w:rPr>
          <w:b/>
        </w:rPr>
        <w:t>Settings file.</w:t>
      </w:r>
      <w:r>
        <w:t xml:space="preserve"> The installer writes </w:t>
      </w:r>
      <w:r>
        <w:rPr>
          <w:rFonts w:ascii="Consolas" w:hAnsi="Consolas"/>
          <w:sz w:val="19"/>
        </w:rPr>
        <w:t>appsettings.&lt;Environment&gt;.json</w:t>
      </w:r>
      <w:r>
        <w:t xml:space="preserve"> into the API folder with three settings: the database connection string, </w:t>
      </w:r>
      <w:r>
        <w:rPr>
          <w:rFonts w:ascii="Consolas" w:hAnsi="Consolas"/>
          <w:sz w:val="19"/>
        </w:rPr>
        <w:t>Security:EnableHsts</w:t>
      </w:r>
      <w:r>
        <w:t xml:space="preserve"> (on only when the certificate isn't self-signed) and </w:t>
      </w:r>
      <w:r>
        <w:rPr>
          <w:rFonts w:ascii="Consolas" w:hAnsi="Consolas"/>
          <w:sz w:val="19"/>
        </w:rPr>
        <w:t>FileAccess:AllowedRoots</w:t>
      </w:r>
      <w:r>
        <w:t xml:space="preserve">. The web pages can't change any of them. To change allowed folders later, re-run the installer with the new </w:t>
      </w:r>
      <w:r>
        <w:rPr>
          <w:rFonts w:ascii="Consolas" w:hAnsi="Consolas"/>
          <w:sz w:val="19"/>
        </w:rPr>
        <w:t>-AllowedFileRoots</w:t>
      </w:r>
      <w:r>
        <w:t xml:space="preserve"> (step </w:t>
      </w:r>
      <w:r>
        <w:rPr>
          <w:rFonts w:ascii="Consolas" w:hAnsi="Consolas"/>
          <w:sz w:val="19"/>
        </w:rPr>
        <w:t>Db.AppSettings</w:t>
      </w:r>
      <w:r>
        <w:t>) rather than editing the file by hand, so the saved answers stay in step. When the connection string holds a SQL password, the installer limits the file to Administrators, SYSTEM and IIS worker processes.</w:t>
      </w:r>
    </w:p>
    <w:p>
      <w:pPr>
        <w:pStyle w:val="Heading2"/>
      </w:pPr>
      <w:r>
        <w:t>App Pool identity</w:t>
      </w:r>
    </w:p>
    <w:p>
      <w:r>
        <w:t xml:space="preserve">The installer creates the App Pool with the built-in </w:t>
      </w:r>
      <w:r>
        <w:rPr>
          <w:rFonts w:ascii="Consolas" w:hAnsi="Consolas"/>
          <w:sz w:val="19"/>
        </w:rPr>
        <w:t>ApplicationPoolIdentity</w:t>
      </w:r>
      <w:r>
        <w:t xml:space="preserve">. You can change it afterwards in IIS Manager (the App Pool's </w:t>
      </w:r>
      <w:r>
        <w:rPr>
          <w:b/>
        </w:rPr>
        <w:t>Advanced Settings &gt; Identity</w:t>
      </w:r>
      <w:r>
        <w:t>).</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b/>
              </w:rPr>
              <w:t>Setting</w:t>
            </w:r>
          </w:p>
        </w:tc>
        <w:tc>
          <w:tcPr>
            <w:tcW w:type="dxa" w:w="1728"/>
          </w:tcPr>
          <w:p>
            <w:r>
              <w:rPr>
                <w:b/>
              </w:rPr>
              <w:t>What it does</w:t>
            </w:r>
          </w:p>
        </w:tc>
        <w:tc>
          <w:tcPr>
            <w:tcW w:type="dxa" w:w="1728"/>
          </w:tcPr>
          <w:p>
            <w:r>
              <w:rPr>
                <w:b/>
              </w:rPr>
              <w:t>Default</w:t>
            </w:r>
          </w:p>
        </w:tc>
        <w:tc>
          <w:tcPr>
            <w:tcW w:type="dxa" w:w="1728"/>
          </w:tcPr>
          <w:p>
            <w:r>
              <w:rPr>
                <w:b/>
              </w:rPr>
              <w:t>Recommended</w:t>
            </w:r>
          </w:p>
        </w:tc>
        <w:tc>
          <w:tcPr>
            <w:tcW w:type="dxa" w:w="1728"/>
          </w:tcPr>
          <w:p>
            <w:r>
              <w:rPr>
                <w:b/>
              </w:rPr>
              <w:t>Why</w:t>
            </w:r>
          </w:p>
        </w:tc>
      </w:tr>
      <w:tr>
        <w:tc>
          <w:tcPr>
            <w:tcW w:type="dxa" w:w="1728"/>
          </w:tcPr>
          <w:p>
            <w:r>
              <w:t>App Pool identity</w:t>
            </w:r>
          </w:p>
        </w:tc>
        <w:tc>
          <w:tcPr>
            <w:tcW w:type="dxa" w:w="1728"/>
          </w:tcPr>
          <w:p>
            <w:r>
              <w:t>The Windows account BlueTrack runs as: it connects to SQL Server, reads feed folders, manages backup folder permissions and decrypts User-scope credentials.</w:t>
            </w:r>
          </w:p>
        </w:tc>
        <w:tc>
          <w:tcPr>
            <w:tcW w:type="dxa" w:w="1728"/>
          </w:tcPr>
          <w:p>
            <w:r>
              <w:rPr>
                <w:rFonts w:ascii="Consolas" w:hAnsi="Consolas"/>
                <w:sz w:val="19"/>
              </w:rPr>
              <w:t>ApplicationPoolIdentity</w:t>
            </w:r>
          </w:p>
        </w:tc>
        <w:tc>
          <w:tcPr>
            <w:tcW w:type="dxa" w:w="1728"/>
          </w:tcPr>
          <w:p>
            <w:r>
              <w:t>A dedicated gMSA (group managed service account)</w:t>
            </w:r>
          </w:p>
        </w:tc>
        <w:tc>
          <w:tcPr>
            <w:tcW w:type="dxa" w:w="1728"/>
          </w:tcPr>
          <w:p>
            <w:r>
              <w:t xml:space="preserve">Its access belongs to BlueTrack alone, it is the same account whether SQL Server is local or remote, and Windows manages its password. With a remote SQL Server, </w:t>
            </w:r>
            <w:r>
              <w:rPr>
                <w:rFonts w:ascii="Consolas" w:hAnsi="Consolas"/>
                <w:sz w:val="19"/>
              </w:rPr>
              <w:t>ApplicationPoolIdentity</w:t>
            </w:r>
            <w:r>
              <w:t xml:space="preserve"> connects as the computer account, which every other service on the server shares.</w:t>
            </w:r>
          </w:p>
        </w:tc>
      </w:tr>
      <w:tr>
        <w:tc>
          <w:tcPr>
            <w:tcW w:type="dxa" w:w="1728"/>
          </w:tcPr>
          <w:p>
            <w:r>
              <w:t>Load User Profile</w:t>
            </w:r>
          </w:p>
        </w:tc>
        <w:tc>
          <w:tcPr>
            <w:tcW w:type="dxa" w:w="1728"/>
          </w:tcPr>
          <w:p>
            <w:r>
              <w:t>Lets the App Pool's account use its own certificate store.</w:t>
            </w:r>
          </w:p>
        </w:tc>
        <w:tc>
          <w:tcPr>
            <w:tcW w:type="dxa" w:w="1728"/>
          </w:tcPr>
          <w:p>
            <w:r>
              <w:t>IIS default</w:t>
            </w:r>
          </w:p>
        </w:tc>
        <w:tc>
          <w:tcPr>
            <w:tcW w:type="dxa" w:w="1728"/>
          </w:tcPr>
          <w:p>
            <w:r>
              <w:t>On, if the SAML SP certificate is in the account's own store</w:t>
            </w:r>
          </w:p>
        </w:tc>
        <w:tc>
          <w:tcPr>
            <w:tcW w:type="dxa" w:w="1728"/>
          </w:tcPr>
          <w:p>
            <w:r>
              <w:t xml:space="preserve">Otherwise put the certificate in </w:t>
            </w:r>
            <w:r>
              <w:rPr>
                <w:rFonts w:ascii="Consolas" w:hAnsi="Consolas"/>
                <w:sz w:val="19"/>
              </w:rPr>
              <w:t>LocalMachine\My</w:t>
            </w:r>
            <w:r>
              <w:t>.</w:t>
            </w:r>
          </w:p>
        </w:tc>
      </w:tr>
    </w:tbl>
    <w:p/>
    <w:p>
      <w:r>
        <w:t>After changing the identity: give the new account its SQL login (</w:t>
      </w:r>
      <w:r>
        <w:rPr>
          <w:rFonts w:ascii="Consolas" w:hAnsi="Consolas"/>
          <w:sz w:val="19"/>
        </w:rPr>
        <w:t>-Step Db.AppPoolAccess</w:t>
      </w:r>
      <w:r>
        <w:t xml:space="preserve">), read access to feed folders, Modify on the backup folder, and access to the SAML certificate's private key. Re-enter User-scope DPAPI credentials. Then check Windows sign-in still works; if you register the site's </w:t>
      </w:r>
      <w:r>
        <w:rPr>
          <w:rFonts w:ascii="Consolas" w:hAnsi="Consolas"/>
          <w:sz w:val="19"/>
        </w:rPr>
        <w:t>HTTP/&lt;hostname&gt;</w:t>
      </w:r>
      <w:r>
        <w:t xml:space="preserve"> SPN on the gMSA, IIS's </w:t>
      </w:r>
      <w:r>
        <w:rPr>
          <w:rFonts w:ascii="Consolas" w:hAnsi="Consolas"/>
          <w:sz w:val="19"/>
        </w:rPr>
        <w:t>useAppPoolCredentials</w:t>
      </w:r>
      <w:r>
        <w:t xml:space="preserve"> must also be on. </w:t>
      </w:r>
      <w:r>
        <w:rPr>
          <w:rFonts w:ascii="Consolas" w:hAnsi="Consolas"/>
          <w:sz w:val="19"/>
        </w:rPr>
        <w:t>Admin_Installation.md</w:t>
      </w:r>
      <w:r>
        <w:t xml:space="preserve"> has the step-by-step gMSA setup.</w:t>
      </w:r>
    </w:p>
    <w:p>
      <w:pPr>
        <w:pStyle w:val="Heading2"/>
      </w:pPr>
      <w:r>
        <w:t>Fixed behaviour (not configurable)</w:t>
      </w:r>
    </w:p>
    <w:p>
      <w:r>
        <w:t>These values are built in. They are listed so you know what to expect.</w:t>
      </w:r>
    </w:p>
    <w:tbl>
      <w:tblPr>
        <w:tblStyle w:val="TableGrid"/>
        <w:tblW w:type="auto" w:w="0"/>
        <w:tblLook w:firstColumn="1" w:firstRow="1" w:lastColumn="0" w:lastRow="0" w:noHBand="0" w:noVBand="1" w:val="04A0"/>
      </w:tblPr>
      <w:tblGrid>
        <w:gridCol w:w="4320"/>
        <w:gridCol w:w="4320"/>
      </w:tblGrid>
      <w:tr>
        <w:tc>
          <w:tcPr>
            <w:tcW w:type="dxa" w:w="4320"/>
          </w:tcPr>
          <w:p>
            <w:r>
              <w:rPr>
                <w:b/>
              </w:rPr>
              <w:t>Behaviour</w:t>
            </w:r>
          </w:p>
        </w:tc>
        <w:tc>
          <w:tcPr>
            <w:tcW w:type="dxa" w:w="4320"/>
          </w:tcPr>
          <w:p>
            <w:r>
              <w:rPr>
                <w:b/>
              </w:rPr>
              <w:t>Value</w:t>
            </w:r>
          </w:p>
        </w:tc>
      </w:tr>
      <w:tr>
        <w:tc>
          <w:tcPr>
            <w:tcW w:type="dxa" w:w="4320"/>
          </w:tcPr>
          <w:p>
            <w:r>
              <w:t>Cached rights, longest lifetime</w:t>
            </w:r>
          </w:p>
        </w:tc>
        <w:tc>
          <w:tcPr>
            <w:tcW w:type="dxa" w:w="4320"/>
          </w:tcPr>
          <w:p>
            <w:r>
              <w:t>15 minutes, whatever the idle timeout</w:t>
            </w:r>
          </w:p>
        </w:tc>
      </w:tr>
      <w:tr>
        <w:tc>
          <w:tcPr>
            <w:tcW w:type="dxa" w:w="4320"/>
          </w:tcPr>
          <w:p>
            <w:r>
              <w:t>OIDC session cookie</w:t>
            </w:r>
          </w:p>
        </w:tc>
        <w:tc>
          <w:tcPr>
            <w:tcW w:type="dxa" w:w="4320"/>
          </w:tcPr>
          <w:p>
            <w:r>
              <w:t>8 hours; HTTPS only</w:t>
            </w:r>
          </w:p>
        </w:tc>
      </w:tr>
      <w:tr>
        <w:tc>
          <w:tcPr>
            <w:tcW w:type="dxa" w:w="4320"/>
          </w:tcPr>
          <w:p>
            <w:r>
              <w:t>Account Progress lock renewal while a page is open</w:t>
            </w:r>
          </w:p>
        </w:tc>
        <w:tc>
          <w:tcPr>
            <w:tcW w:type="dxa" w:w="4320"/>
          </w:tcPr>
          <w:p>
            <w:r>
              <w:t>Every minute</w:t>
            </w:r>
          </w:p>
        </w:tc>
      </w:tr>
      <w:tr>
        <w:tc>
          <w:tcPr>
            <w:tcW w:type="dxa" w:w="4320"/>
          </w:tcPr>
          <w:p>
            <w:r>
              <w:t>CyberArk CP and CCP fallback to last fetched value</w:t>
            </w:r>
          </w:p>
        </w:tc>
        <w:tc>
          <w:tcPr>
            <w:tcW w:type="dxa" w:w="4320"/>
          </w:tcPr>
          <w:p>
            <w:r>
              <w:t>Up to 24 hours</w:t>
            </w:r>
          </w:p>
        </w:tc>
      </w:tr>
      <w:tr>
        <w:tc>
          <w:tcPr>
            <w:tcW w:type="dxa" w:w="4320"/>
          </w:tcPr>
          <w:p>
            <w:r>
              <w:t>Nightly Import and Load job</w:t>
            </w:r>
          </w:p>
        </w:tc>
        <w:tc>
          <w:tcPr>
            <w:tcW w:type="dxa" w:w="4320"/>
          </w:tcPr>
          <w:p>
            <w:r>
              <w:t>02:00 (when installed)</w:t>
            </w:r>
          </w:p>
        </w:tc>
      </w:tr>
      <w:tr>
        <w:tc>
          <w:tcPr>
            <w:tcW w:type="dxa" w:w="4320"/>
          </w:tcPr>
          <w:p>
            <w:r>
              <w:t>Audit Log Purge job</w:t>
            </w:r>
          </w:p>
        </w:tc>
        <w:tc>
          <w:tcPr>
            <w:tcW w:type="dxa" w:w="4320"/>
          </w:tcPr>
          <w:p>
            <w:r>
              <w:t>03:00 (when installed by hand)</w:t>
            </w:r>
          </w:p>
        </w:tc>
      </w:tr>
      <w:tr>
        <w:tc>
          <w:tcPr>
            <w:tcW w:type="dxa" w:w="4320"/>
          </w:tcPr>
          <w:p>
            <w:r>
              <w:t>Alert checks</w:t>
            </w:r>
          </w:p>
        </w:tc>
        <w:tc>
          <w:tcPr>
            <w:tcW w:type="dxa" w:w="4320"/>
          </w:tcPr>
          <w:p>
            <w:r>
              <w:t>Once a day</w:t>
            </w:r>
          </w:p>
        </w:tc>
      </w:tr>
      <w:tr>
        <w:tc>
          <w:tcPr>
            <w:tcW w:type="dxa" w:w="4320"/>
          </w:tcPr>
          <w:p>
            <w:r>
              <w:t>OIDC changes</w:t>
            </w:r>
          </w:p>
        </w:tc>
        <w:tc>
          <w:tcPr>
            <w:tcW w:type="dxa" w:w="4320"/>
          </w:tcPr>
          <w:p>
            <w:r>
              <w:t>Need an application restart</w:t>
            </w:r>
          </w:p>
        </w:tc>
      </w:tr>
    </w:tbl>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