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LABaPe v0.7.0: Install Ansible WSL</w:t>
      </w:r>
    </w:p>
    <w:bookmarkStart w:id="14" w:name="Xc1a76d300109a9f098ae542712d256a99e234f3"/>
    <w:p>
      <w:pPr>
        <w:pStyle w:val="Heading1"/>
      </w:pPr>
      <w:r>
        <w:t xml:space="preserve">Installing and Configuring Ansible (Windows Host + Hyper-V + WSL2)</w:t>
      </w:r>
    </w:p>
    <w:p>
      <w:pPr>
        <w:pStyle w:val="BlockText"/>
      </w:pPr>
      <w:r>
        <w:rPr>
          <w:b/>
          <w:bCs/>
        </w:rPr>
        <w:t xml:space="preserve">Hyper-V is being dropped (decision 2026-10-16, question 175).</w:t>
      </w:r>
      <w:r>
        <w:t xml:space="preserve"> </w:t>
      </w:r>
      <w:r>
        <w:t xml:space="preserve">LABaPe will support KVM (libvirt) only. The Hyper-V backend isn’t maintained or tested and gets no new features; its code and the Hyper-V notes below stay until it is removed.</w:t>
      </w:r>
    </w:p>
    <w:p>
      <w:pPr>
        <w:pStyle w:val="FirstParagraph"/>
      </w:pPr>
      <w:r>
        <w:t xml:space="preserve">Same control-machine role as User_Docs/Install-Ansible.md (Ansible doesn’t</w:t>
      </w:r>
      <w:r>
        <w:t xml:space="preserve"> </w:t>
      </w:r>
      <w:r>
        <w:t xml:space="preserve">run as a control node on Windows, Claude_Docs/Design_System-Overview.md §15) — it just runs inside</w:t>
      </w:r>
      <w:r>
        <w:t xml:space="preserve"> </w:t>
      </w:r>
      <w:r>
        <w:t xml:space="preserve">WSL2 on the same physical box as Hyper-V, instead of on a separate</w:t>
      </w:r>
      <w:r>
        <w:t xml:space="preserve"> </w:t>
      </w:r>
      <w:r>
        <w:t xml:space="preserve">Debian machine.</w:t>
      </w:r>
    </w:p>
    <w:bookmarkStart w:id="10" w:name="install-ansible"/>
    <w:p>
      <w:pPr>
        <w:pStyle w:val="Heading2"/>
      </w:pPr>
      <w:r>
        <w:t xml:space="preserve">1. Install Ansible</w:t>
      </w:r>
    </w:p>
    <w:p>
      <w:pPr>
        <w:pStyle w:val="FirstParagraph"/>
      </w:pPr>
      <w:r>
        <w:t xml:space="preserve">Inside your WSL Debian prompt, this is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to a native Debian</w:t>
      </w:r>
      <w:r>
        <w:t xml:space="preserve"> </w:t>
      </w:r>
      <w:r>
        <w:t xml:space="preserve">box — follow</w:t>
      </w:r>
      <w:r>
        <w:t xml:space="preserve"> </w:t>
      </w:r>
      <w:hyperlink r:id="rId9">
        <w:r>
          <w:rPr>
            <w:rStyle w:val="Hyperlink"/>
          </w:rPr>
          <w:t xml:space="preserve">User_Docs/Install-Ansible.md</w:t>
        </w:r>
      </w:hyperlink>
      <w:r>
        <w:t xml:space="preserve"> </w:t>
      </w:r>
      <w:r>
        <w:t xml:space="preserve">in full</w:t>
      </w:r>
      <w:r>
        <w:t xml:space="preserve"> </w:t>
      </w:r>
      <w:r>
        <w:t xml:space="preserve">(pipx,</w:t>
      </w:r>
      <w:r>
        <w:t xml:space="preserve"> </w:t>
      </w:r>
      <w:r>
        <w:rPr>
          <w:rStyle w:val="VerbatimChar"/>
        </w:rPr>
        <w:t xml:space="preserve">ansible-core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pywinrm</w:t>
      </w:r>
      <w:r>
        <w:t xml:space="preserve">, the four collections, vault password</w:t>
      </w:r>
      <w:r>
        <w:t xml:space="preserve"> </w:t>
      </w:r>
      <w:r>
        <w:t xml:space="preserve">file, bootstrap SSH keypair,</w:t>
      </w:r>
      <w:r>
        <w:t xml:space="preserve"> </w:t>
      </w:r>
      <w:r>
        <w:rPr>
          <w:rStyle w:val="VerbatimChar"/>
        </w:rPr>
        <w:t xml:space="preserve">ansible.cfg</w:t>
      </w:r>
      <w:r>
        <w:t xml:space="preserve">). Nothing in that guide</w:t>
      </w:r>
      <w:r>
        <w:t xml:space="preserve"> </w:t>
      </w:r>
      <w:r>
        <w:t xml:space="preserve">assumes a specific kind of Debian install versus a WSL one; every</w:t>
      </w:r>
      <w:r>
        <w:t xml:space="preserve"> </w:t>
      </w:r>
      <w:r>
        <w:t xml:space="preserve">command is the same.</w:t>
      </w:r>
    </w:p>
    <w:bookmarkEnd w:id="10"/>
    <w:bookmarkStart w:id="11" w:name="whats-different-about-wsl-specifically"/>
    <w:p>
      <w:pPr>
        <w:pStyle w:val="Heading2"/>
      </w:pPr>
      <w:r>
        <w:t xml:space="preserve">2. What’s different about WSL specifically</w:t>
      </w:r>
    </w:p>
    <w:p>
      <w:pPr>
        <w:pStyle w:val="FirstParagraph"/>
      </w:pPr>
      <w:r>
        <w:rPr>
          <w:b/>
          <w:bCs/>
        </w:rPr>
        <w:t xml:space="preserve">Reaching lab VMs (once Hyper-V VMs exist, M3+)</w:t>
      </w:r>
      <w:r>
        <w:t xml:space="preserve">: no special</w:t>
      </w:r>
      <w:r>
        <w:t xml:space="preserve"> </w:t>
      </w:r>
      <w:r>
        <w:t xml:space="preserve">configuration needed. Bridged networking (Claude_Docs/Design_System-Overview.md §14, the default)</w:t>
      </w:r>
      <w:r>
        <w:t xml:space="preserve"> </w:t>
      </w:r>
      <w:r>
        <w:t xml:space="preserve">puts lab VMs on the real physical LAN via an External switch — from</w:t>
      </w:r>
      <w:r>
        <w:t xml:space="preserve"> </w:t>
      </w:r>
      <w:r>
        <w:t xml:space="preserve">WSL’s point of view that’s just another LAN address, reachable the same</w:t>
      </w:r>
      <w:r>
        <w:t xml:space="preserve"> </w:t>
      </w:r>
      <w:r>
        <w:t xml:space="preserve">way any outbound connection from WSL reaches the LAN today. The</w:t>
      </w:r>
      <w:r>
        <w:t xml:space="preserve"> </w:t>
      </w:r>
      <w:r>
        <w:t xml:space="preserve">WSL-specific wrinkle in User_Docs/Install-OpenTofu-WSL.md §4</w:t>
      </w:r>
      <w:r>
        <w:t xml:space="preserve"> </w:t>
      </w:r>
      <w:r>
        <w:t xml:space="preserve">(don’t use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 is specifically about reaching a service</w:t>
      </w:r>
      <w:r>
        <w:t xml:space="preserve"> </w:t>
      </w:r>
      <w:r>
        <w:t xml:space="preserve">running</w:t>
      </w:r>
      <w:r>
        <w:t xml:space="preserve"> </w:t>
      </w:r>
      <w:r>
        <w:rPr>
          <w:i/>
          <w:iCs/>
        </w:rPr>
        <w:t xml:space="preserve">on the Windows host itself</w:t>
      </w:r>
      <w:r>
        <w:t xml:space="preserve"> </w:t>
      </w:r>
      <w:r>
        <w:t xml:space="preserve">(WinRM to the Hyper-V host) — it</w:t>
      </w:r>
      <w:r>
        <w:t xml:space="preserve"> </w:t>
      </w:r>
      <w:r>
        <w:t xml:space="preserve">doesn’t apply to VMs that Hyper-V creates on the bridged network, since</w:t>
      </w:r>
      <w:r>
        <w:t xml:space="preserve"> </w:t>
      </w:r>
      <w:r>
        <w:t xml:space="preserve">those aren’t</w:t>
      </w:r>
      <w:r>
        <w:t xml:space="preserve"> </w:t>
      </w:r>
      <w:r>
        <w:t xml:space="preserve">“the Windows host,”</w:t>
      </w:r>
      <w:r>
        <w:t xml:space="preserve"> </w:t>
      </w:r>
      <w:r>
        <w:t xml:space="preserve">they’re ordinary LAN peers.</w:t>
      </w:r>
    </w:p>
    <w:p>
      <w:pPr>
        <w:pStyle w:val="BodyText"/>
      </w:pPr>
      <w:r>
        <w:rPr>
          <w:b/>
          <w:bCs/>
        </w:rPr>
        <w:t xml:space="preserve">Reaching the Hyper-V host itself</w:t>
      </w:r>
      <w:r>
        <w:t xml:space="preserve">, if a future role ever needs to</w:t>
      </w:r>
      <w:r>
        <w:t xml:space="preserve"> </w:t>
      </w:r>
      <w:r>
        <w:t xml:space="preserve">(nothing in the current design does — domain join and software install</w:t>
      </w:r>
      <w:r>
        <w:t xml:space="preserve"> </w:t>
      </w:r>
      <w:r>
        <w:t xml:space="preserve">target the VMs, not the hypervisor) — same guidance as</w:t>
      </w:r>
      <w:r>
        <w:t xml:space="preserve"> </w:t>
      </w:r>
      <w:r>
        <w:t xml:space="preserve">User_Docs/Install-OpenTofu-WSL.md §4: use the host’s real LAN IP,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bookmarkEnd w:id="11"/>
    <w:bookmarkStart w:id="12" w:name="X23bd71bdda6f6f9cc48700503a2cc1b21fe9f31"/>
    <w:p>
      <w:pPr>
        <w:pStyle w:val="Heading2"/>
      </w:pPr>
      <w:r>
        <w:t xml:space="preserve">3. Verify pywinrm reaches a Windows target (M3+, forward-looking)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tofu/backends/hyperv</w:t>
      </w:r>
      <w:r>
        <w:t xml:space="preserve"> </w:t>
      </w:r>
      <w:r>
        <w:t xml:space="preserve">and Windows VM support exist, the same</w:t>
      </w:r>
      <w:r>
        <w:t xml:space="preserve"> </w:t>
      </w:r>
      <w:r>
        <w:t xml:space="preserve">connectivity test used for the Hyper-V host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scripts/test/test-winrm-connectivity.py</w:t>
      </w:r>
      <w:r>
        <w:t xml:space="preserve">, Claude_Docs/Reference_Validate-Setup.md)</w:t>
      </w:r>
      <w:r>
        <w:t xml:space="preserve"> </w:t>
      </w:r>
      <w:r>
        <w:t xml:space="preserve">works identically against any Windows VM’s IP — WinRM is WinRM,</w:t>
      </w:r>
      <w:r>
        <w:t xml:space="preserve"> </w:t>
      </w:r>
      <w:r>
        <w:t xml:space="preserve">regardless of whether the target is the hypervisor or a guest.</w:t>
      </w:r>
    </w:p>
    <w:bookmarkEnd w:id="12"/>
    <w:bookmarkStart w:id="13" w:name="troubleshooting"/>
    <w:p>
      <w:pPr>
        <w:pStyle w:val="Heading2"/>
      </w:pPr>
      <w:r>
        <w:t xml:space="preserve">4. Troubleshooting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 resolution fails inside WSL after switching networks (e.g.</w:t>
      </w:r>
      <w:r>
        <w:rPr>
          <w:b/>
          <w:bCs/>
        </w:rPr>
        <w:t xml:space="preserve"> </w:t>
      </w:r>
      <w:r>
        <w:rPr>
          <w:b/>
          <w:bCs/>
        </w:rPr>
        <w:t xml:space="preserve">laptop moves from office to home Wi-Fi)</w:t>
      </w:r>
      <w:r>
        <w:t xml:space="preserve"> </w:t>
      </w:r>
      <w:r>
        <w:t xml:space="preserve">— WSL2 sometimes caches a</w:t>
      </w:r>
      <w:r>
        <w:t xml:space="preserve"> </w:t>
      </w:r>
      <w:r>
        <w:t xml:space="preserve">stale resolver config;</w:t>
      </w:r>
      <w:r>
        <w:t xml:space="preserve"> </w:t>
      </w:r>
      <w:r>
        <w:rPr>
          <w:rStyle w:val="VerbatimChar"/>
        </w:rPr>
        <w:t xml:space="preserve">wsl --shutdown</w:t>
      </w:r>
      <w:r>
        <w:t xml:space="preserve"> </w:t>
      </w:r>
      <w:r>
        <w:t xml:space="preserve">from PowerShell, then reopen</w:t>
      </w:r>
      <w:r>
        <w:t xml:space="preserve"> </w:t>
      </w:r>
      <w:r>
        <w:t xml:space="preserve">the Debian terminal, regenerates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Everything else</w:t>
      </w:r>
      <w:r>
        <w:t xml:space="preserve"> </w:t>
      </w:r>
      <w:r>
        <w:t xml:space="preserve">— see User_Docs/Install-Ansible.md §9; none of those</w:t>
      </w:r>
      <w:r>
        <w:t xml:space="preserve"> </w:t>
      </w:r>
      <w:r>
        <w:t xml:space="preserve">failure modes are WSL-specific.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Install-Ansib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Install-Ansib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LABaPe v0.7.0: Install Ansible WSL</dc:title>
  <dc:creator/>
  <cp:keywords/>
  <dcterms:created xsi:type="dcterms:W3CDTF">2026-10-24T07:31:17Z</dcterms:created>
  <dcterms:modified xsi:type="dcterms:W3CDTF">2026-10-24T07:31:17Z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