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LABaPe v0.7.0: Install OpenTofu WSL</w:t>
      </w:r>
    </w:p>
    <w:bookmarkStart w:id="19" w:name="X80e8d16886d10d89ad92f0459a7753172d8d611"/>
    <w:p>
      <w:pPr>
        <w:pStyle w:val="Heading1"/>
      </w:pPr>
      <w:r>
        <w:t xml:space="preserve">Installing and Configuring OpenTofu (Windows Host + Hyper-V + WSL2)</w:t>
      </w:r>
    </w:p>
    <w:p>
      <w:pPr>
        <w:pStyle w:val="BlockText"/>
      </w:pPr>
      <w:r>
        <w:rPr>
          <w:b/>
          <w:bCs/>
        </w:rPr>
        <w:t xml:space="preserve">Hyper-V is being dropped (decision 2026-10-16, question 175).</w:t>
      </w:r>
      <w:r>
        <w:t xml:space="preserve"> </w:t>
      </w:r>
      <w:r>
        <w:t xml:space="preserve">LABaPe will support KVM (libvirt) only. The Hyper-V backend isn’t maintained or tested and gets no new features; its code and the Hyper-V notes below stay until it is removed.</w:t>
      </w:r>
    </w:p>
    <w:p>
      <w:pPr>
        <w:pStyle w:val="FirstParagraph"/>
      </w:pPr>
      <w:r>
        <w:t xml:space="preserve">Architecture:</w:t>
      </w:r>
      <w:r>
        <w:t xml:space="preserve"> </w:t>
      </w:r>
      <w:r>
        <w:rPr>
          <w:b/>
          <w:bCs/>
        </w:rPr>
        <w:t xml:space="preserve">one physical Windows box</w:t>
      </w:r>
      <w:r>
        <w:t xml:space="preserve"> </w:t>
      </w:r>
      <w:r>
        <w:t xml:space="preserve">runs both Hyper-V (the</w:t>
      </w:r>
      <w:r>
        <w:t xml:space="preserve"> </w:t>
      </w:r>
      <w:r>
        <w:t xml:space="preserve">hypervisor) and WSL2 (the control machine, Claude_Docs/Design_System-Overview.md §15). This is a</w:t>
      </w:r>
      <w:r>
        <w:t xml:space="preserve"> </w:t>
      </w:r>
      <w:r>
        <w:t xml:space="preserve">different shape from User_Docs/Install-OpenTofu.md (a dedicated Debian</w:t>
      </w:r>
      <w:r>
        <w:t xml:space="preserve"> </w:t>
      </w:r>
      <w:r>
        <w:t xml:space="preserve">control machine talking to a separate libvirt host) but the same</w:t>
      </w:r>
      <w:r>
        <w:t xml:space="preserve"> </w:t>
      </w:r>
      <w:r>
        <w:t xml:space="preserve">underlying idea — OpenTofu and this repo’s bash/Python scripts need a</w:t>
      </w:r>
      <w:r>
        <w:t xml:space="preserve"> </w:t>
      </w:r>
      <w:r>
        <w:t xml:space="preserve">Linux environment, and WSL2 provides it on the same box that’s also the</w:t>
      </w:r>
      <w:r>
        <w:t xml:space="preserve"> </w:t>
      </w:r>
      <w:r>
        <w:t xml:space="preserve">hypervisor.</w:t>
      </w:r>
    </w:p>
    <w:p>
      <w:pPr>
        <w:pStyle w:val="BodyText"/>
      </w:pPr>
      <w:r>
        <w:rPr>
          <w:b/>
          <w:bCs/>
        </w:rPr>
        <w:t xml:space="preserve">Where this repo actually stands</w:t>
      </w:r>
      <w:r>
        <w:t xml:space="preserve">:</w:t>
      </w:r>
      <w:r>
        <w:t xml:space="preserve"> </w:t>
      </w:r>
      <w:r>
        <w:rPr>
          <w:rStyle w:val="VerbatimChar"/>
        </w:rPr>
        <w:t xml:space="preserve">tofu/backends/hyperv</w:t>
      </w:r>
      <w:r>
        <w:t xml:space="preserve"> </w:t>
      </w:r>
      <w:r>
        <w:t xml:space="preserve">isn’t</w:t>
      </w:r>
      <w:r>
        <w:t xml:space="preserve"> </w:t>
      </w:r>
      <w:r>
        <w:t xml:space="preserve">implemented yet (Claude_Docs/Design_System-Overview.md §18 schedules it for M2 — only</w:t>
      </w:r>
      <w:r>
        <w:t xml:space="preserve"> </w:t>
      </w:r>
      <w:r>
        <w:rPr>
          <w:rStyle w:val="VerbatimChar"/>
        </w:rPr>
        <w:t xml:space="preserve">tofu/backends/libvirt</w:t>
      </w:r>
      <w:r>
        <w:t xml:space="preserve"> </w:t>
      </w:r>
      <w:r>
        <w:t xml:space="preserve">exists today). This guide covers what’s usable</w:t>
      </w:r>
      <w:r>
        <w:t xml:space="preserve"> </w:t>
      </w:r>
      <w:r>
        <w:t xml:space="preserve">right now regardless (WSL2 itself, OpenTofu inside it) plus the</w:t>
      </w:r>
      <w:r>
        <w:t xml:space="preserve"> </w:t>
      </w:r>
      <w:r>
        <w:t xml:space="preserve">Hyper-V-host-side WinRM setup that</w:t>
      </w:r>
      <w:r>
        <w:t xml:space="preserve"> </w:t>
      </w:r>
      <w:r>
        <w:rPr>
          <w:rStyle w:val="VerbatimChar"/>
        </w:rPr>
        <w:t xml:space="preserve">tofu/backends/hyperv</w:t>
      </w:r>
      <w:r>
        <w:t xml:space="preserve"> </w:t>
      </w:r>
      <w:r>
        <w:t xml:space="preserve">will need</w:t>
      </w:r>
      <w:r>
        <w:t xml:space="preserve"> </w:t>
      </w:r>
      <w:r>
        <w:t xml:space="preserve">once it lands, so that part of the work doesn’t have to be redone later.</w:t>
      </w:r>
    </w:p>
    <w:bookmarkStart w:id="9" w:name="enable-windows-features"/>
    <w:p>
      <w:pPr>
        <w:pStyle w:val="Heading2"/>
      </w:pPr>
      <w:r>
        <w:t xml:space="preserve">1. Enable Windows features</w:t>
      </w:r>
    </w:p>
    <w:p>
      <w:pPr>
        <w:pStyle w:val="FirstParagraph"/>
      </w:pPr>
      <w:r>
        <w:t xml:space="preserve">From an elevated PowerShell prompt:</w:t>
      </w:r>
    </w:p>
    <w:p>
      <w:pPr>
        <w:pStyle w:val="SourceCode"/>
      </w:pPr>
      <w:r>
        <w:rPr>
          <w:rStyle w:val="NormalTok"/>
        </w:rPr>
        <w:t xml:space="preserve">Enable-WindowsOptionalFeature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FeatureName Microsoft-Hyper-V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All</w:t>
      </w:r>
      <w:r>
        <w:br/>
      </w: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Debian</w:t>
      </w:r>
    </w:p>
    <w:p>
      <w:pPr>
        <w:pStyle w:val="FirstParagraph"/>
      </w:pPr>
      <w:r>
        <w:t xml:space="preserve">These don’t conflict — WSL2 itself runs as a lightweight VM under</w:t>
      </w:r>
      <w:r>
        <w:t xml:space="preserve"> </w:t>
      </w:r>
      <w:r>
        <w:t xml:space="preserve">Hyper-V/the Virtual Machine Platform, so having</w:t>
      </w:r>
      <w:r>
        <w:t xml:space="preserve"> </w:t>
      </w:r>
      <w:r>
        <w:t xml:space="preserve">“real”</w:t>
      </w:r>
      <w:r>
        <w:t xml:space="preserve"> </w:t>
      </w:r>
      <w:r>
        <w:t xml:space="preserve">Hyper-V enabled</w:t>
      </w:r>
      <w:r>
        <w:t xml:space="preserve"> </w:t>
      </w:r>
      <w:r>
        <w:t xml:space="preserve">alongside WSL2 is the normal, expected configuration, not a resource</w:t>
      </w:r>
      <w:r>
        <w:t xml:space="preserve"> </w:t>
      </w:r>
      <w:r>
        <w:t xml:space="preserve">fight between two competing hypervisors.</w:t>
      </w:r>
    </w:p>
    <w:p>
      <w:pPr>
        <w:pStyle w:val="BodyText"/>
      </w:pPr>
      <w:r>
        <w:t xml:space="preserve">Reboot when prompted, then finish the Debian setup (it prompts for a</w:t>
      </w:r>
      <w:r>
        <w:t xml:space="preserve"> </w:t>
      </w:r>
      <w:r>
        <w:t xml:space="preserve">UNIX username/password on first launch).</w:t>
      </w:r>
    </w:p>
    <w:bookmarkEnd w:id="9"/>
    <w:bookmarkStart w:id="11" w:name="install-opentofu-inside-wsl"/>
    <w:p>
      <w:pPr>
        <w:pStyle w:val="Heading2"/>
      </w:pPr>
      <w:r>
        <w:t xml:space="preserve">2. Install OpenTofu inside WSL</w:t>
      </w:r>
    </w:p>
    <w:p>
      <w:pPr>
        <w:pStyle w:val="FirstParagraph"/>
      </w:pPr>
      <w:r>
        <w:t xml:space="preserve">Once inside the WSL Debian prompt, this is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to a native</w:t>
      </w:r>
      <w:r>
        <w:t xml:space="preserve"> </w:t>
      </w:r>
      <w:r>
        <w:t xml:space="preserve">Debian box — follow</w:t>
      </w:r>
      <w:r>
        <w:t xml:space="preserve"> </w:t>
      </w:r>
      <w:hyperlink r:id="rId10">
        <w:r>
          <w:rPr>
            <w:rStyle w:val="Hyperlink"/>
          </w:rPr>
          <w:t xml:space="preserve">User_Docs/Install-OpenTofu.md</w:t>
        </w:r>
      </w:hyperlink>
      <w:r>
        <w:t xml:space="preserve"> </w:t>
      </w:r>
      <w:r>
        <w:t xml:space="preserve">§§1–3 (APT repo or standalone installer, verify with</w:t>
      </w:r>
      <w:r>
        <w:t xml:space="preserve"> </w:t>
      </w:r>
      <w:r>
        <w:rPr>
          <w:rStyle w:val="VerbatimChar"/>
        </w:rPr>
        <w:t xml:space="preserve">tofu version</w:t>
      </w:r>
      <w:r>
        <w:t xml:space="preserve">,</w:t>
      </w:r>
      <w:r>
        <w:t xml:space="preserve"> </w:t>
      </w:r>
      <w:r>
        <w:t xml:space="preserve">set up the provider plugin cache). Nothing WSL-specific there.</w:t>
      </w:r>
    </w:p>
    <w:p>
      <w:pPr>
        <w:pStyle w:val="BodyText"/>
      </w:pPr>
      <w:r>
        <w:t xml:space="preserve">Skip that guide’s §4–§7 (libvirt client tools,</w:t>
      </w:r>
      <w:r>
        <w:t xml:space="preserve"> </w:t>
      </w:r>
      <w:r>
        <w:rPr>
          <w:rStyle w:val="VerbatimChar"/>
        </w:rPr>
        <w:t xml:space="preserve">qemu+ssh://</w:t>
      </w:r>
      <w:r>
        <w:t xml:space="preserve"> </w:t>
      </w:r>
      <w:r>
        <w:t xml:space="preserve">setup) —</w:t>
      </w:r>
      <w:r>
        <w:t xml:space="preserve"> </w:t>
      </w:r>
      <w:r>
        <w:t xml:space="preserve">this box’s target is Hyper-V, not libvirt.</w:t>
      </w:r>
    </w:p>
    <w:bookmarkEnd w:id="11"/>
    <w:bookmarkStart w:id="14" w:name="Xae8f6f538585e18b8ae1f49a0aba8b31de24f37"/>
    <w:p>
      <w:pPr>
        <w:pStyle w:val="Heading2"/>
      </w:pPr>
      <w:r>
        <w:t xml:space="preserve">3. Configure WinRM on the Windows/Hyper-V host</w:t>
      </w:r>
    </w:p>
    <w:p>
      <w:pPr>
        <w:pStyle w:val="FirstParagraph"/>
      </w:pPr>
      <w:r>
        <w:t xml:space="preserve">This is the part that’s genuinely different. The</w:t>
      </w:r>
      <w:r>
        <w:t xml:space="preserve"> </w:t>
      </w:r>
      <w:r>
        <w:rPr>
          <w:rStyle w:val="VerbatimChar"/>
        </w:rPr>
        <w:t xml:space="preserve">taliesins/hyperv</w:t>
      </w:r>
      <w:r>
        <w:t xml:space="preserve"> </w:t>
      </w:r>
      <w:r>
        <w:t xml:space="preserve">OpenTofu provider talks to the Hyper-V host over WinRM — from an</w:t>
      </w:r>
      <w:r>
        <w:t xml:space="preserve"> </w:t>
      </w:r>
      <w:r>
        <w:t xml:space="preserve">elevated PowerShell prompt</w:t>
      </w:r>
      <w:r>
        <w:t xml:space="preserve"> </w:t>
      </w:r>
      <w:r>
        <w:rPr>
          <w:b/>
          <w:bCs/>
        </w:rPr>
        <w:t xml:space="preserve">on Windows, not inside WSL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Core WinRM + PS Remoting setup (from the provider's own setup docs)</w:t>
      </w:r>
      <w:r>
        <w:br/>
      </w:r>
      <w:r>
        <w:rPr>
          <w:rStyle w:val="FunctionTok"/>
        </w:rPr>
        <w:t xml:space="preserve">Enable-PSRemoting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SkipNetworkProfileCheck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FunctionTok"/>
        </w:rPr>
        <w:t xml:space="preserve">Set-WSManInstance</w:t>
      </w:r>
      <w:r>
        <w:rPr>
          <w:rStyle w:val="NormalTok"/>
        </w:rPr>
        <w:t xml:space="preserve"> WinRM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WinRS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ValueSet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MaxMemoryPerShellMB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}</w:t>
      </w:r>
      <w:r>
        <w:br/>
      </w:r>
      <w:r>
        <w:rPr>
          <w:rStyle w:val="FunctionTok"/>
        </w:rPr>
        <w:t xml:space="preserve">Set-WSManInstance</w:t>
      </w:r>
      <w:r>
        <w:rPr>
          <w:rStyle w:val="NormalTok"/>
        </w:rPr>
        <w:t xml:space="preserve"> WinRM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ValueSet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MaxTimeoutms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1800000</w:t>
      </w:r>
      <w:r>
        <w:rPr>
          <w:rStyle w:val="OperatorTok"/>
        </w:rPr>
        <w:t xml:space="preserve">}</w:t>
      </w:r>
      <w:r>
        <w:br/>
      </w:r>
      <w:r>
        <w:rPr>
          <w:rStyle w:val="FunctionTok"/>
        </w:rPr>
        <w:t xml:space="preserve">Set-WSManInstance</w:t>
      </w:r>
      <w:r>
        <w:rPr>
          <w:rStyle w:val="NormalTok"/>
        </w:rPr>
        <w:t xml:space="preserve"> WinRM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ValueSet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TrustedHosts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}</w:t>
      </w:r>
      <w:r>
        <w:br/>
      </w:r>
      <w:r>
        <w:rPr>
          <w:rStyle w:val="FunctionTok"/>
        </w:rPr>
        <w:t xml:space="preserve">Set-WSManInstance</w:t>
      </w:r>
      <w:r>
        <w:rPr>
          <w:rStyle w:val="NormalTok"/>
        </w:rPr>
        <w:t xml:space="preserve"> WinRM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ValueSet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Negotiate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}</w:t>
      </w:r>
    </w:p>
    <w:bookmarkStart w:id="12" w:name="Xecaba30f7f148a38b8143af14cbc6ab27f3ef2d"/>
    <w:p>
      <w:pPr>
        <w:pStyle w:val="Heading3"/>
      </w:pPr>
      <w:r>
        <w:t xml:space="preserve">HTTPS listener (recommended over plain HTTP)</w:t>
      </w:r>
    </w:p>
    <w:p>
      <w:pPr>
        <w:pStyle w:val="FirstParagraph"/>
      </w:pPr>
      <w:r>
        <w:t xml:space="preserve">A self-signed certificate is fine here — this is a self-hosted lab, the</w:t>
      </w:r>
      <w:r>
        <w:t xml:space="preserve"> </w:t>
      </w:r>
      <w:r>
        <w:t xml:space="preserve">same reasoning Claude_Docs/Reference_Credentials.md §2 already applies to the libvirt</w:t>
      </w:r>
      <w:r>
        <w:t xml:space="preserve"> </w:t>
      </w:r>
      <w:r>
        <w:t xml:space="preserve">provider’s</w:t>
      </w:r>
      <w:r>
        <w:t xml:space="preserve"> </w:t>
      </w:r>
      <w:r>
        <w:rPr>
          <w:rStyle w:val="VerbatimChar"/>
        </w:rPr>
        <w:t xml:space="preserve">insecure = true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$hostname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hostname</w:t>
      </w:r>
      <w:r>
        <w:br/>
      </w:r>
      <w:r>
        <w:rPr>
          <w:rStyle w:val="VariableTok"/>
        </w:rPr>
        <w:t xml:space="preserve">$cert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New-SelfSignedCertificate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DnsName </w:t>
      </w:r>
      <w:r>
        <w:rPr>
          <w:rStyle w:val="VariableTok"/>
        </w:rPr>
        <w:t xml:space="preserve">$hostname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CertStoreLocation Cert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\LocalMachine\My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WSMan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\localhost\Listener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Transport HTTPS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Address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CertificateThumbPrint </w:t>
      </w:r>
      <w:r>
        <w:rPr>
          <w:rStyle w:val="VariableTok"/>
        </w:rPr>
        <w:t xml:space="preserve">$cert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Thumbprint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br/>
      </w:r>
      <w:r>
        <w:rPr>
          <w:rStyle w:val="NormalTok"/>
        </w:rPr>
        <w:t xml:space="preserve">New-NetFirewallRule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DisplayName </w:t>
      </w:r>
      <w:r>
        <w:rPr>
          <w:rStyle w:val="StringTok"/>
        </w:rPr>
        <w:t xml:space="preserve">"WinRM HTTPS (WSL/OpenTofu)"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"WinRMHTTPSIn"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Profile Any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LocalPort </w:t>
      </w:r>
      <w:r>
        <w:rPr>
          <w:rStyle w:val="DecValTok"/>
        </w:rPr>
        <w:t xml:space="preserve">5986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Protocol TCP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RemoteAddress </w:t>
      </w:r>
      <w:r>
        <w:rPr>
          <w:rStyle w:val="DecValTok"/>
        </w:rPr>
        <w:t xml:space="preserve">172.16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Verbose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-RemoteAddress</w:t>
      </w:r>
      <w:r>
        <w:t xml:space="preserve"> </w:t>
      </w:r>
      <w:r>
        <w:t xml:space="preserve">scope above covers the private-range subnet WSL2’s</w:t>
      </w:r>
      <w:r>
        <w:t xml:space="preserve"> </w:t>
      </w:r>
      <w:r>
        <w:t xml:space="preserve">NAT typically uses — check yours with</w:t>
      </w:r>
      <w:r>
        <w:t xml:space="preserve"> </w:t>
      </w:r>
      <w:r>
        <w:rPr>
          <w:rStyle w:val="VerbatimChar"/>
        </w:rPr>
        <w:t xml:space="preserve">ip addr show eth0</w:t>
      </w:r>
      <w:r>
        <w:t xml:space="preserve"> </w:t>
      </w:r>
      <w:r>
        <w:rPr>
          <w:b/>
          <w:bCs/>
        </w:rPr>
        <w:t xml:space="preserve">inside</w:t>
      </w:r>
      <w:r>
        <w:rPr>
          <w:b/>
          <w:bCs/>
        </w:rPr>
        <w:t xml:space="preserve"> </w:t>
      </w:r>
      <w:r>
        <w:rPr>
          <w:b/>
          <w:bCs/>
        </w:rPr>
        <w:t xml:space="preserve">WSL</w:t>
      </w:r>
      <w:r>
        <w:t xml:space="preserve"> </w:t>
      </w:r>
      <w:r>
        <w:t xml:space="preserve">first and adjust if it falls outside</w:t>
      </w:r>
      <w:r>
        <w:t xml:space="preserve"> </w:t>
      </w:r>
      <w:r>
        <w:rPr>
          <w:rStyle w:val="VerbatimChar"/>
        </w:rPr>
        <w:t xml:space="preserve">172.16.0.0/12</w:t>
      </w:r>
      <w:r>
        <w:t xml:space="preserve"> </w:t>
      </w:r>
      <w:r>
        <w:t xml:space="preserve">(docs/</w:t>
      </w:r>
      <w:r>
        <w:t xml:space="preserve"> </w:t>
      </w:r>
      <w:r>
        <w:t xml:space="preserve">credentials.md §7’s firewall-scoping principle applied to the</w:t>
      </w:r>
      <w:r>
        <w:t xml:space="preserve"> </w:t>
      </w:r>
      <w:r>
        <w:t xml:space="preserve">Hyper-V host itself, which is more sensitive than a throwaway lab VM).</w:t>
      </w:r>
    </w:p>
    <w:bookmarkEnd w:id="12"/>
    <w:bookmarkStart w:id="13" w:name="Xc435cf5625b3bf507fc0e7911a4c3f3664e8390"/>
    <w:p>
      <w:pPr>
        <w:pStyle w:val="Heading3"/>
      </w:pPr>
      <w:r>
        <w:t xml:space="preserve">Enable Basic auth if you’re not using a domain</w:t>
      </w:r>
    </w:p>
    <w:p>
      <w:pPr>
        <w:pStyle w:val="FirstParagraph"/>
      </w:pPr>
      <w:r>
        <w:t xml:space="preserve">Since the Hyper-V host is likely a workgroup machine (not domain-joined</w:t>
      </w:r>
      <w:r>
        <w:t xml:space="preserve"> </w:t>
      </w:r>
      <w:r>
        <w:t xml:space="preserve">— it’s the hypervisor itself), NTLM/Negotiate (already enabled above)</w:t>
      </w:r>
      <w:r>
        <w:t xml:space="preserve"> </w:t>
      </w:r>
      <w:r>
        <w:t xml:space="preserve">is normally enough for a non-domain client. If a connection attempt</w:t>
      </w:r>
      <w:r>
        <w:t xml:space="preserve"> </w:t>
      </w:r>
      <w:r>
        <w:t xml:space="preserve">reports an auth failure, Basic auth (over the HTTPS listener only —</w:t>
      </w:r>
      <w:r>
        <w:t xml:space="preserve"> </w:t>
      </w:r>
      <w:r>
        <w:t xml:space="preserve">never enable it on plain HTTP) is the fallback:</w:t>
      </w:r>
    </w:p>
    <w:p>
      <w:pPr>
        <w:pStyle w:val="SourceCode"/>
      </w:pPr>
      <w:r>
        <w:rPr>
          <w:rStyle w:val="NormalTok"/>
        </w:rPr>
        <w:t xml:space="preserve">winrm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winrm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auth </w:t>
      </w:r>
      <w:r>
        <w:rPr>
          <w:rStyle w:val="StringTok"/>
        </w:rPr>
        <w:t xml:space="preserve">'@{Basic="true"}'</w:t>
      </w:r>
    </w:p>
    <w:bookmarkEnd w:id="13"/>
    <w:bookmarkEnd w:id="14"/>
    <w:bookmarkStart w:id="15" w:name="X2ef4052cd669cc33ec3b0e1de153a87b48a6bc7"/>
    <w:p>
      <w:pPr>
        <w:pStyle w:val="Heading2"/>
      </w:pPr>
      <w:r>
        <w:t xml:space="preserve">4. Find the right IP to reach the Windows host from WSL</w:t>
      </w:r>
    </w:p>
    <w:p>
      <w:pPr>
        <w:pStyle w:val="FirstParagraph"/>
      </w:pPr>
      <w:r>
        <w:rPr>
          <w:b/>
          <w:bCs/>
        </w:rPr>
        <w:t xml:space="preserve">Don’t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localhost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127.0.0.1</w:t>
      </w:r>
      <w:r>
        <w:t xml:space="preserve"> </w:t>
      </w:r>
      <w:r>
        <w:t xml:space="preserve">from inside WSL to reach the</w:t>
      </w:r>
      <w:r>
        <w:t xml:space="preserve"> </w:t>
      </w:r>
      <w:r>
        <w:t xml:space="preserve">Windows host — under WSL2’s default NAT networking mode,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inside WSL means WSL’s own loopback, not the Windows host’s. (WSL’s</w:t>
      </w:r>
      <w:r>
        <w:t xml:space="preserve"> </w:t>
      </w:r>
      <w:r>
        <w:t xml:space="preserve">newer</w:t>
      </w:r>
      <w:r>
        <w:t xml:space="preserve"> </w:t>
      </w:r>
      <w:r>
        <w:t xml:space="preserve">“mirrored”</w:t>
      </w:r>
      <w:r>
        <w:t xml:space="preserve"> </w:t>
      </w:r>
      <w:r>
        <w:t xml:space="preserve">networking mode claims to change this, but has</w:t>
      </w:r>
      <w:r>
        <w:t xml:space="preserve"> </w:t>
      </w:r>
      <w:r>
        <w:t xml:space="preserve">documented connectivity bugs as of this writing — not worth adopting</w:t>
      </w:r>
      <w:r>
        <w:t xml:space="preserve"> </w:t>
      </w:r>
      <w:r>
        <w:t xml:space="preserve">just for this.)</w:t>
      </w:r>
    </w:p>
    <w:p>
      <w:pPr>
        <w:pStyle w:val="BodyText"/>
      </w:pPr>
      <w:r>
        <w:t xml:space="preserve">Use the Windows host’s real LAN IP instead — from Windows:</w:t>
      </w:r>
    </w:p>
    <w:p>
      <w:pPr>
        <w:pStyle w:val="SourceCode"/>
      </w:pPr>
      <w:r>
        <w:rPr>
          <w:rStyle w:val="NormalTok"/>
        </w:rPr>
        <w:t xml:space="preserve">ipconfig</w:t>
      </w:r>
      <w:r>
        <w:br/>
      </w:r>
      <w:r>
        <w:rPr>
          <w:rStyle w:val="CommentTok"/>
        </w:rPr>
        <w:t xml:space="preserve"># Look for your actual Ethernet/Wi-Fi adapter, NOT</w:t>
      </w:r>
      <w:r>
        <w:br/>
      </w:r>
      <w:r>
        <w:rPr>
          <w:rStyle w:val="CommentTok"/>
        </w:rPr>
        <w:t xml:space="preserve"># "vEthernet (WSL)" or any Hyper-V virtual switch adapter</w:t>
      </w:r>
    </w:p>
    <w:p>
      <w:pPr>
        <w:pStyle w:val="FirstParagraph"/>
      </w:pPr>
      <w:r>
        <w:t xml:space="preserve">That IP is what goes in</w:t>
      </w:r>
      <w:r>
        <w:t xml:space="preserve"> </w:t>
      </w:r>
      <w:r>
        <w:rPr>
          <w:rStyle w:val="VerbatimChar"/>
        </w:rPr>
        <w:t xml:space="preserve">secrets.vault.yml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hyperv_host</w:t>
      </w:r>
      <w:r>
        <w:t xml:space="preserve"> </w:t>
      </w:r>
      <w:r>
        <w:t xml:space="preserve">(Claude_Docs/Reference_Credentials.md §1), and what</w:t>
      </w:r>
      <w:r>
        <w:t xml:space="preserve"> </w:t>
      </w:r>
      <w:r>
        <w:rPr>
          <w:rStyle w:val="VerbatimChar"/>
        </w:rPr>
        <w:t xml:space="preserve">New-NetFirewallRule</w:t>
      </w:r>
      <w:r>
        <w:t xml:space="preserve"> </w:t>
      </w:r>
      <w:r>
        <w:t xml:space="preserve">above should</w:t>
      </w:r>
      <w:r>
        <w:t xml:space="preserve"> </w:t>
      </w:r>
      <w:r>
        <w:t xml:space="preserve">actually be reachable on from WSL.</w:t>
      </w:r>
    </w:p>
    <w:bookmarkEnd w:id="15"/>
    <w:bookmarkStart w:id="16" w:name="X5e2e700d90f7db0203a9caae5b567bba57d19cb"/>
    <w:p>
      <w:pPr>
        <w:pStyle w:val="Heading2"/>
      </w:pPr>
      <w:r>
        <w:t xml:space="preserve">5. Test the WinRM connection before involving OpenTofu</w:t>
      </w:r>
    </w:p>
    <w:p>
      <w:pPr>
        <w:pStyle w:val="FirstParagraph"/>
      </w:pPr>
      <w:r>
        <w:t xml:space="preserve">Confirm connectivity from WSL directly —</w:t>
      </w:r>
      <w:r>
        <w:t xml:space="preserve"> </w:t>
      </w:r>
      <w:r>
        <w:rPr>
          <w:rStyle w:val="VerbatimChar"/>
        </w:rPr>
        <w:t xml:space="preserve">scripts/test/test-winrm-connectivity.py</w:t>
      </w:r>
      <w:r>
        <w:t xml:space="preserve"> </w:t>
      </w:r>
      <w:r>
        <w:t xml:space="preserve">(Claude_Docs/Reference_Validate-Setup.md) does exactly this:</w:t>
      </w:r>
    </w:p>
    <w:p>
      <w:pPr>
        <w:pStyle w:val="SourceCode"/>
      </w:pPr>
      <w:r>
        <w:rPr>
          <w:rStyle w:val="CommentTok"/>
        </w:rPr>
        <w:t xml:space="preserve"># from inside WSL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scripts/test/test-winrm-connectivity.py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hyperv-host-ip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If that fails, fix it before touching OpenTofu — a provider-level error</w:t>
      </w:r>
      <w:r>
        <w:t xml:space="preserve"> </w:t>
      </w:r>
      <w:r>
        <w:t xml:space="preserve">message will be much less direct about which of these steps is wrong.</w:t>
      </w:r>
    </w:p>
    <w:bookmarkEnd w:id="16"/>
    <w:bookmarkStart w:id="17" w:name="whats-ready-now-vs.-pending"/>
    <w:p>
      <w:pPr>
        <w:pStyle w:val="Heading2"/>
      </w:pPr>
      <w:r>
        <w:t xml:space="preserve">6. What’s ready now vs. pending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Usable today</w:t>
      </w:r>
      <w:r>
        <w:t xml:space="preserve">: OpenTofu itself,</w:t>
      </w:r>
      <w:r>
        <w:t xml:space="preserve"> </w:t>
      </w:r>
      <w:r>
        <w:rPr>
          <w:rStyle w:val="VerbatimChar"/>
        </w:rPr>
        <w:t xml:space="preserve">tofu/backends/libvirt</w:t>
      </w:r>
      <w:r>
        <w:t xml:space="preserve"> </w:t>
      </w:r>
      <w:r>
        <w:t xml:space="preserve">(if you</w:t>
      </w:r>
      <w:r>
        <w:t xml:space="preserve"> </w:t>
      </w:r>
      <w:r>
        <w:t xml:space="preserve">also have a separate/nested libvirt target), and everything in §§1–5</w:t>
      </w:r>
      <w:r>
        <w:t xml:space="preserve"> </w:t>
      </w:r>
      <w:r>
        <w:t xml:space="preserve">above regardless of backend.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Pending M2</w:t>
      </w:r>
      <w:r>
        <w:t xml:space="preserve"> </w:t>
      </w:r>
      <w:r>
        <w:t xml:space="preserve">(Claude_Docs/Design_System-Overview.md §18):</w:t>
      </w:r>
      <w:r>
        <w:t xml:space="preserve"> </w:t>
      </w:r>
      <w:r>
        <w:rPr>
          <w:rStyle w:val="VerbatimChar"/>
        </w:rPr>
        <w:t xml:space="preserve">tofu/backends/hyperv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tofu/modules/vm/hyperv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tofu/modules/network/hyperv</w:t>
      </w:r>
      <w:r>
        <w:t xml:space="preserve"> </w:t>
      </w:r>
      <w:r>
        <w:t xml:space="preserve">don’t exist</w:t>
      </w:r>
      <w:r>
        <w:t xml:space="preserve"> </w:t>
      </w:r>
      <w:r>
        <w:t xml:space="preserve">yet. Once they land, they’ll consume the same</w:t>
      </w:r>
      <w:r>
        <w:t xml:space="preserve"> </w:t>
      </w:r>
      <w:r>
        <w:rPr>
          <w:rStyle w:val="VerbatimChar"/>
        </w:rPr>
        <w:t xml:space="preserve">hyperv_host</w:t>
      </w:r>
      <w:r>
        <w:t xml:space="preserve">/</w:t>
      </w:r>
      <w:r>
        <w:t xml:space="preserve"> </w:t>
      </w:r>
      <w:r>
        <w:rPr>
          <w:rStyle w:val="VerbatimChar"/>
        </w:rPr>
        <w:t xml:space="preserve">hyperv_user</w:t>
      </w:r>
      <w:r>
        <w:t xml:space="preserve">/</w:t>
      </w:r>
      <w:r>
        <w:rPr>
          <w:rStyle w:val="VerbatimChar"/>
        </w:rPr>
        <w:t xml:space="preserve">hyperv_password</w:t>
      </w:r>
      <w:r>
        <w:t xml:space="preserve"> </w:t>
      </w:r>
      <w:r>
        <w:t xml:space="preserve">vault keys this guide’s WinRM setup</w:t>
      </w:r>
      <w:r>
        <w:t xml:space="preserve"> </w:t>
      </w:r>
      <w:r>
        <w:t xml:space="preserve">prepares.</w:t>
      </w:r>
    </w:p>
    <w:bookmarkEnd w:id="17"/>
    <w:bookmarkStart w:id="18" w:name="troubleshooting"/>
    <w:p>
      <w:pPr>
        <w:pStyle w:val="Heading2"/>
      </w:pPr>
      <w:r>
        <w:t xml:space="preserve">7. Troubleshooting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Enable-PSRemoting</w:t>
      </w:r>
      <w:r>
        <w:rPr>
          <w:b/>
          <w:bCs/>
        </w:rPr>
        <w:t xml:space="preserve"> </w:t>
      </w:r>
      <w:r>
        <w:rPr>
          <w:b/>
          <w:bCs/>
        </w:rPr>
        <w:t xml:space="preserve">fails on a</w:t>
      </w:r>
      <w:r>
        <w:rPr>
          <w:b/>
          <w:bCs/>
        </w:rPr>
        <w:t xml:space="preserve"> </w:t>
      </w:r>
      <w:r>
        <w:rPr>
          <w:b/>
          <w:bCs/>
        </w:rPr>
        <w:t xml:space="preserve">“public”</w:t>
      </w:r>
      <w:r>
        <w:rPr>
          <w:b/>
          <w:bCs/>
        </w:rPr>
        <w:t xml:space="preserve"> </w:t>
      </w:r>
      <w:r>
        <w:rPr>
          <w:b/>
          <w:bCs/>
        </w:rPr>
        <w:t xml:space="preserve">network profile</w:t>
      </w:r>
      <w:r>
        <w:t xml:space="preserve"> </w:t>
      </w:r>
      <w:r>
        <w:t xml:space="preserve">— that’s</w:t>
      </w:r>
      <w:r>
        <w:t xml:space="preserve"> </w:t>
      </w:r>
      <w:r>
        <w:t xml:space="preserve">what</w:t>
      </w:r>
      <w:r>
        <w:t xml:space="preserve"> </w:t>
      </w:r>
      <w:r>
        <w:rPr>
          <w:rStyle w:val="VerbatimChar"/>
        </w:rPr>
        <w:t xml:space="preserve">-SkipNetworkProfileCheck</w:t>
      </w:r>
      <w:r>
        <w:t xml:space="preserve"> </w:t>
      </w:r>
      <w:r>
        <w:t xml:space="preserve">above is for; without it, Windows</w:t>
      </w:r>
      <w:r>
        <w:t xml:space="preserve"> </w:t>
      </w:r>
      <w:r>
        <w:t xml:space="preserve">refuses on networks it considers public.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Connection times out from WSL but works from a Windows PowerShell</w:t>
      </w:r>
      <w:r>
        <w:rPr>
          <w:b/>
          <w:bCs/>
        </w:rPr>
        <w:t xml:space="preserve"> </w:t>
      </w:r>
      <w:r>
        <w:rPr>
          <w:b/>
          <w:bCs/>
        </w:rPr>
        <w:t xml:space="preserve">prompt on the same machine</w:t>
      </w:r>
      <w:r>
        <w:t xml:space="preserve"> </w:t>
      </w:r>
      <w:r>
        <w:t xml:space="preserve">— almost always the firewall rule’s</w:t>
      </w:r>
      <w:r>
        <w:t xml:space="preserve"> </w:t>
      </w:r>
      <w:r>
        <w:rPr>
          <w:rStyle w:val="VerbatimChar"/>
        </w:rPr>
        <w:t xml:space="preserve">-RemoteAddress</w:t>
      </w:r>
      <w:r>
        <w:t xml:space="preserve"> </w:t>
      </w:r>
      <w:r>
        <w:t xml:space="preserve">scope (§3) not covering WSL’s actual subnet, or the</w:t>
      </w:r>
      <w:r>
        <w:t xml:space="preserve"> </w:t>
      </w:r>
      <w:r>
        <w:t xml:space="preserve">IP used (§4) being a WSL-internal address instead of the host’s real</w:t>
      </w:r>
      <w:r>
        <w:t xml:space="preserve"> </w:t>
      </w:r>
      <w:r>
        <w:t xml:space="preserve">LAN IP.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wsl --shutdown</w:t>
      </w:r>
      <w:r>
        <w:rPr>
          <w:b/>
          <w:bCs/>
        </w:rPr>
        <w:t xml:space="preserve"> </w:t>
      </w:r>
      <w:r>
        <w:rPr>
          <w:b/>
          <w:bCs/>
        </w:rPr>
        <w:t xml:space="preserve">then restart</w:t>
      </w:r>
      <w:r>
        <w:t xml:space="preserve"> </w:t>
      </w:r>
      <w:r>
        <w:t xml:space="preserve">— if WSL’s networking gets into a</w:t>
      </w:r>
      <w:r>
        <w:t xml:space="preserve"> </w:t>
      </w:r>
      <w:r>
        <w:t xml:space="preserve">bad state (stale routes after the host’s IP changes, e.g. DHCP</w:t>
      </w:r>
      <w:r>
        <w:t xml:space="preserve"> </w:t>
      </w:r>
      <w:r>
        <w:t xml:space="preserve">renewal), a full WSL shutdown/restart from PowerShell</w:t>
      </w:r>
      <w:r>
        <w:t xml:space="preserve"> </w:t>
      </w:r>
      <w:r>
        <w:t xml:space="preserve">(</w:t>
      </w:r>
      <w:r>
        <w:rPr>
          <w:rStyle w:val="VerbatimChar"/>
        </w:rPr>
        <w:t xml:space="preserve">wsl --shutdown</w:t>
      </w:r>
      <w:r>
        <w:t xml:space="preserve">, then reopen the Debian terminal) resets it more</w:t>
      </w:r>
      <w:r>
        <w:t xml:space="preserve"> </w:t>
      </w:r>
      <w:r>
        <w:t xml:space="preserve">reliably than restarting just the distro.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Certificate errors from the provider</w:t>
      </w:r>
      <w:r>
        <w:t xml:space="preserve"> </w:t>
      </w:r>
      <w:r>
        <w:t xml:space="preserve">— expected with a</w:t>
      </w:r>
      <w:r>
        <w:t xml:space="preserve"> </w:t>
      </w:r>
      <w:r>
        <w:t xml:space="preserve">self-signed cert; the provider config’s</w:t>
      </w:r>
      <w:r>
        <w:t xml:space="preserve"> </w:t>
      </w:r>
      <w:r>
        <w:rPr>
          <w:rStyle w:val="VerbatimChar"/>
        </w:rPr>
        <w:t xml:space="preserve">insecure = true</w:t>
      </w:r>
      <w:r>
        <w:t xml:space="preserve"> </w:t>
      </w:r>
      <w:r>
        <w:t xml:space="preserve">(once</w:t>
      </w:r>
      <w:r>
        <w:t xml:space="preserve"> </w:t>
      </w:r>
      <w:r>
        <w:rPr>
          <w:rStyle w:val="VerbatimChar"/>
        </w:rPr>
        <w:t xml:space="preserve">tofu/backends/hyperv</w:t>
      </w:r>
      <w:r>
        <w:t xml:space="preserve"> </w:t>
      </w:r>
      <w:r>
        <w:t xml:space="preserve">exists) is what accepts that, matching the</w:t>
      </w:r>
      <w:r>
        <w:t xml:space="preserve"> </w:t>
      </w:r>
      <w:r>
        <w:t xml:space="preserve">reasoning Claude_Docs/Reference_Credentials.md §2 already documents for this exact</w:t>
      </w:r>
      <w:r>
        <w:t xml:space="preserve"> </w:t>
      </w:r>
      <w:r>
        <w:t xml:space="preserve">situation.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Install-OpenTofu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Install-OpenTofu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LABaPe v0.7.0: Install OpenTofu WSL</dc:title>
  <dc:creator/>
  <cp:keywords/>
  <dcterms:created xsi:type="dcterms:W3CDTF">2026-10-24T07:31:17Z</dcterms:created>
  <dcterms:modified xsi:type="dcterms:W3CDTF">2026-10-24T07:31:17Z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