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2935" w14:textId="77777777" w:rsidR="00EB3114" w:rsidRDefault="00EB311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079" w:type="dxa"/>
        <w:tblInd w:w="0" w:type="dxa"/>
        <w:tblLayout w:type="fixed"/>
        <w:tblLook w:val="0000" w:firstRow="0" w:lastRow="0" w:firstColumn="0" w:lastColumn="0" w:noHBand="0" w:noVBand="0"/>
      </w:tblPr>
      <w:tblGrid>
        <w:gridCol w:w="1619"/>
        <w:gridCol w:w="8460"/>
      </w:tblGrid>
      <w:tr w:rsidR="00EB3114" w14:paraId="5F59B776" w14:textId="77777777">
        <w:tc>
          <w:tcPr>
            <w:tcW w:w="1619" w:type="dxa"/>
            <w:tcMar>
              <w:top w:w="40" w:type="dxa"/>
              <w:left w:w="40" w:type="dxa"/>
              <w:bottom w:w="40" w:type="dxa"/>
              <w:right w:w="140" w:type="dxa"/>
            </w:tcMar>
          </w:tcPr>
          <w:p w14:paraId="5711DC26" w14:textId="77777777" w:rsidR="00EB3114" w:rsidRDefault="00000000">
            <w:pPr>
              <w:rPr>
                <w:color w:val="1A2A40"/>
                <w:sz w:val="48"/>
                <w:szCs w:val="48"/>
              </w:rPr>
            </w:pPr>
            <w:r>
              <w:rPr>
                <w:noProof/>
              </w:rPr>
              <w:drawing>
                <wp:inline distT="0" distB="0" distL="114300" distR="114300" wp14:anchorId="68345BF5" wp14:editId="3BB8C010">
                  <wp:extent cx="1104900" cy="11049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04900" cy="1104900"/>
                          </a:xfrm>
                          <a:prstGeom prst="rect">
                            <a:avLst/>
                          </a:prstGeom>
                          <a:ln/>
                        </pic:spPr>
                      </pic:pic>
                    </a:graphicData>
                  </a:graphic>
                </wp:inline>
              </w:drawing>
            </w:r>
          </w:p>
        </w:tc>
        <w:tc>
          <w:tcPr>
            <w:tcW w:w="8460" w:type="dxa"/>
          </w:tcPr>
          <w:p w14:paraId="63378E6C" w14:textId="77777777" w:rsidR="00EB3114" w:rsidRDefault="00000000">
            <w:pPr>
              <w:spacing w:after="60" w:line="276" w:lineRule="auto"/>
              <w:ind w:left="720"/>
              <w:rPr>
                <w:color w:val="1A2A40"/>
                <w:sz w:val="26"/>
                <w:szCs w:val="26"/>
              </w:rPr>
            </w:pPr>
            <w:r>
              <w:rPr>
                <w:b/>
                <w:bCs/>
                <w:color w:val="1A2A40"/>
                <w:sz w:val="62"/>
                <w:szCs w:val="62"/>
              </w:rPr>
              <w:t>Savanna Myer</w:t>
            </w:r>
            <w:r>
              <w:rPr>
                <w:i/>
                <w:iCs/>
                <w:color w:val="1A2A40"/>
                <w:sz w:val="26"/>
                <w:szCs w:val="26"/>
              </w:rPr>
              <w:br/>
            </w:r>
            <w:r>
              <w:rPr>
                <w:rFonts w:ascii="Century Gothic" w:eastAsia="Century Gothic" w:hAnsi="Century Gothic" w:cs="Century Gothic"/>
                <w:color w:val="2A9DB8"/>
              </w:rPr>
              <w:t xml:space="preserve">   Head of Security, Compliance &amp; Governance</w:t>
            </w:r>
          </w:p>
          <w:p w14:paraId="655F9F4C" w14:textId="46D26EC7" w:rsidR="00EB3114" w:rsidRDefault="00000000">
            <w:pPr>
              <w:spacing w:after="16" w:line="360" w:lineRule="auto"/>
              <w:ind w:left="720"/>
              <w:rPr>
                <w:rFonts w:ascii="Century Gothic" w:eastAsia="Century Gothic" w:hAnsi="Century Gothic" w:cs="Century Gothic"/>
                <w:color w:val="4A5568"/>
                <w:sz w:val="18"/>
                <w:szCs w:val="18"/>
              </w:rPr>
            </w:pPr>
            <w:r>
              <w:rPr>
                <w:rFonts w:ascii="Century Gothic" w:eastAsia="Century Gothic" w:hAnsi="Century Gothic" w:cs="Century Gothic"/>
                <w:color w:val="4A5568"/>
                <w:sz w:val="18"/>
                <w:szCs w:val="18"/>
              </w:rPr>
              <w:t xml:space="preserve">     Connecticut, United States  ·  Remote-first  ·  614-</w:t>
            </w:r>
            <w:r w:rsidR="00081CA4">
              <w:rPr>
                <w:rFonts w:ascii="Century Gothic" w:eastAsia="Century Gothic" w:hAnsi="Century Gothic" w:cs="Century Gothic"/>
                <w:color w:val="4A5568"/>
                <w:sz w:val="18"/>
                <w:szCs w:val="18"/>
              </w:rPr>
              <w:t>653-9066</w:t>
            </w:r>
          </w:p>
          <w:p w14:paraId="206F0D30" w14:textId="77777777" w:rsidR="00EB3114" w:rsidRDefault="00000000">
            <w:pPr>
              <w:spacing w:line="360" w:lineRule="auto"/>
              <w:ind w:left="720"/>
            </w:pPr>
            <w:r>
              <w:rPr>
                <w:rFonts w:ascii="Century Gothic" w:eastAsia="Century Gothic" w:hAnsi="Century Gothic" w:cs="Century Gothic"/>
                <w:color w:val="4A5568"/>
                <w:sz w:val="16"/>
                <w:szCs w:val="16"/>
              </w:rPr>
              <w:t xml:space="preserve">        savanna.myer@gmail.com  ·  </w:t>
            </w:r>
            <w:hyperlink r:id="rId8">
              <w:r w:rsidR="00EB3114">
                <w:rPr>
                  <w:rFonts w:ascii="Century Gothic" w:eastAsia="Century Gothic" w:hAnsi="Century Gothic" w:cs="Century Gothic"/>
                  <w:color w:val="2A9DB8"/>
                  <w:sz w:val="16"/>
                  <w:szCs w:val="16"/>
                  <w:u w:val="single"/>
                </w:rPr>
                <w:t>linkedin.com/in/savannamyer</w:t>
              </w:r>
            </w:hyperlink>
            <w:r>
              <w:rPr>
                <w:rFonts w:ascii="Century Gothic" w:eastAsia="Century Gothic" w:hAnsi="Century Gothic" w:cs="Century Gothic"/>
                <w:color w:val="4A5568"/>
                <w:sz w:val="16"/>
                <w:szCs w:val="16"/>
              </w:rPr>
              <w:t xml:space="preserve">  ·  </w:t>
            </w:r>
            <w:hyperlink r:id="rId9">
              <w:r w:rsidR="00EB3114">
                <w:rPr>
                  <w:rFonts w:ascii="Century Gothic" w:eastAsia="Century Gothic" w:hAnsi="Century Gothic" w:cs="Century Gothic"/>
                  <w:color w:val="2A9DB8"/>
                  <w:sz w:val="16"/>
                  <w:szCs w:val="16"/>
                  <w:u w:val="single"/>
                </w:rPr>
                <w:t>savanna.myersmiles.com</w:t>
              </w:r>
            </w:hyperlink>
          </w:p>
        </w:tc>
      </w:tr>
    </w:tbl>
    <w:p w14:paraId="0FE01F95" w14:textId="77777777" w:rsidR="00EB3114" w:rsidRDefault="00EB3114">
      <w:pPr>
        <w:spacing w:before="160" w:after="60"/>
        <w:rPr>
          <w:rFonts w:ascii="Century Gothic" w:eastAsia="Century Gothic" w:hAnsi="Century Gothic" w:cs="Century Gothic"/>
          <w:color w:val="1A4A7A"/>
          <w:sz w:val="18"/>
          <w:szCs w:val="18"/>
        </w:rPr>
      </w:pPr>
    </w:p>
    <w:p w14:paraId="24285852" w14:textId="77777777" w:rsidR="00EB3114" w:rsidRDefault="00000000">
      <w:pPr>
        <w:spacing w:before="160" w:after="60"/>
      </w:pPr>
      <w:r>
        <w:rPr>
          <w:rFonts w:ascii="Century Gothic" w:eastAsia="Century Gothic" w:hAnsi="Century Gothic" w:cs="Century Gothic"/>
          <w:color w:val="1A4A7A"/>
          <w:sz w:val="18"/>
          <w:szCs w:val="18"/>
        </w:rPr>
        <w:t>PROFESSIONAL SUMMARY</w:t>
      </w:r>
    </w:p>
    <w:p w14:paraId="3AD0F650" w14:textId="77777777" w:rsidR="00EB3114" w:rsidRDefault="00EB3114">
      <w:pPr>
        <w:pBdr>
          <w:top w:val="none" w:sz="0" w:space="0" w:color="000000"/>
          <w:left w:val="none" w:sz="0" w:space="0" w:color="000000"/>
          <w:bottom w:val="single" w:sz="4" w:space="1" w:color="1A4A7A"/>
          <w:right w:val="none" w:sz="0" w:space="0" w:color="000000"/>
        </w:pBdr>
        <w:spacing w:after="100"/>
      </w:pPr>
    </w:p>
    <w:p w14:paraId="7D864190" w14:textId="77777777" w:rsidR="00EB3114" w:rsidRDefault="00000000">
      <w:pPr>
        <w:spacing w:after="140"/>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     </w:t>
      </w:r>
      <w:r>
        <w:rPr>
          <w:rFonts w:ascii="Century Gothic" w:eastAsia="Century Gothic" w:hAnsi="Century Gothic" w:cs="Century Gothic"/>
          <w:sz w:val="18"/>
          <w:szCs w:val="18"/>
        </w:rPr>
        <w:br/>
        <w:t>Throughout my career I have seen many compliance programs that have failed. One thing these programs all have in common is they are built around frameworks rather than around the humans operating within them. Over 13 years, I have built three zero-to-one compliance programs (Elastic, People.ai, Rubrik), grown a certification portfolio from 3 to 13 globally recognized standards, and unlocked over $1B in regulated market access, all while compressing audit cycles from 12 months to 3 and reducing burden on teams like Engineering and Information Security by 95%. At Rubrik, I carried the program through a NYSE IPO (April 2024), integrated three acquisitions with zero certification gaps, and rebuilt Customer Trust, a function I have owned since working at Elastic, from the ground up to ensure alignment with the company strategy and goals.</w:t>
      </w:r>
      <w:r>
        <w:rPr>
          <w:rFonts w:ascii="Century Gothic" w:eastAsia="Century Gothic" w:hAnsi="Century Gothic" w:cs="Century Gothic"/>
          <w:sz w:val="18"/>
          <w:szCs w:val="18"/>
        </w:rPr>
        <w:br/>
      </w:r>
    </w:p>
    <w:p w14:paraId="228E1DBC" w14:textId="77777777" w:rsidR="00EB3114" w:rsidRDefault="00000000">
      <w:pPr>
        <w:spacing w:after="140"/>
        <w:rPr>
          <w:rFonts w:ascii="Century Gothic" w:eastAsia="Century Gothic" w:hAnsi="Century Gothic" w:cs="Century Gothic"/>
          <w:sz w:val="18"/>
          <w:szCs w:val="18"/>
        </w:rPr>
      </w:pPr>
      <w:r>
        <w:rPr>
          <w:rFonts w:ascii="Century Gothic" w:eastAsia="Century Gothic" w:hAnsi="Century Gothic" w:cs="Century Gothic"/>
          <w:sz w:val="18"/>
          <w:szCs w:val="18"/>
        </w:rPr>
        <w:t>My Coordinated Compliance methodology treats evidence as a shared asset: collected once, routed to every framework simultaneously. Ask the team once. The answer travels.  Through automation of requests ensuring evidence is collected throughout the year, rather than just in one huge batch, provides a continuous view of the organizations compliance and security postures.</w:t>
      </w:r>
    </w:p>
    <w:p w14:paraId="411788D8" w14:textId="77777777" w:rsidR="00EB3114" w:rsidRDefault="00000000">
      <w:pPr>
        <w:spacing w:after="140"/>
      </w:pPr>
      <w:r>
        <w:rPr>
          <w:rFonts w:ascii="Century Gothic" w:eastAsia="Century Gothic" w:hAnsi="Century Gothic" w:cs="Century Gothic"/>
          <w:sz w:val="18"/>
          <w:szCs w:val="18"/>
        </w:rPr>
        <w:t>Three graduate degrees in Information Systems, Forensic Psychology, and Crime Analysis give me a lens no standard compliance leader carries: I read a compliance program the way a crime analyst reads a system under pressure, identifying structural failures before they surface in an audit and provide real suggestions to ensure ongoing compliance where needed.</w:t>
      </w:r>
    </w:p>
    <w:p w14:paraId="3EE98E40" w14:textId="77777777" w:rsidR="00EB3114" w:rsidRDefault="00EB3114">
      <w:pPr>
        <w:spacing w:after="100"/>
      </w:pPr>
    </w:p>
    <w:tbl>
      <w:tblPr>
        <w:tblStyle w:val="a0"/>
        <w:tblW w:w="10080" w:type="dxa"/>
        <w:tblInd w:w="0" w:type="dxa"/>
        <w:tblLayout w:type="fixed"/>
        <w:tblLook w:val="0000" w:firstRow="0" w:lastRow="0" w:firstColumn="0" w:lastColumn="0" w:noHBand="0" w:noVBand="0"/>
      </w:tblPr>
      <w:tblGrid>
        <w:gridCol w:w="3360"/>
        <w:gridCol w:w="3360"/>
        <w:gridCol w:w="3360"/>
      </w:tblGrid>
      <w:tr w:rsidR="00EB3114" w14:paraId="4050EA6B" w14:textId="77777777">
        <w:tc>
          <w:tcPr>
            <w:tcW w:w="3360" w:type="dxa"/>
            <w:tcBorders>
              <w:bottom w:val="single" w:sz="4" w:space="0" w:color="2A9DB8"/>
            </w:tcBorders>
            <w:shd w:val="clear" w:color="auto" w:fill="FFFFFF"/>
          </w:tcPr>
          <w:p w14:paraId="2103078A"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2A9DB8"/>
                <w:sz w:val="36"/>
                <w:szCs w:val="36"/>
              </w:rPr>
              <w:t>$1B+</w:t>
            </w:r>
          </w:p>
          <w:p w14:paraId="0C450E41"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Market access unlocked</w:t>
            </w:r>
          </w:p>
        </w:tc>
        <w:tc>
          <w:tcPr>
            <w:tcW w:w="3360" w:type="dxa"/>
            <w:tcBorders>
              <w:bottom w:val="single" w:sz="4" w:space="0" w:color="2E8B57"/>
            </w:tcBorders>
            <w:shd w:val="clear" w:color="auto" w:fill="FFFFFF"/>
          </w:tcPr>
          <w:p w14:paraId="50409447"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2E8B57"/>
                <w:sz w:val="36"/>
                <w:szCs w:val="36"/>
              </w:rPr>
              <w:t>3→13</w:t>
            </w:r>
          </w:p>
          <w:p w14:paraId="58853844" w14:textId="77777777" w:rsidR="00EB3114" w:rsidRDefault="00000000">
            <w:pPr>
              <w:spacing w:after="100"/>
              <w:jc w:val="center"/>
              <w:rPr>
                <w:i/>
                <w:iCs/>
                <w:sz w:val="22"/>
                <w:szCs w:val="22"/>
              </w:rPr>
            </w:pPr>
            <w:r>
              <w:rPr>
                <w:rFonts w:ascii="Century Gothic" w:eastAsia="Century Gothic" w:hAnsi="Century Gothic" w:cs="Century Gothic"/>
                <w:color w:val="4A5568"/>
                <w:sz w:val="22"/>
                <w:szCs w:val="22"/>
              </w:rPr>
              <w:t>Certifications</w:t>
            </w:r>
            <w:r>
              <w:rPr>
                <w:rFonts w:ascii="Century Gothic" w:eastAsia="Century Gothic" w:hAnsi="Century Gothic" w:cs="Century Gothic"/>
                <w:i/>
                <w:iCs/>
                <w:color w:val="4A5568"/>
                <w:sz w:val="22"/>
                <w:szCs w:val="22"/>
              </w:rPr>
              <w:t xml:space="preserve"> annually</w:t>
            </w:r>
          </w:p>
        </w:tc>
        <w:tc>
          <w:tcPr>
            <w:tcW w:w="3360" w:type="dxa"/>
            <w:tcBorders>
              <w:bottom w:val="single" w:sz="4" w:space="0" w:color="1A4A7A"/>
            </w:tcBorders>
            <w:shd w:val="clear" w:color="auto" w:fill="FFFFFF"/>
          </w:tcPr>
          <w:p w14:paraId="09CC65B1"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1A4A7A"/>
                <w:sz w:val="36"/>
                <w:szCs w:val="36"/>
              </w:rPr>
              <w:t>22+</w:t>
            </w:r>
          </w:p>
          <w:p w14:paraId="0165FABE"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Active global standards</w:t>
            </w:r>
          </w:p>
        </w:tc>
      </w:tr>
      <w:tr w:rsidR="00EB3114" w14:paraId="1D1531F1" w14:textId="77777777">
        <w:tc>
          <w:tcPr>
            <w:tcW w:w="3360" w:type="dxa"/>
            <w:tcBorders>
              <w:bottom w:val="single" w:sz="4" w:space="0" w:color="2E8B57"/>
            </w:tcBorders>
            <w:shd w:val="clear" w:color="auto" w:fill="FFFFFF"/>
          </w:tcPr>
          <w:p w14:paraId="7B3DE8D4"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2E8B57"/>
                <w:sz w:val="36"/>
                <w:szCs w:val="36"/>
              </w:rPr>
              <w:br/>
              <w:t>95%</w:t>
            </w:r>
          </w:p>
          <w:p w14:paraId="111A1025"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Engineering burden reduced</w:t>
            </w:r>
          </w:p>
        </w:tc>
        <w:tc>
          <w:tcPr>
            <w:tcW w:w="3360" w:type="dxa"/>
            <w:tcBorders>
              <w:bottom w:val="single" w:sz="4" w:space="0" w:color="8C5C0A"/>
            </w:tcBorders>
            <w:shd w:val="clear" w:color="auto" w:fill="FFFFFF"/>
          </w:tcPr>
          <w:p w14:paraId="2FEA0A1F"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8C5C0A"/>
                <w:sz w:val="36"/>
                <w:szCs w:val="36"/>
              </w:rPr>
              <w:br/>
              <w:t>75%</w:t>
            </w:r>
          </w:p>
          <w:p w14:paraId="40932752"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Faster audit cycles</w:t>
            </w:r>
          </w:p>
        </w:tc>
        <w:tc>
          <w:tcPr>
            <w:tcW w:w="3360" w:type="dxa"/>
            <w:tcBorders>
              <w:bottom w:val="single" w:sz="4" w:space="0" w:color="2A3A52"/>
            </w:tcBorders>
            <w:shd w:val="clear" w:color="auto" w:fill="FFFFFF"/>
          </w:tcPr>
          <w:p w14:paraId="68584962" w14:textId="77777777" w:rsidR="00EB3114" w:rsidRDefault="00000000">
            <w:pPr>
              <w:spacing w:after="16"/>
              <w:jc w:val="center"/>
              <w:rPr>
                <w:rFonts w:ascii="Century Gothic" w:eastAsia="Century Gothic" w:hAnsi="Century Gothic" w:cs="Century Gothic"/>
                <w:color w:val="4A5568"/>
                <w:sz w:val="36"/>
                <w:szCs w:val="36"/>
              </w:rPr>
            </w:pPr>
            <w:r>
              <w:rPr>
                <w:rFonts w:ascii="Century Gothic" w:eastAsia="Century Gothic" w:hAnsi="Century Gothic" w:cs="Century Gothic"/>
                <w:b/>
                <w:bCs/>
                <w:color w:val="2A3A52"/>
                <w:sz w:val="36"/>
                <w:szCs w:val="36"/>
              </w:rPr>
              <w:br/>
              <w:t>0</w:t>
            </w:r>
          </w:p>
          <w:p w14:paraId="1E041137" w14:textId="77777777" w:rsidR="00EB3114" w:rsidRDefault="00000000">
            <w:pPr>
              <w:spacing w:after="100"/>
              <w:jc w:val="center"/>
              <w:rPr>
                <w:sz w:val="22"/>
                <w:szCs w:val="22"/>
              </w:rPr>
            </w:pPr>
            <w:r>
              <w:rPr>
                <w:rFonts w:ascii="Century Gothic" w:eastAsia="Century Gothic" w:hAnsi="Century Gothic" w:cs="Century Gothic"/>
                <w:color w:val="4A5568"/>
                <w:sz w:val="22"/>
                <w:szCs w:val="22"/>
              </w:rPr>
              <w:t>M&amp;A compliance gaps</w:t>
            </w:r>
          </w:p>
        </w:tc>
      </w:tr>
    </w:tbl>
    <w:p w14:paraId="51299E8D" w14:textId="77777777" w:rsidR="00EB3114" w:rsidRDefault="00000000">
      <w:pPr>
        <w:spacing w:before="20" w:after="40" w:line="360" w:lineRule="auto"/>
        <w:rPr>
          <w:color w:val="1A2A40"/>
          <w:sz w:val="30"/>
          <w:szCs w:val="30"/>
        </w:rPr>
      </w:pPr>
      <w:r>
        <w:rPr>
          <w:i/>
          <w:iCs/>
          <w:color w:val="1A2A40"/>
          <w:sz w:val="30"/>
          <w:szCs w:val="30"/>
        </w:rPr>
        <w:t xml:space="preserve">   </w:t>
      </w:r>
    </w:p>
    <w:p w14:paraId="44B4634F" w14:textId="77777777" w:rsidR="00EB3114" w:rsidRDefault="00000000">
      <w:pPr>
        <w:spacing w:before="20" w:after="40" w:line="360" w:lineRule="auto"/>
        <w:jc w:val="center"/>
        <w:rPr>
          <w:rFonts w:ascii="Century Gothic" w:eastAsia="Century Gothic" w:hAnsi="Century Gothic" w:cs="Century Gothic"/>
          <w:color w:val="2A9DB8"/>
        </w:rPr>
      </w:pPr>
      <w:r>
        <w:rPr>
          <w:i/>
          <w:iCs/>
          <w:color w:val="1A2A40"/>
          <w:sz w:val="30"/>
          <w:szCs w:val="30"/>
        </w:rPr>
        <w:t>‘I help teams see the compliance work they are already doing.’</w:t>
      </w:r>
    </w:p>
    <w:p w14:paraId="5752B09A" w14:textId="77777777" w:rsidR="00EB3114" w:rsidRDefault="00EB3114">
      <w:pPr>
        <w:pageBreakBefore/>
        <w:spacing w:after="100"/>
      </w:pPr>
    </w:p>
    <w:p w14:paraId="1A4DFB29"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INDEX</w:t>
      </w:r>
    </w:p>
    <w:p w14:paraId="3CA906FF"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3B7E39D5" w14:textId="77777777" w:rsidR="00EB3114" w:rsidRDefault="00EB3114">
      <w:pPr>
        <w:spacing w:after="100"/>
      </w:pPr>
    </w:p>
    <w:tbl>
      <w:tblPr>
        <w:tblStyle w:val="a1"/>
        <w:tblW w:w="10079" w:type="dxa"/>
        <w:tblInd w:w="0" w:type="dxa"/>
        <w:tblLayout w:type="fixed"/>
        <w:tblLook w:val="0000" w:firstRow="0" w:lastRow="0" w:firstColumn="0" w:lastColumn="0" w:noHBand="0" w:noVBand="0"/>
      </w:tblPr>
      <w:tblGrid>
        <w:gridCol w:w="4879"/>
        <w:gridCol w:w="5200"/>
      </w:tblGrid>
      <w:tr w:rsidR="00EB3114" w:rsidRPr="00081CA4" w14:paraId="0A86577D" w14:textId="77777777">
        <w:tc>
          <w:tcPr>
            <w:tcW w:w="4879" w:type="dxa"/>
            <w:tcBorders>
              <w:bottom w:val="dotted" w:sz="4" w:space="0" w:color="D0D8E4"/>
            </w:tcBorders>
          </w:tcPr>
          <w:p w14:paraId="747D6802" w14:textId="77777777" w:rsidR="00EB3114" w:rsidRDefault="00000000">
            <w:pPr>
              <w:tabs>
                <w:tab w:val="right" w:pos="4800"/>
              </w:tabs>
              <w:rPr>
                <w:sz w:val="26"/>
                <w:szCs w:val="26"/>
              </w:rPr>
            </w:pPr>
            <w:r>
              <w:rPr>
                <w:rFonts w:ascii="Century Gothic" w:eastAsia="Century Gothic" w:hAnsi="Century Gothic" w:cs="Century Gothic"/>
                <w:sz w:val="22"/>
                <w:szCs w:val="22"/>
              </w:rPr>
              <w:t>Professional Summary &amp; KPI Overview</w:t>
            </w:r>
            <w:r>
              <w:rPr>
                <w:rFonts w:ascii="Century Gothic" w:eastAsia="Century Gothic" w:hAnsi="Century Gothic" w:cs="Century Gothic"/>
                <w:color w:val="2A9DB8"/>
              </w:rPr>
              <w:tab/>
              <w:t>P. 1</w:t>
            </w:r>
          </w:p>
        </w:tc>
        <w:tc>
          <w:tcPr>
            <w:tcW w:w="5200" w:type="dxa"/>
            <w:tcBorders>
              <w:bottom w:val="dotted" w:sz="4" w:space="0" w:color="D0D8E4"/>
            </w:tcBorders>
          </w:tcPr>
          <w:p w14:paraId="0A0C0772" w14:textId="77777777" w:rsidR="00EB3114" w:rsidRPr="002972D5" w:rsidRDefault="00000000">
            <w:pPr>
              <w:tabs>
                <w:tab w:val="right" w:pos="5120"/>
              </w:tabs>
              <w:rPr>
                <w:sz w:val="26"/>
                <w:szCs w:val="26"/>
                <w:lang w:val="fr-FR"/>
              </w:rPr>
            </w:pPr>
            <w:r w:rsidRPr="002972D5">
              <w:rPr>
                <w:rFonts w:ascii="Century Gothic" w:eastAsia="Century Gothic" w:hAnsi="Century Gothic" w:cs="Century Gothic"/>
                <w:sz w:val="22"/>
                <w:szCs w:val="22"/>
                <w:lang w:val="fr-FR"/>
              </w:rPr>
              <w:t>Compliance Culture &amp; Change Mgmt.</w:t>
            </w:r>
            <w:r w:rsidRPr="002972D5">
              <w:rPr>
                <w:rFonts w:ascii="Century Gothic" w:eastAsia="Century Gothic" w:hAnsi="Century Gothic" w:cs="Century Gothic"/>
                <w:color w:val="2A9DB8"/>
                <w:lang w:val="fr-FR"/>
              </w:rPr>
              <w:tab/>
              <w:t>P. 15</w:t>
            </w:r>
          </w:p>
        </w:tc>
      </w:tr>
      <w:tr w:rsidR="00EB3114" w14:paraId="6F9208C9" w14:textId="77777777">
        <w:tc>
          <w:tcPr>
            <w:tcW w:w="4879" w:type="dxa"/>
            <w:tcBorders>
              <w:bottom w:val="dotted" w:sz="4" w:space="0" w:color="D0D8E4"/>
            </w:tcBorders>
          </w:tcPr>
          <w:p w14:paraId="5ED71D4A" w14:textId="77777777" w:rsidR="00EB3114" w:rsidRDefault="00000000">
            <w:pPr>
              <w:tabs>
                <w:tab w:val="right" w:pos="4800"/>
              </w:tabs>
              <w:rPr>
                <w:sz w:val="26"/>
                <w:szCs w:val="26"/>
              </w:rPr>
            </w:pPr>
            <w:r>
              <w:rPr>
                <w:rFonts w:ascii="Century Gothic" w:eastAsia="Century Gothic" w:hAnsi="Century Gothic" w:cs="Century Gothic"/>
                <w:sz w:val="22"/>
                <w:szCs w:val="22"/>
              </w:rPr>
              <w:t>Index</w:t>
            </w:r>
            <w:r>
              <w:rPr>
                <w:rFonts w:ascii="Century Gothic" w:eastAsia="Century Gothic" w:hAnsi="Century Gothic" w:cs="Century Gothic"/>
                <w:color w:val="2A9DB8"/>
              </w:rPr>
              <w:tab/>
              <w:t>P. 2</w:t>
            </w:r>
          </w:p>
        </w:tc>
        <w:tc>
          <w:tcPr>
            <w:tcW w:w="5200" w:type="dxa"/>
            <w:tcBorders>
              <w:bottom w:val="dotted" w:sz="4" w:space="0" w:color="D0D8E4"/>
            </w:tcBorders>
          </w:tcPr>
          <w:p w14:paraId="7D8B99A3" w14:textId="77777777" w:rsidR="00EB3114" w:rsidRDefault="00000000">
            <w:pPr>
              <w:tabs>
                <w:tab w:val="right" w:pos="5120"/>
              </w:tabs>
              <w:rPr>
                <w:sz w:val="26"/>
                <w:szCs w:val="26"/>
              </w:rPr>
            </w:pPr>
            <w:r>
              <w:rPr>
                <w:rFonts w:ascii="Century Gothic" w:eastAsia="Century Gothic" w:hAnsi="Century Gothic" w:cs="Century Gothic"/>
                <w:sz w:val="22"/>
                <w:szCs w:val="22"/>
              </w:rPr>
              <w:t>Client &amp; Industry Experience</w:t>
            </w:r>
            <w:r>
              <w:rPr>
                <w:rFonts w:ascii="Century Gothic" w:eastAsia="Century Gothic" w:hAnsi="Century Gothic" w:cs="Century Gothic"/>
                <w:color w:val="2A9DB8"/>
              </w:rPr>
              <w:tab/>
              <w:t>P. 16</w:t>
            </w:r>
          </w:p>
        </w:tc>
      </w:tr>
      <w:tr w:rsidR="00EB3114" w14:paraId="307560CC" w14:textId="77777777">
        <w:tc>
          <w:tcPr>
            <w:tcW w:w="4879" w:type="dxa"/>
            <w:tcBorders>
              <w:bottom w:val="dotted" w:sz="4" w:space="0" w:color="D0D8E4"/>
            </w:tcBorders>
          </w:tcPr>
          <w:p w14:paraId="5067E98D" w14:textId="77777777" w:rsidR="00EB3114" w:rsidRDefault="00000000">
            <w:pPr>
              <w:tabs>
                <w:tab w:val="right" w:pos="4800"/>
              </w:tabs>
              <w:rPr>
                <w:sz w:val="26"/>
                <w:szCs w:val="26"/>
              </w:rPr>
            </w:pPr>
            <w:r>
              <w:rPr>
                <w:rFonts w:ascii="Century Gothic" w:eastAsia="Century Gothic" w:hAnsi="Century Gothic" w:cs="Century Gothic"/>
                <w:sz w:val="22"/>
                <w:szCs w:val="22"/>
              </w:rPr>
              <w:t>Core Competencies (10 domains)</w:t>
            </w:r>
            <w:r>
              <w:rPr>
                <w:rFonts w:ascii="Century Gothic" w:eastAsia="Century Gothic" w:hAnsi="Century Gothic" w:cs="Century Gothic"/>
                <w:color w:val="2A9DB8"/>
              </w:rPr>
              <w:tab/>
              <w:t>P. 3</w:t>
            </w:r>
          </w:p>
        </w:tc>
        <w:tc>
          <w:tcPr>
            <w:tcW w:w="5200" w:type="dxa"/>
            <w:tcBorders>
              <w:bottom w:val="dotted" w:sz="4" w:space="0" w:color="D0D8E4"/>
            </w:tcBorders>
          </w:tcPr>
          <w:p w14:paraId="3D779AAB" w14:textId="77777777" w:rsidR="00EB3114" w:rsidRDefault="00000000">
            <w:pPr>
              <w:tabs>
                <w:tab w:val="right" w:pos="5120"/>
              </w:tabs>
              <w:rPr>
                <w:sz w:val="26"/>
                <w:szCs w:val="26"/>
              </w:rPr>
            </w:pPr>
            <w:r>
              <w:rPr>
                <w:rFonts w:ascii="Century Gothic" w:eastAsia="Century Gothic" w:hAnsi="Century Gothic" w:cs="Century Gothic"/>
                <w:sz w:val="22"/>
                <w:szCs w:val="22"/>
              </w:rPr>
              <w:t>Coordinated Compliance Methodology</w:t>
            </w:r>
            <w:r>
              <w:rPr>
                <w:rFonts w:ascii="Century Gothic" w:eastAsia="Century Gothic" w:hAnsi="Century Gothic" w:cs="Century Gothic"/>
                <w:color w:val="2A9DB8"/>
              </w:rPr>
              <w:tab/>
              <w:t>P. 16-17</w:t>
            </w:r>
          </w:p>
        </w:tc>
      </w:tr>
      <w:tr w:rsidR="00EB3114" w14:paraId="1D27D932" w14:textId="77777777">
        <w:tc>
          <w:tcPr>
            <w:tcW w:w="4879" w:type="dxa"/>
            <w:tcBorders>
              <w:bottom w:val="dotted" w:sz="4" w:space="0" w:color="D0D8E4"/>
            </w:tcBorders>
          </w:tcPr>
          <w:p w14:paraId="220F4150" w14:textId="77777777" w:rsidR="00EB3114" w:rsidRDefault="00000000">
            <w:pPr>
              <w:tabs>
                <w:tab w:val="right" w:pos="4800"/>
              </w:tabs>
              <w:rPr>
                <w:sz w:val="26"/>
                <w:szCs w:val="26"/>
              </w:rPr>
            </w:pPr>
            <w:r>
              <w:rPr>
                <w:rFonts w:ascii="Century Gothic" w:eastAsia="Century Gothic" w:hAnsi="Century Gothic" w:cs="Century Gothic"/>
                <w:sz w:val="22"/>
                <w:szCs w:val="22"/>
              </w:rPr>
              <w:t>Certification Portfolio (22 standards)</w:t>
            </w:r>
            <w:r>
              <w:rPr>
                <w:rFonts w:ascii="Century Gothic" w:eastAsia="Century Gothic" w:hAnsi="Century Gothic" w:cs="Century Gothic"/>
                <w:color w:val="2A9DB8"/>
              </w:rPr>
              <w:tab/>
              <w:t>P. 4</w:t>
            </w:r>
          </w:p>
        </w:tc>
        <w:tc>
          <w:tcPr>
            <w:tcW w:w="5200" w:type="dxa"/>
            <w:tcBorders>
              <w:bottom w:val="dotted" w:sz="4" w:space="0" w:color="D0D8E4"/>
            </w:tcBorders>
          </w:tcPr>
          <w:p w14:paraId="3E494D50" w14:textId="77777777" w:rsidR="00EB3114" w:rsidRDefault="00000000">
            <w:pPr>
              <w:tabs>
                <w:tab w:val="right" w:pos="5120"/>
              </w:tabs>
              <w:rPr>
                <w:sz w:val="26"/>
                <w:szCs w:val="26"/>
              </w:rPr>
            </w:pPr>
            <w:r>
              <w:rPr>
                <w:rFonts w:ascii="Century Gothic" w:eastAsia="Century Gothic" w:hAnsi="Century Gothic" w:cs="Century Gothic"/>
                <w:sz w:val="22"/>
                <w:szCs w:val="22"/>
              </w:rPr>
              <w:t>Global Market Access</w:t>
            </w:r>
            <w:r>
              <w:rPr>
                <w:rFonts w:ascii="Century Gothic" w:eastAsia="Century Gothic" w:hAnsi="Century Gothic" w:cs="Century Gothic"/>
                <w:color w:val="2A9DB8"/>
              </w:rPr>
              <w:tab/>
              <w:t>P. 17-18</w:t>
            </w:r>
          </w:p>
        </w:tc>
      </w:tr>
      <w:tr w:rsidR="00EB3114" w14:paraId="4ABC9C41" w14:textId="77777777">
        <w:tc>
          <w:tcPr>
            <w:tcW w:w="4879" w:type="dxa"/>
            <w:tcBorders>
              <w:bottom w:val="dotted" w:sz="4" w:space="0" w:color="D0D8E4"/>
            </w:tcBorders>
          </w:tcPr>
          <w:p w14:paraId="1CC4128E" w14:textId="77777777" w:rsidR="00EB3114" w:rsidRDefault="00000000">
            <w:pPr>
              <w:tabs>
                <w:tab w:val="right" w:pos="4800"/>
              </w:tabs>
              <w:rPr>
                <w:sz w:val="26"/>
                <w:szCs w:val="26"/>
              </w:rPr>
            </w:pPr>
            <w:r>
              <w:rPr>
                <w:rFonts w:ascii="Century Gothic" w:eastAsia="Century Gothic" w:hAnsi="Century Gothic" w:cs="Century Gothic"/>
                <w:sz w:val="22"/>
                <w:szCs w:val="22"/>
              </w:rPr>
              <w:t>Career Overview: Three Arcs</w:t>
            </w:r>
            <w:r>
              <w:rPr>
                <w:rFonts w:ascii="Century Gothic" w:eastAsia="Century Gothic" w:hAnsi="Century Gothic" w:cs="Century Gothic"/>
                <w:color w:val="2A9DB8"/>
              </w:rPr>
              <w:tab/>
              <w:t>P. 5</w:t>
            </w:r>
          </w:p>
        </w:tc>
        <w:tc>
          <w:tcPr>
            <w:tcW w:w="5200" w:type="dxa"/>
            <w:tcBorders>
              <w:bottom w:val="dotted" w:sz="4" w:space="0" w:color="D0D8E4"/>
            </w:tcBorders>
          </w:tcPr>
          <w:p w14:paraId="29089EB0" w14:textId="77777777" w:rsidR="00EB3114" w:rsidRDefault="00000000">
            <w:pPr>
              <w:tabs>
                <w:tab w:val="right" w:pos="5120"/>
              </w:tabs>
              <w:rPr>
                <w:sz w:val="26"/>
                <w:szCs w:val="26"/>
              </w:rPr>
            </w:pPr>
            <w:r>
              <w:rPr>
                <w:rFonts w:ascii="Century Gothic" w:eastAsia="Century Gothic" w:hAnsi="Century Gothic" w:cs="Century Gothic"/>
                <w:sz w:val="22"/>
                <w:szCs w:val="22"/>
              </w:rPr>
              <w:t>Technology &amp; Tool Proficiency</w:t>
            </w:r>
            <w:r>
              <w:rPr>
                <w:rFonts w:ascii="Century Gothic" w:eastAsia="Century Gothic" w:hAnsi="Century Gothic" w:cs="Century Gothic"/>
                <w:color w:val="2A9DB8"/>
              </w:rPr>
              <w:tab/>
              <w:t>P. 18</w:t>
            </w:r>
          </w:p>
        </w:tc>
      </w:tr>
      <w:tr w:rsidR="00EB3114" w14:paraId="12B218F6" w14:textId="77777777">
        <w:tc>
          <w:tcPr>
            <w:tcW w:w="4879" w:type="dxa"/>
            <w:tcBorders>
              <w:bottom w:val="dotted" w:sz="4" w:space="0" w:color="D0D8E4"/>
            </w:tcBorders>
          </w:tcPr>
          <w:p w14:paraId="40C34D0B" w14:textId="77777777" w:rsidR="00EB3114" w:rsidRDefault="00000000">
            <w:pPr>
              <w:tabs>
                <w:tab w:val="right" w:pos="4800"/>
              </w:tabs>
              <w:rPr>
                <w:sz w:val="26"/>
                <w:szCs w:val="26"/>
              </w:rPr>
            </w:pPr>
            <w:r>
              <w:rPr>
                <w:rFonts w:ascii="Century Gothic" w:eastAsia="Century Gothic" w:hAnsi="Century Gothic" w:cs="Century Gothic"/>
                <w:sz w:val="22"/>
                <w:szCs w:val="22"/>
              </w:rPr>
              <w:t>Career: Rubrik, Inc.</w:t>
            </w:r>
            <w:r>
              <w:rPr>
                <w:rFonts w:ascii="Century Gothic" w:eastAsia="Century Gothic" w:hAnsi="Century Gothic" w:cs="Century Gothic"/>
                <w:color w:val="2A9DB8"/>
              </w:rPr>
              <w:tab/>
              <w:t>P. 6</w:t>
            </w:r>
          </w:p>
        </w:tc>
        <w:tc>
          <w:tcPr>
            <w:tcW w:w="5200" w:type="dxa"/>
            <w:tcBorders>
              <w:bottom w:val="dotted" w:sz="4" w:space="0" w:color="D0D8E4"/>
            </w:tcBorders>
          </w:tcPr>
          <w:p w14:paraId="1F6F7A43" w14:textId="77777777" w:rsidR="00EB3114" w:rsidRDefault="00000000">
            <w:pPr>
              <w:tabs>
                <w:tab w:val="right" w:pos="5120"/>
              </w:tabs>
              <w:rPr>
                <w:sz w:val="26"/>
                <w:szCs w:val="26"/>
              </w:rPr>
            </w:pPr>
            <w:r>
              <w:rPr>
                <w:rFonts w:ascii="Century Gothic" w:eastAsia="Century Gothic" w:hAnsi="Century Gothic" w:cs="Century Gothic"/>
                <w:sz w:val="22"/>
                <w:szCs w:val="22"/>
              </w:rPr>
              <w:t>Professional Development</w:t>
            </w:r>
            <w:r>
              <w:rPr>
                <w:rFonts w:ascii="Century Gothic" w:eastAsia="Century Gothic" w:hAnsi="Century Gothic" w:cs="Century Gothic"/>
                <w:color w:val="2A9DB8"/>
              </w:rPr>
              <w:tab/>
              <w:t>P. 19</w:t>
            </w:r>
          </w:p>
        </w:tc>
      </w:tr>
      <w:tr w:rsidR="00EB3114" w14:paraId="37A40B6C" w14:textId="77777777">
        <w:tc>
          <w:tcPr>
            <w:tcW w:w="4879" w:type="dxa"/>
            <w:tcBorders>
              <w:bottom w:val="dotted" w:sz="4" w:space="0" w:color="D0D8E4"/>
            </w:tcBorders>
          </w:tcPr>
          <w:p w14:paraId="557446D2" w14:textId="77777777" w:rsidR="00EB3114" w:rsidRDefault="00000000">
            <w:pPr>
              <w:tabs>
                <w:tab w:val="right" w:pos="4800"/>
              </w:tabs>
              <w:rPr>
                <w:sz w:val="26"/>
                <w:szCs w:val="26"/>
              </w:rPr>
            </w:pPr>
            <w:r>
              <w:rPr>
                <w:rFonts w:ascii="Century Gothic" w:eastAsia="Century Gothic" w:hAnsi="Century Gothic" w:cs="Century Gothic"/>
                <w:sz w:val="22"/>
                <w:szCs w:val="22"/>
              </w:rPr>
              <w:t>Career: People.ai + Elastic</w:t>
            </w:r>
            <w:r>
              <w:rPr>
                <w:rFonts w:ascii="Century Gothic" w:eastAsia="Century Gothic" w:hAnsi="Century Gothic" w:cs="Century Gothic"/>
                <w:color w:val="2A9DB8"/>
              </w:rPr>
              <w:tab/>
              <w:t>P. 7-8</w:t>
            </w:r>
          </w:p>
        </w:tc>
        <w:tc>
          <w:tcPr>
            <w:tcW w:w="5200" w:type="dxa"/>
            <w:tcBorders>
              <w:bottom w:val="dotted" w:sz="4" w:space="0" w:color="D0D8E4"/>
            </w:tcBorders>
          </w:tcPr>
          <w:p w14:paraId="68CDBBA1" w14:textId="77777777" w:rsidR="00EB3114" w:rsidRDefault="00000000">
            <w:pPr>
              <w:tabs>
                <w:tab w:val="right" w:pos="5120"/>
              </w:tabs>
              <w:rPr>
                <w:sz w:val="26"/>
                <w:szCs w:val="26"/>
              </w:rPr>
            </w:pPr>
            <w:r>
              <w:rPr>
                <w:rFonts w:ascii="Century Gothic" w:eastAsia="Century Gothic" w:hAnsi="Century Gothic" w:cs="Century Gothic"/>
                <w:sz w:val="22"/>
                <w:szCs w:val="22"/>
              </w:rPr>
              <w:t>Professional Memberships</w:t>
            </w:r>
            <w:r>
              <w:rPr>
                <w:rFonts w:ascii="Century Gothic" w:eastAsia="Century Gothic" w:hAnsi="Century Gothic" w:cs="Century Gothic"/>
                <w:color w:val="2A9DB8"/>
              </w:rPr>
              <w:tab/>
              <w:t>P. 20</w:t>
            </w:r>
          </w:p>
        </w:tc>
      </w:tr>
      <w:tr w:rsidR="00EB3114" w14:paraId="1788F681" w14:textId="77777777">
        <w:tc>
          <w:tcPr>
            <w:tcW w:w="4879" w:type="dxa"/>
            <w:tcBorders>
              <w:bottom w:val="dotted" w:sz="4" w:space="0" w:color="D0D8E4"/>
            </w:tcBorders>
          </w:tcPr>
          <w:p w14:paraId="2B56F259" w14:textId="77777777" w:rsidR="00EB3114" w:rsidRDefault="00000000">
            <w:pPr>
              <w:tabs>
                <w:tab w:val="right" w:pos="4800"/>
              </w:tabs>
              <w:rPr>
                <w:sz w:val="26"/>
                <w:szCs w:val="26"/>
              </w:rPr>
            </w:pPr>
            <w:r>
              <w:rPr>
                <w:rFonts w:ascii="Century Gothic" w:eastAsia="Century Gothic" w:hAnsi="Century Gothic" w:cs="Century Gothic"/>
                <w:sz w:val="22"/>
                <w:szCs w:val="22"/>
              </w:rPr>
              <w:t>Career: Earlier Roles + Foundation Era</w:t>
            </w:r>
            <w:r>
              <w:rPr>
                <w:rFonts w:ascii="Century Gothic" w:eastAsia="Century Gothic" w:hAnsi="Century Gothic" w:cs="Century Gothic"/>
                <w:color w:val="2A9DB8"/>
              </w:rPr>
              <w:tab/>
              <w:t>P. 9-11</w:t>
            </w:r>
          </w:p>
        </w:tc>
        <w:tc>
          <w:tcPr>
            <w:tcW w:w="5200" w:type="dxa"/>
            <w:tcBorders>
              <w:bottom w:val="dotted" w:sz="4" w:space="0" w:color="D0D8E4"/>
            </w:tcBorders>
          </w:tcPr>
          <w:p w14:paraId="419BF814" w14:textId="77777777" w:rsidR="00EB3114" w:rsidRDefault="00000000">
            <w:pPr>
              <w:tabs>
                <w:tab w:val="right" w:pos="5120"/>
              </w:tabs>
              <w:rPr>
                <w:sz w:val="26"/>
                <w:szCs w:val="26"/>
              </w:rPr>
            </w:pPr>
            <w:r>
              <w:rPr>
                <w:rFonts w:ascii="Century Gothic" w:eastAsia="Century Gothic" w:hAnsi="Century Gothic" w:cs="Century Gothic"/>
                <w:sz w:val="22"/>
                <w:szCs w:val="22"/>
              </w:rPr>
              <w:t>Appendix A: Certification Timeline</w:t>
            </w:r>
            <w:r>
              <w:rPr>
                <w:rFonts w:ascii="Century Gothic" w:eastAsia="Century Gothic" w:hAnsi="Century Gothic" w:cs="Century Gothic"/>
                <w:color w:val="2A9DB8"/>
              </w:rPr>
              <w:tab/>
              <w:t>P. 21</w:t>
            </w:r>
          </w:p>
        </w:tc>
      </w:tr>
      <w:tr w:rsidR="00EB3114" w14:paraId="32EE97CD" w14:textId="77777777">
        <w:tc>
          <w:tcPr>
            <w:tcW w:w="4879" w:type="dxa"/>
            <w:tcBorders>
              <w:bottom w:val="dotted" w:sz="4" w:space="0" w:color="D0D8E4"/>
            </w:tcBorders>
          </w:tcPr>
          <w:p w14:paraId="7C65612A" w14:textId="77777777" w:rsidR="00EB3114" w:rsidRDefault="00000000">
            <w:pPr>
              <w:tabs>
                <w:tab w:val="right" w:pos="4800"/>
              </w:tabs>
              <w:rPr>
                <w:sz w:val="26"/>
                <w:szCs w:val="26"/>
              </w:rPr>
            </w:pPr>
            <w:r>
              <w:rPr>
                <w:rFonts w:ascii="Century Gothic" w:eastAsia="Century Gothic" w:hAnsi="Century Gothic" w:cs="Century Gothic"/>
                <w:sz w:val="22"/>
                <w:szCs w:val="22"/>
              </w:rPr>
              <w:t>Customer Trust: Function Overview</w:t>
            </w:r>
            <w:r>
              <w:rPr>
                <w:rFonts w:ascii="Century Gothic" w:eastAsia="Century Gothic" w:hAnsi="Century Gothic" w:cs="Century Gothic"/>
                <w:color w:val="2A9DB8"/>
              </w:rPr>
              <w:tab/>
              <w:t>P. 12</w:t>
            </w:r>
          </w:p>
        </w:tc>
        <w:tc>
          <w:tcPr>
            <w:tcW w:w="5200" w:type="dxa"/>
            <w:tcBorders>
              <w:bottom w:val="dotted" w:sz="4" w:space="0" w:color="D0D8E4"/>
            </w:tcBorders>
          </w:tcPr>
          <w:p w14:paraId="584D9233" w14:textId="77777777" w:rsidR="00EB3114" w:rsidRDefault="00000000">
            <w:pPr>
              <w:tabs>
                <w:tab w:val="right" w:pos="5120"/>
              </w:tabs>
              <w:rPr>
                <w:sz w:val="26"/>
                <w:szCs w:val="26"/>
              </w:rPr>
            </w:pPr>
            <w:r>
              <w:rPr>
                <w:rFonts w:ascii="Century Gothic" w:eastAsia="Century Gothic" w:hAnsi="Century Gothic" w:cs="Century Gothic"/>
                <w:sz w:val="22"/>
                <w:szCs w:val="22"/>
              </w:rPr>
              <w:t>Appendix B: Performance Metrics</w:t>
            </w:r>
            <w:r>
              <w:rPr>
                <w:rFonts w:ascii="Century Gothic" w:eastAsia="Century Gothic" w:hAnsi="Century Gothic" w:cs="Century Gothic"/>
                <w:color w:val="2A9DB8"/>
              </w:rPr>
              <w:tab/>
              <w:t>P. 22</w:t>
            </w:r>
          </w:p>
        </w:tc>
      </w:tr>
      <w:tr w:rsidR="00EB3114" w14:paraId="2441DF35" w14:textId="77777777">
        <w:tc>
          <w:tcPr>
            <w:tcW w:w="4879" w:type="dxa"/>
            <w:tcBorders>
              <w:bottom w:val="dotted" w:sz="4" w:space="0" w:color="D0D8E4"/>
            </w:tcBorders>
          </w:tcPr>
          <w:p w14:paraId="0642752F" w14:textId="77777777" w:rsidR="00EB3114" w:rsidRDefault="00000000">
            <w:pPr>
              <w:tabs>
                <w:tab w:val="right" w:pos="4800"/>
              </w:tabs>
              <w:rPr>
                <w:sz w:val="26"/>
                <w:szCs w:val="26"/>
              </w:rPr>
            </w:pPr>
            <w:r>
              <w:rPr>
                <w:rFonts w:ascii="Century Gothic" w:eastAsia="Century Gothic" w:hAnsi="Century Gothic" w:cs="Century Gothic"/>
                <w:sz w:val="22"/>
                <w:szCs w:val="22"/>
              </w:rPr>
              <w:t>Education (4 degrees)</w:t>
            </w:r>
            <w:r>
              <w:rPr>
                <w:rFonts w:ascii="Century Gothic" w:eastAsia="Century Gothic" w:hAnsi="Century Gothic" w:cs="Century Gothic"/>
                <w:color w:val="2A9DB8"/>
              </w:rPr>
              <w:tab/>
              <w:t>P. 13</w:t>
            </w:r>
          </w:p>
        </w:tc>
        <w:tc>
          <w:tcPr>
            <w:tcW w:w="5200" w:type="dxa"/>
            <w:tcBorders>
              <w:bottom w:val="dotted" w:sz="4" w:space="0" w:color="D0D8E4"/>
            </w:tcBorders>
          </w:tcPr>
          <w:p w14:paraId="3E963A28" w14:textId="77777777" w:rsidR="00EB3114" w:rsidRDefault="00000000">
            <w:pPr>
              <w:tabs>
                <w:tab w:val="right" w:pos="5120"/>
              </w:tabs>
              <w:rPr>
                <w:sz w:val="26"/>
                <w:szCs w:val="26"/>
              </w:rPr>
            </w:pPr>
            <w:r>
              <w:rPr>
                <w:rFonts w:ascii="Century Gothic" w:eastAsia="Century Gothic" w:hAnsi="Century Gothic" w:cs="Century Gothic"/>
                <w:sz w:val="22"/>
                <w:szCs w:val="22"/>
              </w:rPr>
              <w:t>References &amp; LinkedIn Recommendations</w:t>
            </w:r>
            <w:r>
              <w:rPr>
                <w:rFonts w:ascii="Century Gothic" w:eastAsia="Century Gothic" w:hAnsi="Century Gothic" w:cs="Century Gothic"/>
                <w:color w:val="2A9DB8"/>
              </w:rPr>
              <w:tab/>
              <w:t>P. 23</w:t>
            </w:r>
          </w:p>
        </w:tc>
      </w:tr>
      <w:tr w:rsidR="00EB3114" w14:paraId="3F73593E" w14:textId="77777777">
        <w:tc>
          <w:tcPr>
            <w:tcW w:w="4879" w:type="dxa"/>
            <w:tcBorders>
              <w:bottom w:val="dotted" w:sz="4" w:space="0" w:color="D0D8E4"/>
            </w:tcBorders>
          </w:tcPr>
          <w:p w14:paraId="0E1CC375" w14:textId="77777777" w:rsidR="00EB3114" w:rsidRDefault="00000000">
            <w:pPr>
              <w:tabs>
                <w:tab w:val="right" w:pos="4800"/>
              </w:tabs>
              <w:rPr>
                <w:sz w:val="26"/>
                <w:szCs w:val="26"/>
              </w:rPr>
            </w:pPr>
            <w:r>
              <w:rPr>
                <w:rFonts w:ascii="Century Gothic" w:eastAsia="Century Gothic" w:hAnsi="Century Gothic" w:cs="Century Gothic"/>
                <w:sz w:val="22"/>
                <w:szCs w:val="22"/>
              </w:rPr>
              <w:t>Interdisciplinary Foundation</w:t>
            </w:r>
            <w:r>
              <w:rPr>
                <w:rFonts w:ascii="Century Gothic" w:eastAsia="Century Gothic" w:hAnsi="Century Gothic" w:cs="Century Gothic"/>
                <w:color w:val="2A9DB8"/>
              </w:rPr>
              <w:tab/>
              <w:t>P. 14</w:t>
            </w:r>
          </w:p>
        </w:tc>
        <w:tc>
          <w:tcPr>
            <w:tcW w:w="5200" w:type="dxa"/>
            <w:tcBorders>
              <w:bottom w:val="dotted" w:sz="4" w:space="0" w:color="D0D8E4"/>
            </w:tcBorders>
          </w:tcPr>
          <w:p w14:paraId="008312C2" w14:textId="77777777" w:rsidR="00EB3114" w:rsidRDefault="00000000">
            <w:pPr>
              <w:tabs>
                <w:tab w:val="right" w:pos="5120"/>
              </w:tabs>
              <w:rPr>
                <w:sz w:val="26"/>
                <w:szCs w:val="26"/>
              </w:rPr>
            </w:pPr>
            <w:r>
              <w:rPr>
                <w:rFonts w:ascii="Century Gothic" w:eastAsia="Century Gothic" w:hAnsi="Century Gothic" w:cs="Century Gothic"/>
                <w:color w:val="2A9DB8"/>
              </w:rPr>
              <w:tab/>
            </w:r>
          </w:p>
        </w:tc>
      </w:tr>
    </w:tbl>
    <w:p w14:paraId="47338547" w14:textId="77777777" w:rsidR="00EB3114" w:rsidRDefault="00EB3114">
      <w:pPr>
        <w:rPr>
          <w:sz w:val="26"/>
          <w:szCs w:val="26"/>
        </w:rPr>
      </w:pPr>
    </w:p>
    <w:p w14:paraId="1E8CCD5C" w14:textId="77777777" w:rsidR="00EB3114" w:rsidRDefault="00EB3114">
      <w:pPr>
        <w:pageBreakBefore/>
        <w:spacing w:after="100"/>
      </w:pPr>
    </w:p>
    <w:p w14:paraId="1AAF10B9"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CORE COMPETENCIES</w:t>
      </w:r>
    </w:p>
    <w:p w14:paraId="49215BED" w14:textId="77777777" w:rsidR="00EB3114" w:rsidRDefault="00EB3114">
      <w:pPr>
        <w:pBdr>
          <w:top w:val="none" w:sz="0" w:space="0" w:color="000000"/>
          <w:left w:val="none" w:sz="0" w:space="0" w:color="000000"/>
          <w:bottom w:val="single" w:sz="4" w:space="1" w:color="2A9DB8"/>
          <w:right w:val="none" w:sz="0" w:space="0" w:color="000000"/>
        </w:pBdr>
        <w:spacing w:after="100"/>
      </w:pPr>
    </w:p>
    <w:tbl>
      <w:tblPr>
        <w:tblStyle w:val="a2"/>
        <w:tblW w:w="10079" w:type="dxa"/>
        <w:tblInd w:w="0" w:type="dxa"/>
        <w:tblLayout w:type="fixed"/>
        <w:tblLook w:val="0000" w:firstRow="0" w:lastRow="0" w:firstColumn="0" w:lastColumn="0" w:noHBand="0" w:noVBand="0"/>
      </w:tblPr>
      <w:tblGrid>
        <w:gridCol w:w="5040"/>
        <w:gridCol w:w="5039"/>
      </w:tblGrid>
      <w:tr w:rsidR="00EB3114" w14:paraId="3737FF3D" w14:textId="77777777">
        <w:tc>
          <w:tcPr>
            <w:tcW w:w="5040" w:type="dxa"/>
            <w:tcMar>
              <w:left w:w="0" w:type="dxa"/>
              <w:right w:w="200" w:type="dxa"/>
            </w:tcMar>
          </w:tcPr>
          <w:p w14:paraId="1FD0815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9DB8"/>
                <w:sz w:val="17"/>
                <w:szCs w:val="17"/>
              </w:rPr>
              <w:t>Coordinated Compliance Design</w:t>
            </w:r>
          </w:p>
          <w:p w14:paraId="1CFDE1AF" w14:textId="77777777" w:rsidR="00EB3114" w:rsidRDefault="00000000">
            <w:pPr>
              <w:spacing w:after="120"/>
              <w:rPr>
                <w:rFonts w:ascii="Century Gothic" w:eastAsia="Century Gothic" w:hAnsi="Century Gothic" w:cs="Century Gothic"/>
                <w:color w:val="1A4A7A"/>
                <w:sz w:val="17"/>
                <w:szCs w:val="17"/>
              </w:rPr>
            </w:pPr>
            <w:r>
              <w:rPr>
                <w:rFonts w:ascii="Century Gothic" w:eastAsia="Century Gothic" w:hAnsi="Century Gothic" w:cs="Century Gothic"/>
                <w:sz w:val="17"/>
                <w:szCs w:val="17"/>
              </w:rPr>
              <w:t>Proprietary methodology synchronizing multiple audit cycles. Multiple frameworks are mapped into one simplified structure aligned to your internal processes and policies. Evidence collected once, routed to every framework that needs it. 9–12 month cycles compressed to 3 months. The burden that was on control operators was reduced by 95%.</w:t>
            </w:r>
          </w:p>
          <w:p w14:paraId="52C7C79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1A4A7A"/>
                <w:sz w:val="17"/>
                <w:szCs w:val="17"/>
              </w:rPr>
              <w:t>Enterprise Sales Enablement</w:t>
            </w:r>
          </w:p>
          <w:p w14:paraId="55401370" w14:textId="77777777" w:rsidR="00EB3114" w:rsidRDefault="00000000">
            <w:pPr>
              <w:spacing w:after="120"/>
              <w:rPr>
                <w:rFonts w:ascii="Century Gothic" w:eastAsia="Century Gothic" w:hAnsi="Century Gothic" w:cs="Century Gothic"/>
                <w:color w:val="8C5C0A"/>
                <w:sz w:val="17"/>
                <w:szCs w:val="17"/>
              </w:rPr>
            </w:pPr>
            <w:r>
              <w:rPr>
                <w:rFonts w:ascii="Century Gothic" w:eastAsia="Century Gothic" w:hAnsi="Century Gothic" w:cs="Century Gothic"/>
                <w:sz w:val="17"/>
                <w:szCs w:val="17"/>
              </w:rPr>
              <w:t>Direct participation in enterprise deal cycles including live security reviews, RFP security response, whitepaper authorship, deal negotiations and compliance briefings. Compliance is positioned as a market access function, with every certification tied to a specific deal pipeline entry, not overhead.</w:t>
            </w:r>
          </w:p>
          <w:p w14:paraId="1636A301"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8C5C0A"/>
                <w:sz w:val="17"/>
                <w:szCs w:val="17"/>
              </w:rPr>
              <w:t>M&amp;A Compliance Integration</w:t>
            </w:r>
          </w:p>
          <w:p w14:paraId="491825BE" w14:textId="77777777" w:rsidR="00EB3114" w:rsidRDefault="00000000">
            <w:pPr>
              <w:spacing w:after="120"/>
              <w:rPr>
                <w:rFonts w:ascii="Century Gothic" w:eastAsia="Century Gothic" w:hAnsi="Century Gothic" w:cs="Century Gothic"/>
                <w:color w:val="2A3A52"/>
                <w:sz w:val="17"/>
                <w:szCs w:val="17"/>
              </w:rPr>
            </w:pPr>
            <w:r>
              <w:rPr>
                <w:rFonts w:ascii="Century Gothic" w:eastAsia="Century Gothic" w:hAnsi="Century Gothic" w:cs="Century Gothic"/>
                <w:sz w:val="17"/>
                <w:szCs w:val="17"/>
              </w:rPr>
              <w:t>Three M&amp;A integrations at Rubrik with zero certification gaps during any integration period. Off-cycle audit infrastructure built proactively before any acquisition, designed to absorb future M&amp;A without disrupting existing cadence.</w:t>
            </w:r>
          </w:p>
          <w:p w14:paraId="3E6CD5B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3A52"/>
                <w:sz w:val="17"/>
                <w:szCs w:val="17"/>
              </w:rPr>
              <w:t>Team Development &amp; Compliance Culture</w:t>
            </w:r>
          </w:p>
          <w:p w14:paraId="704EE82D" w14:textId="77777777" w:rsidR="00EB3114" w:rsidRDefault="00000000">
            <w:pPr>
              <w:spacing w:after="120"/>
              <w:rPr>
                <w:rFonts w:ascii="Century Gothic" w:eastAsia="Century Gothic" w:hAnsi="Century Gothic" w:cs="Century Gothic"/>
                <w:color w:val="2E8B57"/>
                <w:sz w:val="17"/>
                <w:szCs w:val="17"/>
              </w:rPr>
            </w:pPr>
            <w:r>
              <w:rPr>
                <w:rFonts w:ascii="Century Gothic" w:eastAsia="Century Gothic" w:hAnsi="Century Gothic" w:cs="Century Gothic"/>
                <w:sz w:val="17"/>
                <w:szCs w:val="17"/>
              </w:rPr>
              <w:t>Scaled compliance from 1 to 5 FTE at Rubrik. Developed a team member from zero compliance background to an independent lead assessor. Former IT department chair with the highest student attendance rate of any instructor nationwide. Compliance is no longer the place of No, but rather a partnership to get to the end goal.</w:t>
            </w:r>
          </w:p>
          <w:p w14:paraId="1E2DF060"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E8B57"/>
                <w:sz w:val="17"/>
                <w:szCs w:val="17"/>
              </w:rPr>
              <w:t>AI-Accelerated Program Delivery</w:t>
            </w:r>
          </w:p>
          <w:p w14:paraId="636B473F" w14:textId="77777777" w:rsidR="00EB3114" w:rsidRDefault="00000000">
            <w:pPr>
              <w:spacing w:after="120"/>
            </w:pPr>
            <w:r>
              <w:rPr>
                <w:rFonts w:ascii="Century Gothic" w:eastAsia="Century Gothic" w:hAnsi="Century Gothic" w:cs="Century Gothic"/>
                <w:sz w:val="17"/>
                <w:szCs w:val="17"/>
              </w:rPr>
              <w:t>Direct AI tooling across every phase of the compliance lifecycle: gap assessments (3 months → 3 weeks), framework and regulatory mapping (2 weeks → 1 day), documentation maintenance (2 months → 2 weeks), and initial evidence review checks, all reduce the overall audit timelines.</w:t>
            </w:r>
          </w:p>
        </w:tc>
        <w:tc>
          <w:tcPr>
            <w:tcW w:w="5039" w:type="dxa"/>
          </w:tcPr>
          <w:p w14:paraId="25993AD1"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1A4A7A"/>
                <w:sz w:val="17"/>
                <w:szCs w:val="17"/>
              </w:rPr>
              <w:t>Zero-to-One Program Architecture</w:t>
            </w:r>
          </w:p>
          <w:p w14:paraId="0272323B" w14:textId="77777777" w:rsidR="00EB3114" w:rsidRDefault="00000000">
            <w:pPr>
              <w:spacing w:after="120"/>
              <w:rPr>
                <w:rFonts w:ascii="Century Gothic" w:eastAsia="Century Gothic" w:hAnsi="Century Gothic" w:cs="Century Gothic"/>
                <w:color w:val="2E8B57"/>
                <w:sz w:val="17"/>
                <w:szCs w:val="17"/>
              </w:rPr>
            </w:pPr>
            <w:r>
              <w:rPr>
                <w:rFonts w:ascii="Century Gothic" w:eastAsia="Century Gothic" w:hAnsi="Century Gothic" w:cs="Century Gothic"/>
                <w:sz w:val="17"/>
                <w:szCs w:val="17"/>
              </w:rPr>
              <w:t>Designed full compliance programs from scratch at People.ai and Elastic, with no prior policies, auditor relationships, GRC tooling, or evidence taxonomy. Both programs survived subsequent M&amp;A due diligence scrutiny.</w:t>
            </w:r>
          </w:p>
          <w:p w14:paraId="71FDADCA"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E8B57"/>
                <w:sz w:val="17"/>
                <w:szCs w:val="17"/>
              </w:rPr>
              <w:t>Global Market Access</w:t>
            </w:r>
          </w:p>
          <w:p w14:paraId="2C010C9B" w14:textId="77777777" w:rsidR="00EB3114" w:rsidRDefault="00000000">
            <w:pPr>
              <w:spacing w:after="120"/>
              <w:rPr>
                <w:rFonts w:ascii="Century Gothic" w:eastAsia="Century Gothic" w:hAnsi="Century Gothic" w:cs="Century Gothic"/>
                <w:color w:val="2A3A52"/>
                <w:sz w:val="17"/>
                <w:szCs w:val="17"/>
              </w:rPr>
            </w:pPr>
            <w:r>
              <w:rPr>
                <w:rFonts w:ascii="Century Gothic" w:eastAsia="Century Gothic" w:hAnsi="Century Gothic" w:cs="Century Gothic"/>
                <w:sz w:val="17"/>
                <w:szCs w:val="17"/>
              </w:rPr>
              <w:t>22 active standards across 8+ regulated markets simultaneously, US federal, healthcare, financial services, Germany, Australia, automotive OEM, South Korea, India, UAE, and MENA. Each certification is chosen for a specific revenue unlock.</w:t>
            </w:r>
          </w:p>
          <w:p w14:paraId="3F4D6835"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3A52"/>
                <w:sz w:val="17"/>
                <w:szCs w:val="17"/>
              </w:rPr>
              <w:t>Customer Trust Ownership</w:t>
            </w:r>
          </w:p>
          <w:p w14:paraId="17A38130" w14:textId="77777777" w:rsidR="00EB3114" w:rsidRDefault="00000000">
            <w:pPr>
              <w:spacing w:after="120"/>
              <w:rPr>
                <w:rFonts w:ascii="Century Gothic" w:eastAsia="Century Gothic" w:hAnsi="Century Gothic" w:cs="Century Gothic"/>
                <w:color w:val="2A9DB8"/>
                <w:sz w:val="17"/>
                <w:szCs w:val="17"/>
              </w:rPr>
            </w:pPr>
            <w:r>
              <w:rPr>
                <w:rFonts w:ascii="Century Gothic" w:eastAsia="Century Gothic" w:hAnsi="Century Gothic" w:cs="Century Gothic"/>
                <w:sz w:val="17"/>
                <w:szCs w:val="17"/>
              </w:rPr>
              <w:t>Owned the Customer Trust function since Elastic: the customer-facing security posture program spanning security reviews, trust portal, compliance whitepapers, and executive assurance briefings. A compliance-adjacent function that directly converts security posture into enterprise revenue.</w:t>
            </w:r>
          </w:p>
          <w:p w14:paraId="769FD04C"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2A9DB8"/>
                <w:sz w:val="17"/>
                <w:szCs w:val="17"/>
              </w:rPr>
              <w:t>Forensic Evidence Architecture</w:t>
            </w:r>
          </w:p>
          <w:p w14:paraId="6C06E6D9" w14:textId="77777777" w:rsidR="00EB3114" w:rsidRDefault="00000000">
            <w:pPr>
              <w:spacing w:after="120"/>
              <w:rPr>
                <w:rFonts w:ascii="Century Gothic" w:eastAsia="Century Gothic" w:hAnsi="Century Gothic" w:cs="Century Gothic"/>
                <w:color w:val="1A4A7A"/>
                <w:sz w:val="17"/>
                <w:szCs w:val="17"/>
              </w:rPr>
            </w:pPr>
            <w:r>
              <w:rPr>
                <w:rFonts w:ascii="Century Gothic" w:eastAsia="Century Gothic" w:hAnsi="Century Gothic" w:cs="Century Gothic"/>
                <w:sz w:val="17"/>
                <w:szCs w:val="17"/>
              </w:rPr>
              <w:t>Evidence systems built with chain-of-custody rigor: auditable, traceable, irrefutable under adversarial scrutiny. Artifacts designed for cross-examination, not merely to pass a checklist audit. Year round evidence collection leads to continuous security and compliance posture monitoring.</w:t>
            </w:r>
          </w:p>
          <w:p w14:paraId="5FD2FAC2" w14:textId="77777777" w:rsidR="00EB3114" w:rsidRDefault="00000000">
            <w:pPr>
              <w:spacing w:after="40"/>
              <w:rPr>
                <w:rFonts w:ascii="Century Gothic" w:eastAsia="Century Gothic" w:hAnsi="Century Gothic" w:cs="Century Gothic"/>
                <w:sz w:val="17"/>
                <w:szCs w:val="17"/>
              </w:rPr>
            </w:pPr>
            <w:r>
              <w:rPr>
                <w:rFonts w:ascii="Century Gothic" w:eastAsia="Century Gothic" w:hAnsi="Century Gothic" w:cs="Century Gothic"/>
                <w:b/>
                <w:bCs/>
                <w:color w:val="1A4A7A"/>
                <w:sz w:val="17"/>
                <w:szCs w:val="17"/>
              </w:rPr>
              <w:t>BCDR Under Operational Pressure</w:t>
            </w:r>
          </w:p>
          <w:p w14:paraId="3BEABBEB" w14:textId="77777777" w:rsidR="00EB3114" w:rsidRDefault="00000000">
            <w:pPr>
              <w:spacing w:after="120"/>
            </w:pPr>
            <w:r>
              <w:rPr>
                <w:rFonts w:ascii="Century Gothic" w:eastAsia="Century Gothic" w:hAnsi="Century Gothic" w:cs="Century Gothic"/>
                <w:sz w:val="17"/>
                <w:szCs w:val="17"/>
              </w:rPr>
              <w:t>Designed and maintained BCDR programs under live regional crisis conditions in Ukraine and the Middle East. The highest-stress validation that a compliance program actually functions rather than only documents well.</w:t>
            </w:r>
          </w:p>
        </w:tc>
      </w:tr>
    </w:tbl>
    <w:p w14:paraId="7A478AF8" w14:textId="77777777" w:rsidR="00EB3114" w:rsidRDefault="00EB3114">
      <w:pPr>
        <w:pageBreakBefore/>
        <w:spacing w:after="100"/>
      </w:pPr>
    </w:p>
    <w:p w14:paraId="25AB34B2"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 xml:space="preserve">CERTIFICATION &amp; ATTESTATIONS PORTFOLIO: </w:t>
      </w:r>
      <w:r>
        <w:rPr>
          <w:rFonts w:ascii="Century Gothic" w:eastAsia="Century Gothic" w:hAnsi="Century Gothic" w:cs="Century Gothic"/>
          <w:color w:val="2A9DB8"/>
          <w:sz w:val="28"/>
          <w:szCs w:val="28"/>
        </w:rPr>
        <w:t>22 ACTIVE Frameworks</w:t>
      </w:r>
    </w:p>
    <w:p w14:paraId="34115A05"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18B744FD" w14:textId="77777777" w:rsidR="00EB3114" w:rsidRDefault="00000000">
      <w:pPr>
        <w:spacing w:after="80"/>
      </w:pPr>
      <w:r>
        <w:rPr>
          <w:i/>
          <w:iCs/>
        </w:rPr>
        <w:t>Each certification was chosen for a specific market access reason. "Revenue Unlock" reflects the deal pipeline segment or regulatory gate that each framework addresses.</w:t>
      </w:r>
    </w:p>
    <w:p w14:paraId="49DE6936" w14:textId="77777777" w:rsidR="00EB3114" w:rsidRDefault="00EB3114">
      <w:pPr>
        <w:spacing w:after="80"/>
        <w:rPr>
          <w:color w:val="FFFFFF"/>
          <w:sz w:val="14"/>
          <w:szCs w:val="14"/>
        </w:rPr>
      </w:pPr>
    </w:p>
    <w:tbl>
      <w:tblPr>
        <w:tblStyle w:val="a3"/>
        <w:tblW w:w="9345" w:type="dxa"/>
        <w:tblInd w:w="0" w:type="dxa"/>
        <w:tblLayout w:type="fixed"/>
        <w:tblLook w:val="0000" w:firstRow="0" w:lastRow="0" w:firstColumn="0" w:lastColumn="0" w:noHBand="0" w:noVBand="0"/>
      </w:tblPr>
      <w:tblGrid>
        <w:gridCol w:w="1890"/>
        <w:gridCol w:w="1695"/>
        <w:gridCol w:w="5760"/>
      </w:tblGrid>
      <w:tr w:rsidR="00EB3114" w14:paraId="4341FCBC" w14:textId="77777777">
        <w:trPr>
          <w:tblHeader/>
        </w:trPr>
        <w:tc>
          <w:tcPr>
            <w:tcW w:w="1890" w:type="dxa"/>
            <w:shd w:val="clear" w:color="auto" w:fill="2A9DB8"/>
          </w:tcPr>
          <w:p w14:paraId="74772B82" w14:textId="77777777" w:rsidR="00EB3114" w:rsidRDefault="00000000">
            <w:pPr>
              <w:spacing w:after="100"/>
              <w:rPr>
                <w:rFonts w:ascii="Century Gothic" w:eastAsia="Century Gothic" w:hAnsi="Century Gothic" w:cs="Century Gothic"/>
                <w:color w:val="FFFFFF"/>
                <w:sz w:val="22"/>
                <w:szCs w:val="22"/>
              </w:rPr>
            </w:pPr>
            <w:r>
              <w:rPr>
                <w:rFonts w:ascii="Century Gothic" w:eastAsia="Century Gothic" w:hAnsi="Century Gothic" w:cs="Century Gothic"/>
                <w:b/>
                <w:bCs/>
                <w:color w:val="FFFFFF"/>
                <w:sz w:val="22"/>
                <w:szCs w:val="22"/>
              </w:rPr>
              <w:t>Framework</w:t>
            </w:r>
          </w:p>
        </w:tc>
        <w:tc>
          <w:tcPr>
            <w:tcW w:w="1695" w:type="dxa"/>
            <w:shd w:val="clear" w:color="auto" w:fill="2A9DB8"/>
          </w:tcPr>
          <w:p w14:paraId="1ACD13D6" w14:textId="77777777" w:rsidR="00EB3114" w:rsidRDefault="00000000">
            <w:pPr>
              <w:spacing w:after="100"/>
              <w:rPr>
                <w:rFonts w:ascii="Century Gothic" w:eastAsia="Century Gothic" w:hAnsi="Century Gothic" w:cs="Century Gothic"/>
                <w:color w:val="FFFFFF"/>
                <w:sz w:val="22"/>
                <w:szCs w:val="22"/>
              </w:rPr>
            </w:pPr>
            <w:r>
              <w:rPr>
                <w:rFonts w:ascii="Century Gothic" w:eastAsia="Century Gothic" w:hAnsi="Century Gothic" w:cs="Century Gothic"/>
                <w:b/>
                <w:bCs/>
                <w:color w:val="FFFFFF"/>
                <w:sz w:val="22"/>
                <w:szCs w:val="22"/>
              </w:rPr>
              <w:t>Category</w:t>
            </w:r>
          </w:p>
        </w:tc>
        <w:tc>
          <w:tcPr>
            <w:tcW w:w="5760" w:type="dxa"/>
            <w:shd w:val="clear" w:color="auto" w:fill="2A9DB8"/>
          </w:tcPr>
          <w:p w14:paraId="487ECB17" w14:textId="77777777" w:rsidR="00EB3114" w:rsidRDefault="00000000">
            <w:pPr>
              <w:spacing w:after="100"/>
              <w:rPr>
                <w:rFonts w:ascii="Century Gothic" w:eastAsia="Century Gothic" w:hAnsi="Century Gothic" w:cs="Century Gothic"/>
                <w:color w:val="FFFFFF"/>
                <w:sz w:val="22"/>
                <w:szCs w:val="22"/>
              </w:rPr>
            </w:pPr>
            <w:r>
              <w:rPr>
                <w:rFonts w:ascii="Century Gothic" w:eastAsia="Century Gothic" w:hAnsi="Century Gothic" w:cs="Century Gothic"/>
                <w:b/>
                <w:bCs/>
                <w:color w:val="FFFFFF"/>
                <w:sz w:val="22"/>
                <w:szCs w:val="22"/>
              </w:rPr>
              <w:t>Revenue / Market Unlock</w:t>
            </w:r>
          </w:p>
        </w:tc>
      </w:tr>
      <w:tr w:rsidR="00EB3114" w14:paraId="4BBE324D" w14:textId="77777777">
        <w:tc>
          <w:tcPr>
            <w:tcW w:w="1890" w:type="dxa"/>
            <w:tcBorders>
              <w:bottom w:val="single" w:sz="4" w:space="0" w:color="D0D8E4"/>
            </w:tcBorders>
            <w:shd w:val="clear" w:color="auto" w:fill="FFFFFF"/>
          </w:tcPr>
          <w:p w14:paraId="558987CB" w14:textId="77777777" w:rsidR="00EB3114" w:rsidRDefault="00000000">
            <w:pPr>
              <w:spacing w:after="100"/>
            </w:pPr>
            <w:r>
              <w:rPr>
                <w:b/>
                <w:bCs/>
                <w:color w:val="2A9DB8"/>
              </w:rPr>
              <w:t>SOC 2 Type 2</w:t>
            </w:r>
          </w:p>
        </w:tc>
        <w:tc>
          <w:tcPr>
            <w:tcW w:w="1695" w:type="dxa"/>
            <w:tcBorders>
              <w:bottom w:val="single" w:sz="4" w:space="0" w:color="D0D8E4"/>
            </w:tcBorders>
            <w:shd w:val="clear" w:color="auto" w:fill="FFFFFF"/>
          </w:tcPr>
          <w:p w14:paraId="182B6C3D" w14:textId="77777777" w:rsidR="00EB3114" w:rsidRDefault="00000000">
            <w:pPr>
              <w:spacing w:after="100"/>
            </w:pPr>
            <w:r>
              <w:t>Security Trust Services</w:t>
            </w:r>
          </w:p>
        </w:tc>
        <w:tc>
          <w:tcPr>
            <w:tcW w:w="5760" w:type="dxa"/>
            <w:tcBorders>
              <w:bottom w:val="single" w:sz="4" w:space="0" w:color="D0D8E4"/>
            </w:tcBorders>
            <w:shd w:val="clear" w:color="auto" w:fill="FFFFFF"/>
          </w:tcPr>
          <w:p w14:paraId="54E40C71" w14:textId="77777777" w:rsidR="00EB3114" w:rsidRDefault="00000000">
            <w:pPr>
              <w:spacing w:after="100"/>
            </w:pPr>
            <w:r>
              <w:t>Gate for 95%+ of enterprise SaaS procurement. No deal without it.</w:t>
            </w:r>
          </w:p>
        </w:tc>
      </w:tr>
      <w:tr w:rsidR="00EB3114" w14:paraId="085EBFE4" w14:textId="77777777">
        <w:tc>
          <w:tcPr>
            <w:tcW w:w="1890" w:type="dxa"/>
            <w:tcBorders>
              <w:bottom w:val="single" w:sz="4" w:space="0" w:color="D0D8E4"/>
            </w:tcBorders>
            <w:shd w:val="clear" w:color="auto" w:fill="FFFFFF"/>
          </w:tcPr>
          <w:p w14:paraId="5A9C9959" w14:textId="77777777" w:rsidR="00EB3114" w:rsidRDefault="00000000">
            <w:pPr>
              <w:spacing w:after="100"/>
            </w:pPr>
            <w:r>
              <w:rPr>
                <w:b/>
                <w:bCs/>
                <w:color w:val="2A9DB8"/>
              </w:rPr>
              <w:t>SOC 1 Type 2</w:t>
            </w:r>
          </w:p>
        </w:tc>
        <w:tc>
          <w:tcPr>
            <w:tcW w:w="1695" w:type="dxa"/>
            <w:tcBorders>
              <w:bottom w:val="single" w:sz="4" w:space="0" w:color="D0D8E4"/>
            </w:tcBorders>
            <w:shd w:val="clear" w:color="auto" w:fill="FFFFFF"/>
          </w:tcPr>
          <w:p w14:paraId="44B3E251" w14:textId="77777777" w:rsidR="00EB3114" w:rsidRDefault="00000000">
            <w:pPr>
              <w:spacing w:after="100"/>
            </w:pPr>
            <w:r>
              <w:t>Financial Services</w:t>
            </w:r>
          </w:p>
        </w:tc>
        <w:tc>
          <w:tcPr>
            <w:tcW w:w="5760" w:type="dxa"/>
            <w:tcBorders>
              <w:bottom w:val="single" w:sz="4" w:space="0" w:color="D0D8E4"/>
            </w:tcBorders>
            <w:shd w:val="clear" w:color="auto" w:fill="FFFFFF"/>
          </w:tcPr>
          <w:p w14:paraId="43FE2859" w14:textId="77777777" w:rsidR="00EB3114" w:rsidRDefault="00000000">
            <w:pPr>
              <w:spacing w:after="100"/>
            </w:pPr>
            <w:r>
              <w:t>Fintech platforms, broker-dealers, banking software buyers.</w:t>
            </w:r>
          </w:p>
        </w:tc>
      </w:tr>
      <w:tr w:rsidR="00EB3114" w14:paraId="77F905B3" w14:textId="77777777">
        <w:tc>
          <w:tcPr>
            <w:tcW w:w="1890" w:type="dxa"/>
            <w:tcBorders>
              <w:bottom w:val="single" w:sz="4" w:space="0" w:color="D0D8E4"/>
            </w:tcBorders>
            <w:shd w:val="clear" w:color="auto" w:fill="FFFFFF"/>
          </w:tcPr>
          <w:p w14:paraId="35F45456" w14:textId="77777777" w:rsidR="00EB3114" w:rsidRDefault="00000000">
            <w:pPr>
              <w:spacing w:after="100"/>
            </w:pPr>
            <w:r>
              <w:rPr>
                <w:b/>
                <w:bCs/>
                <w:color w:val="2A9DB8"/>
              </w:rPr>
              <w:t>ISO 27001 / 27017 / 27018</w:t>
            </w:r>
          </w:p>
        </w:tc>
        <w:tc>
          <w:tcPr>
            <w:tcW w:w="1695" w:type="dxa"/>
            <w:tcBorders>
              <w:bottom w:val="single" w:sz="4" w:space="0" w:color="D0D8E4"/>
            </w:tcBorders>
            <w:shd w:val="clear" w:color="auto" w:fill="FFFFFF"/>
          </w:tcPr>
          <w:p w14:paraId="79543E28" w14:textId="77777777" w:rsidR="00EB3114" w:rsidRDefault="00000000">
            <w:pPr>
              <w:spacing w:after="100"/>
            </w:pPr>
            <w:r>
              <w:t>ISMS + Cloud</w:t>
            </w:r>
          </w:p>
        </w:tc>
        <w:tc>
          <w:tcPr>
            <w:tcW w:w="5760" w:type="dxa"/>
            <w:tcBorders>
              <w:bottom w:val="single" w:sz="4" w:space="0" w:color="D0D8E4"/>
            </w:tcBorders>
            <w:shd w:val="clear" w:color="auto" w:fill="FFFFFF"/>
          </w:tcPr>
          <w:p w14:paraId="2FE17959" w14:textId="77777777" w:rsidR="00EB3114" w:rsidRDefault="00000000">
            <w:pPr>
              <w:spacing w:after="100"/>
            </w:pPr>
            <w:r>
              <w:t>Global enterprise, EU, APAC. ISO 27001 cited in Elastic FY2019 10-K enabling $271.7M revenue.</w:t>
            </w:r>
          </w:p>
        </w:tc>
      </w:tr>
      <w:tr w:rsidR="00EB3114" w14:paraId="28DBD86D" w14:textId="77777777">
        <w:tc>
          <w:tcPr>
            <w:tcW w:w="1890" w:type="dxa"/>
            <w:tcBorders>
              <w:bottom w:val="single" w:sz="4" w:space="0" w:color="D0D8E4"/>
            </w:tcBorders>
            <w:shd w:val="clear" w:color="auto" w:fill="FFFFFF"/>
          </w:tcPr>
          <w:p w14:paraId="275C90FA" w14:textId="77777777" w:rsidR="00EB3114" w:rsidRDefault="00000000">
            <w:pPr>
              <w:spacing w:after="100"/>
            </w:pPr>
            <w:r>
              <w:rPr>
                <w:b/>
                <w:bCs/>
                <w:color w:val="2A9DB8"/>
              </w:rPr>
              <w:t>ISO 27701</w:t>
            </w:r>
          </w:p>
        </w:tc>
        <w:tc>
          <w:tcPr>
            <w:tcW w:w="1695" w:type="dxa"/>
            <w:tcBorders>
              <w:bottom w:val="single" w:sz="4" w:space="0" w:color="D0D8E4"/>
            </w:tcBorders>
            <w:shd w:val="clear" w:color="auto" w:fill="FFFFFF"/>
          </w:tcPr>
          <w:p w14:paraId="25327E7E" w14:textId="77777777" w:rsidR="00EB3114" w:rsidRDefault="00000000">
            <w:pPr>
              <w:spacing w:after="100"/>
            </w:pPr>
            <w:r>
              <w:t>Privacy Governance</w:t>
            </w:r>
          </w:p>
        </w:tc>
        <w:tc>
          <w:tcPr>
            <w:tcW w:w="5760" w:type="dxa"/>
            <w:tcBorders>
              <w:bottom w:val="single" w:sz="4" w:space="0" w:color="D0D8E4"/>
            </w:tcBorders>
            <w:shd w:val="clear" w:color="auto" w:fill="FFFFFF"/>
          </w:tcPr>
          <w:p w14:paraId="1D2B800B" w14:textId="77777777" w:rsidR="00EB3114" w:rsidRDefault="00000000">
            <w:pPr>
              <w:spacing w:after="100"/>
            </w:pPr>
            <w:r>
              <w:t>GDPR and CCPA compliance posture for enterprise privacy-obligated buyers.</w:t>
            </w:r>
          </w:p>
        </w:tc>
      </w:tr>
      <w:tr w:rsidR="00EB3114" w14:paraId="5724C251" w14:textId="77777777">
        <w:tc>
          <w:tcPr>
            <w:tcW w:w="1890" w:type="dxa"/>
            <w:tcBorders>
              <w:bottom w:val="single" w:sz="4" w:space="0" w:color="D0D8E4"/>
            </w:tcBorders>
            <w:shd w:val="clear" w:color="auto" w:fill="FFFFFF"/>
          </w:tcPr>
          <w:p w14:paraId="150A8A71" w14:textId="77777777" w:rsidR="00EB3114" w:rsidRDefault="00000000">
            <w:pPr>
              <w:spacing w:after="100"/>
            </w:pPr>
            <w:r>
              <w:rPr>
                <w:b/>
                <w:bCs/>
                <w:color w:val="2A9DB8"/>
              </w:rPr>
              <w:t>ISO 42001</w:t>
            </w:r>
          </w:p>
        </w:tc>
        <w:tc>
          <w:tcPr>
            <w:tcW w:w="1695" w:type="dxa"/>
            <w:tcBorders>
              <w:bottom w:val="single" w:sz="4" w:space="0" w:color="D0D8E4"/>
            </w:tcBorders>
            <w:shd w:val="clear" w:color="auto" w:fill="FFFFFF"/>
          </w:tcPr>
          <w:p w14:paraId="506DD768" w14:textId="77777777" w:rsidR="00EB3114" w:rsidRDefault="00000000">
            <w:pPr>
              <w:spacing w:after="100"/>
            </w:pPr>
            <w:r>
              <w:t>AI Governance</w:t>
            </w:r>
          </w:p>
        </w:tc>
        <w:tc>
          <w:tcPr>
            <w:tcW w:w="5760" w:type="dxa"/>
            <w:tcBorders>
              <w:bottom w:val="single" w:sz="4" w:space="0" w:color="D0D8E4"/>
            </w:tcBorders>
            <w:shd w:val="clear" w:color="auto" w:fill="FFFFFF"/>
          </w:tcPr>
          <w:p w14:paraId="20EDA020" w14:textId="77777777" w:rsidR="00EB3114" w:rsidRDefault="00000000">
            <w:pPr>
              <w:spacing w:after="100"/>
            </w:pPr>
            <w:r>
              <w:t>Emerging requirement for AI platform buyers. First-mover obtained pre-demand.</w:t>
            </w:r>
          </w:p>
        </w:tc>
      </w:tr>
      <w:tr w:rsidR="00EB3114" w14:paraId="0CC91081" w14:textId="77777777">
        <w:tc>
          <w:tcPr>
            <w:tcW w:w="1890" w:type="dxa"/>
            <w:tcBorders>
              <w:bottom w:val="single" w:sz="4" w:space="0" w:color="D0D8E4"/>
            </w:tcBorders>
            <w:shd w:val="clear" w:color="auto" w:fill="FFFFFF"/>
          </w:tcPr>
          <w:p w14:paraId="383F7D56" w14:textId="77777777" w:rsidR="00EB3114" w:rsidRDefault="00000000">
            <w:pPr>
              <w:spacing w:after="100"/>
            </w:pPr>
            <w:r>
              <w:rPr>
                <w:b/>
                <w:bCs/>
                <w:color w:val="2A9DB8"/>
              </w:rPr>
              <w:t>CSA STAR Level 2</w:t>
            </w:r>
          </w:p>
        </w:tc>
        <w:tc>
          <w:tcPr>
            <w:tcW w:w="1695" w:type="dxa"/>
            <w:tcBorders>
              <w:bottom w:val="single" w:sz="4" w:space="0" w:color="D0D8E4"/>
            </w:tcBorders>
            <w:shd w:val="clear" w:color="auto" w:fill="FFFFFF"/>
          </w:tcPr>
          <w:p w14:paraId="76B812E6" w14:textId="77777777" w:rsidR="00EB3114" w:rsidRDefault="00000000">
            <w:pPr>
              <w:spacing w:after="100"/>
            </w:pPr>
            <w:r>
              <w:t>Cloud Assurance</w:t>
            </w:r>
          </w:p>
        </w:tc>
        <w:tc>
          <w:tcPr>
            <w:tcW w:w="5760" w:type="dxa"/>
            <w:tcBorders>
              <w:bottom w:val="single" w:sz="4" w:space="0" w:color="D0D8E4"/>
            </w:tcBorders>
            <w:shd w:val="clear" w:color="auto" w:fill="FFFFFF"/>
          </w:tcPr>
          <w:p w14:paraId="0EB9E669" w14:textId="77777777" w:rsidR="00EB3114" w:rsidRDefault="00000000">
            <w:pPr>
              <w:spacing w:after="100"/>
            </w:pPr>
            <w:r>
              <w:t>EU and APAC enterprise cloud buyers above baseline ISO 27001.</w:t>
            </w:r>
          </w:p>
        </w:tc>
      </w:tr>
      <w:tr w:rsidR="00EB3114" w14:paraId="602A577E" w14:textId="77777777">
        <w:tc>
          <w:tcPr>
            <w:tcW w:w="1890" w:type="dxa"/>
            <w:tcBorders>
              <w:bottom w:val="single" w:sz="4" w:space="0" w:color="D0D8E4"/>
            </w:tcBorders>
            <w:shd w:val="clear" w:color="auto" w:fill="FFFFFF"/>
          </w:tcPr>
          <w:p w14:paraId="188AEDD9" w14:textId="77777777" w:rsidR="00EB3114" w:rsidRDefault="00000000">
            <w:pPr>
              <w:spacing w:after="100"/>
            </w:pPr>
            <w:r>
              <w:rPr>
                <w:b/>
                <w:bCs/>
                <w:color w:val="2A9DB8"/>
              </w:rPr>
              <w:t>EO 14028 / SSDF</w:t>
            </w:r>
          </w:p>
        </w:tc>
        <w:tc>
          <w:tcPr>
            <w:tcW w:w="1695" w:type="dxa"/>
            <w:tcBorders>
              <w:bottom w:val="single" w:sz="4" w:space="0" w:color="D0D8E4"/>
            </w:tcBorders>
            <w:shd w:val="clear" w:color="auto" w:fill="FFFFFF"/>
          </w:tcPr>
          <w:p w14:paraId="24D34E2A" w14:textId="77777777" w:rsidR="00EB3114" w:rsidRDefault="00000000">
            <w:pPr>
              <w:spacing w:after="100"/>
            </w:pPr>
            <w:r>
              <w:t>Federal Supply Chain</w:t>
            </w:r>
          </w:p>
        </w:tc>
        <w:tc>
          <w:tcPr>
            <w:tcW w:w="5760" w:type="dxa"/>
            <w:tcBorders>
              <w:bottom w:val="single" w:sz="4" w:space="0" w:color="D0D8E4"/>
            </w:tcBorders>
            <w:shd w:val="clear" w:color="auto" w:fill="FFFFFF"/>
          </w:tcPr>
          <w:p w14:paraId="596A5ACD" w14:textId="77777777" w:rsidR="00EB3114" w:rsidRDefault="00000000">
            <w:pPr>
              <w:spacing w:after="100"/>
            </w:pPr>
            <w:r>
              <w:t>Software supply chain security attestation for US federal pipeline.</w:t>
            </w:r>
          </w:p>
        </w:tc>
      </w:tr>
      <w:tr w:rsidR="00EB3114" w14:paraId="7729A278" w14:textId="77777777">
        <w:tc>
          <w:tcPr>
            <w:tcW w:w="1890" w:type="dxa"/>
            <w:tcBorders>
              <w:bottom w:val="single" w:sz="4" w:space="0" w:color="D0D8E4"/>
            </w:tcBorders>
            <w:shd w:val="clear" w:color="auto" w:fill="FFFFFF"/>
          </w:tcPr>
          <w:p w14:paraId="536B61A0" w14:textId="77777777" w:rsidR="00EB3114" w:rsidRDefault="00000000">
            <w:pPr>
              <w:spacing w:after="100"/>
            </w:pPr>
            <w:r>
              <w:rPr>
                <w:b/>
                <w:bCs/>
                <w:color w:val="2A9DB8"/>
              </w:rPr>
              <w:t>NIST CSF 2.0</w:t>
            </w:r>
          </w:p>
        </w:tc>
        <w:tc>
          <w:tcPr>
            <w:tcW w:w="1695" w:type="dxa"/>
            <w:tcBorders>
              <w:bottom w:val="single" w:sz="4" w:space="0" w:color="D0D8E4"/>
            </w:tcBorders>
            <w:shd w:val="clear" w:color="auto" w:fill="FFFFFF"/>
          </w:tcPr>
          <w:p w14:paraId="598D23B2" w14:textId="77777777" w:rsidR="00EB3114" w:rsidRDefault="00000000">
            <w:pPr>
              <w:spacing w:after="100"/>
            </w:pPr>
            <w:r>
              <w:t>Risk Framework</w:t>
            </w:r>
          </w:p>
        </w:tc>
        <w:tc>
          <w:tcPr>
            <w:tcW w:w="5760" w:type="dxa"/>
            <w:tcBorders>
              <w:bottom w:val="single" w:sz="4" w:space="0" w:color="D0D8E4"/>
            </w:tcBorders>
            <w:shd w:val="clear" w:color="auto" w:fill="FFFFFF"/>
          </w:tcPr>
          <w:p w14:paraId="169F4513" w14:textId="77777777" w:rsidR="00EB3114" w:rsidRDefault="00000000">
            <w:pPr>
              <w:spacing w:after="100"/>
            </w:pPr>
            <w:r>
              <w:t>US enterprise RFPs; reference standard for federal risk programs.</w:t>
            </w:r>
          </w:p>
        </w:tc>
      </w:tr>
      <w:tr w:rsidR="00EB3114" w14:paraId="3B85DAC3" w14:textId="77777777">
        <w:tc>
          <w:tcPr>
            <w:tcW w:w="1890" w:type="dxa"/>
            <w:tcBorders>
              <w:bottom w:val="single" w:sz="4" w:space="0" w:color="D0D8E4"/>
            </w:tcBorders>
            <w:shd w:val="clear" w:color="auto" w:fill="FFFFFF"/>
          </w:tcPr>
          <w:p w14:paraId="134ADB1E" w14:textId="77777777" w:rsidR="00EB3114" w:rsidRDefault="00000000">
            <w:pPr>
              <w:spacing w:after="100"/>
            </w:pPr>
            <w:r>
              <w:rPr>
                <w:b/>
                <w:bCs/>
                <w:color w:val="2A9DB8"/>
              </w:rPr>
              <w:t>HIPAA</w:t>
            </w:r>
          </w:p>
        </w:tc>
        <w:tc>
          <w:tcPr>
            <w:tcW w:w="1695" w:type="dxa"/>
            <w:tcBorders>
              <w:bottom w:val="single" w:sz="4" w:space="0" w:color="D0D8E4"/>
            </w:tcBorders>
            <w:shd w:val="clear" w:color="auto" w:fill="FFFFFF"/>
          </w:tcPr>
          <w:p w14:paraId="39C4DBC0" w14:textId="77777777" w:rsidR="00EB3114" w:rsidRDefault="00000000">
            <w:pPr>
              <w:spacing w:after="100"/>
            </w:pPr>
            <w:r>
              <w:t>US Healthcare</w:t>
            </w:r>
          </w:p>
        </w:tc>
        <w:tc>
          <w:tcPr>
            <w:tcW w:w="5760" w:type="dxa"/>
            <w:tcBorders>
              <w:bottom w:val="single" w:sz="4" w:space="0" w:color="D0D8E4"/>
            </w:tcBorders>
            <w:shd w:val="clear" w:color="auto" w:fill="FFFFFF"/>
          </w:tcPr>
          <w:p w14:paraId="502F2406" w14:textId="77777777" w:rsidR="00EB3114" w:rsidRDefault="00000000">
            <w:pPr>
              <w:spacing w:after="100"/>
            </w:pPr>
            <w:r>
              <w:t>Non-negotiable for any vendor touching Protected Health Information.</w:t>
            </w:r>
          </w:p>
        </w:tc>
      </w:tr>
      <w:tr w:rsidR="00EB3114" w14:paraId="60902123" w14:textId="77777777">
        <w:tc>
          <w:tcPr>
            <w:tcW w:w="1890" w:type="dxa"/>
            <w:tcBorders>
              <w:bottom w:val="single" w:sz="4" w:space="0" w:color="D0D8E4"/>
            </w:tcBorders>
            <w:shd w:val="clear" w:color="auto" w:fill="FFFFFF"/>
          </w:tcPr>
          <w:p w14:paraId="192649DA" w14:textId="77777777" w:rsidR="00EB3114" w:rsidRDefault="00000000">
            <w:pPr>
              <w:spacing w:after="100"/>
            </w:pPr>
            <w:r>
              <w:rPr>
                <w:b/>
                <w:bCs/>
                <w:color w:val="2A9DB8"/>
              </w:rPr>
              <w:t>HITRUST CSF r2</w:t>
            </w:r>
          </w:p>
        </w:tc>
        <w:tc>
          <w:tcPr>
            <w:tcW w:w="1695" w:type="dxa"/>
            <w:tcBorders>
              <w:bottom w:val="single" w:sz="4" w:space="0" w:color="D0D8E4"/>
            </w:tcBorders>
            <w:shd w:val="clear" w:color="auto" w:fill="FFFFFF"/>
          </w:tcPr>
          <w:p w14:paraId="6CEBEFF5" w14:textId="77777777" w:rsidR="00EB3114" w:rsidRDefault="00000000">
            <w:pPr>
              <w:spacing w:after="100"/>
            </w:pPr>
            <w:r>
              <w:t>US Healthcare</w:t>
            </w:r>
          </w:p>
        </w:tc>
        <w:tc>
          <w:tcPr>
            <w:tcW w:w="5760" w:type="dxa"/>
            <w:tcBorders>
              <w:bottom w:val="single" w:sz="4" w:space="0" w:color="D0D8E4"/>
            </w:tcBorders>
            <w:shd w:val="clear" w:color="auto" w:fill="FFFFFF"/>
          </w:tcPr>
          <w:p w14:paraId="326179F3" w14:textId="77777777" w:rsidR="00EB3114" w:rsidRDefault="00000000">
            <w:pPr>
              <w:spacing w:after="100"/>
            </w:pPr>
            <w:r>
              <w:t>Preferred by major hospital networks over HIPAA alone.</w:t>
            </w:r>
          </w:p>
        </w:tc>
      </w:tr>
      <w:tr w:rsidR="00EB3114" w14:paraId="36C0CC1D" w14:textId="77777777">
        <w:tc>
          <w:tcPr>
            <w:tcW w:w="1890" w:type="dxa"/>
            <w:tcBorders>
              <w:bottom w:val="single" w:sz="4" w:space="0" w:color="D0D8E4"/>
            </w:tcBorders>
            <w:shd w:val="clear" w:color="auto" w:fill="FFFFFF"/>
          </w:tcPr>
          <w:p w14:paraId="14542EF5" w14:textId="77777777" w:rsidR="00EB3114" w:rsidRDefault="00000000">
            <w:pPr>
              <w:spacing w:after="100"/>
            </w:pPr>
            <w:r>
              <w:rPr>
                <w:b/>
                <w:bCs/>
                <w:color w:val="2A9DB8"/>
              </w:rPr>
              <w:t>FINRA SEC 17a-4</w:t>
            </w:r>
          </w:p>
        </w:tc>
        <w:tc>
          <w:tcPr>
            <w:tcW w:w="1695" w:type="dxa"/>
            <w:tcBorders>
              <w:bottom w:val="single" w:sz="4" w:space="0" w:color="D0D8E4"/>
            </w:tcBorders>
            <w:shd w:val="clear" w:color="auto" w:fill="FFFFFF"/>
          </w:tcPr>
          <w:p w14:paraId="7C9A2E6A" w14:textId="77777777" w:rsidR="00EB3114" w:rsidRDefault="00000000">
            <w:pPr>
              <w:spacing w:after="100"/>
            </w:pPr>
            <w:r>
              <w:t>US Broker-Dealer</w:t>
            </w:r>
          </w:p>
        </w:tc>
        <w:tc>
          <w:tcPr>
            <w:tcW w:w="5760" w:type="dxa"/>
            <w:tcBorders>
              <w:bottom w:val="single" w:sz="4" w:space="0" w:color="D0D8E4"/>
            </w:tcBorders>
            <w:shd w:val="clear" w:color="auto" w:fill="FFFFFF"/>
          </w:tcPr>
          <w:p w14:paraId="41F3884D" w14:textId="77777777" w:rsidR="00EB3114" w:rsidRDefault="00000000">
            <w:pPr>
              <w:spacing w:after="100"/>
            </w:pPr>
            <w:r>
              <w:t>Mandatory for broker-dealer electronic records vendors. 4 evaluations completed.</w:t>
            </w:r>
          </w:p>
        </w:tc>
      </w:tr>
      <w:tr w:rsidR="00EB3114" w14:paraId="623EC0FD" w14:textId="77777777">
        <w:tc>
          <w:tcPr>
            <w:tcW w:w="1890" w:type="dxa"/>
            <w:tcBorders>
              <w:bottom w:val="single" w:sz="4" w:space="0" w:color="D0D8E4"/>
            </w:tcBorders>
            <w:shd w:val="clear" w:color="auto" w:fill="FFFFFF"/>
          </w:tcPr>
          <w:p w14:paraId="1D633BB8" w14:textId="77777777" w:rsidR="00EB3114" w:rsidRDefault="00000000">
            <w:pPr>
              <w:spacing w:after="100"/>
            </w:pPr>
            <w:r>
              <w:rPr>
                <w:b/>
                <w:bCs/>
                <w:color w:val="2A9DB8"/>
              </w:rPr>
              <w:t>BSI C5</w:t>
            </w:r>
          </w:p>
        </w:tc>
        <w:tc>
          <w:tcPr>
            <w:tcW w:w="1695" w:type="dxa"/>
            <w:tcBorders>
              <w:bottom w:val="single" w:sz="4" w:space="0" w:color="D0D8E4"/>
            </w:tcBorders>
            <w:shd w:val="clear" w:color="auto" w:fill="FFFFFF"/>
          </w:tcPr>
          <w:p w14:paraId="02F6CAC1" w14:textId="77777777" w:rsidR="00EB3114" w:rsidRDefault="00000000">
            <w:pPr>
              <w:spacing w:after="100"/>
            </w:pPr>
            <w:r>
              <w:t>Germany</w:t>
            </w:r>
          </w:p>
        </w:tc>
        <w:tc>
          <w:tcPr>
            <w:tcW w:w="5760" w:type="dxa"/>
            <w:tcBorders>
              <w:bottom w:val="single" w:sz="4" w:space="0" w:color="D0D8E4"/>
            </w:tcBorders>
            <w:shd w:val="clear" w:color="auto" w:fill="FFFFFF"/>
          </w:tcPr>
          <w:p w14:paraId="50CCF779" w14:textId="77777777" w:rsidR="00EB3114" w:rsidRDefault="00000000">
            <w:pPr>
              <w:spacing w:after="100"/>
            </w:pPr>
            <w:r>
              <w:t>Required by German financial institutions and government agencies.</w:t>
            </w:r>
          </w:p>
        </w:tc>
      </w:tr>
      <w:tr w:rsidR="00EB3114" w14:paraId="6A8A37AD" w14:textId="77777777">
        <w:tc>
          <w:tcPr>
            <w:tcW w:w="1890" w:type="dxa"/>
            <w:tcBorders>
              <w:bottom w:val="single" w:sz="4" w:space="0" w:color="D0D8E4"/>
            </w:tcBorders>
            <w:shd w:val="clear" w:color="auto" w:fill="FFFFFF"/>
          </w:tcPr>
          <w:p w14:paraId="1C7E8733" w14:textId="77777777" w:rsidR="00EB3114" w:rsidRDefault="00000000">
            <w:pPr>
              <w:spacing w:after="100"/>
            </w:pPr>
            <w:r>
              <w:rPr>
                <w:b/>
                <w:bCs/>
                <w:color w:val="2A9DB8"/>
              </w:rPr>
              <w:t>IRAP</w:t>
            </w:r>
          </w:p>
        </w:tc>
        <w:tc>
          <w:tcPr>
            <w:tcW w:w="1695" w:type="dxa"/>
            <w:tcBorders>
              <w:bottom w:val="single" w:sz="4" w:space="0" w:color="D0D8E4"/>
            </w:tcBorders>
            <w:shd w:val="clear" w:color="auto" w:fill="FFFFFF"/>
          </w:tcPr>
          <w:p w14:paraId="3D156879" w14:textId="77777777" w:rsidR="00EB3114" w:rsidRDefault="00000000">
            <w:pPr>
              <w:spacing w:after="100"/>
            </w:pPr>
            <w:r>
              <w:t>Australia</w:t>
            </w:r>
          </w:p>
        </w:tc>
        <w:tc>
          <w:tcPr>
            <w:tcW w:w="5760" w:type="dxa"/>
            <w:tcBorders>
              <w:bottom w:val="single" w:sz="4" w:space="0" w:color="D0D8E4"/>
            </w:tcBorders>
            <w:shd w:val="clear" w:color="auto" w:fill="FFFFFF"/>
          </w:tcPr>
          <w:p w14:paraId="7955C597" w14:textId="77777777" w:rsidR="00EB3114" w:rsidRDefault="00000000">
            <w:pPr>
              <w:spacing w:after="100"/>
            </w:pPr>
            <w:r>
              <w:t>Mandatory for Australian federal and state government agency vendors.</w:t>
            </w:r>
          </w:p>
        </w:tc>
      </w:tr>
      <w:tr w:rsidR="00EB3114" w14:paraId="5E62EF19" w14:textId="77777777">
        <w:tc>
          <w:tcPr>
            <w:tcW w:w="1890" w:type="dxa"/>
            <w:tcBorders>
              <w:bottom w:val="single" w:sz="4" w:space="0" w:color="D0D8E4"/>
            </w:tcBorders>
            <w:shd w:val="clear" w:color="auto" w:fill="FFFFFF"/>
          </w:tcPr>
          <w:p w14:paraId="5386D192" w14:textId="77777777" w:rsidR="00EB3114" w:rsidRDefault="00000000">
            <w:pPr>
              <w:spacing w:after="100"/>
            </w:pPr>
            <w:r>
              <w:rPr>
                <w:b/>
                <w:bCs/>
                <w:color w:val="2A9DB8"/>
              </w:rPr>
              <w:t>TISAX</w:t>
            </w:r>
          </w:p>
        </w:tc>
        <w:tc>
          <w:tcPr>
            <w:tcW w:w="1695" w:type="dxa"/>
            <w:tcBorders>
              <w:bottom w:val="single" w:sz="4" w:space="0" w:color="D0D8E4"/>
            </w:tcBorders>
            <w:shd w:val="clear" w:color="auto" w:fill="FFFFFF"/>
          </w:tcPr>
          <w:p w14:paraId="7622B330" w14:textId="77777777" w:rsidR="00EB3114" w:rsidRDefault="00000000">
            <w:pPr>
              <w:spacing w:after="100"/>
            </w:pPr>
            <w:r>
              <w:t>Automotive OEM</w:t>
            </w:r>
          </w:p>
        </w:tc>
        <w:tc>
          <w:tcPr>
            <w:tcW w:w="5760" w:type="dxa"/>
            <w:tcBorders>
              <w:bottom w:val="single" w:sz="4" w:space="0" w:color="D0D8E4"/>
            </w:tcBorders>
            <w:shd w:val="clear" w:color="auto" w:fill="FFFFFF"/>
          </w:tcPr>
          <w:p w14:paraId="2C4140E2" w14:textId="77777777" w:rsidR="00EB3114" w:rsidRDefault="00000000">
            <w:pPr>
              <w:spacing w:after="100"/>
            </w:pPr>
            <w:r>
              <w:t>BMW, VW, Mercedes-Benz supply chain. ENX-restricted results.</w:t>
            </w:r>
          </w:p>
        </w:tc>
      </w:tr>
      <w:tr w:rsidR="00EB3114" w14:paraId="015F6BEA" w14:textId="77777777">
        <w:tc>
          <w:tcPr>
            <w:tcW w:w="1890" w:type="dxa"/>
            <w:tcBorders>
              <w:bottom w:val="single" w:sz="4" w:space="0" w:color="D0D8E4"/>
            </w:tcBorders>
            <w:shd w:val="clear" w:color="auto" w:fill="FFFFFF"/>
          </w:tcPr>
          <w:p w14:paraId="147B797C" w14:textId="77777777" w:rsidR="00EB3114" w:rsidRDefault="00000000">
            <w:pPr>
              <w:spacing w:after="100"/>
            </w:pPr>
            <w:r>
              <w:rPr>
                <w:b/>
                <w:bCs/>
                <w:color w:val="2A9DB8"/>
              </w:rPr>
              <w:t>DORA</w:t>
            </w:r>
          </w:p>
        </w:tc>
        <w:tc>
          <w:tcPr>
            <w:tcW w:w="1695" w:type="dxa"/>
            <w:tcBorders>
              <w:bottom w:val="single" w:sz="4" w:space="0" w:color="D0D8E4"/>
            </w:tcBorders>
            <w:shd w:val="clear" w:color="auto" w:fill="FFFFFF"/>
          </w:tcPr>
          <w:p w14:paraId="5FF056FF" w14:textId="77777777" w:rsidR="00EB3114" w:rsidRDefault="00000000">
            <w:pPr>
              <w:spacing w:after="100"/>
            </w:pPr>
            <w:r>
              <w:t>EU Financial</w:t>
            </w:r>
          </w:p>
        </w:tc>
        <w:tc>
          <w:tcPr>
            <w:tcW w:w="5760" w:type="dxa"/>
            <w:tcBorders>
              <w:bottom w:val="single" w:sz="4" w:space="0" w:color="D0D8E4"/>
            </w:tcBorders>
            <w:shd w:val="clear" w:color="auto" w:fill="FFFFFF"/>
          </w:tcPr>
          <w:p w14:paraId="22466362" w14:textId="77777777" w:rsidR="00EB3114" w:rsidRDefault="00000000">
            <w:pPr>
              <w:spacing w:after="100"/>
            </w:pPr>
            <w:r>
              <w:t>Digital operational resilience for EU financial entities. Effective 2025.</w:t>
            </w:r>
          </w:p>
        </w:tc>
      </w:tr>
      <w:tr w:rsidR="00EB3114" w14:paraId="742AEB22" w14:textId="77777777">
        <w:tc>
          <w:tcPr>
            <w:tcW w:w="1890" w:type="dxa"/>
            <w:tcBorders>
              <w:bottom w:val="single" w:sz="4" w:space="0" w:color="D0D8E4"/>
            </w:tcBorders>
            <w:shd w:val="clear" w:color="auto" w:fill="FFFFFF"/>
          </w:tcPr>
          <w:p w14:paraId="44BBA428" w14:textId="77777777" w:rsidR="00EB3114" w:rsidRDefault="00000000">
            <w:pPr>
              <w:spacing w:after="100"/>
            </w:pPr>
            <w:r>
              <w:rPr>
                <w:b/>
                <w:bCs/>
                <w:color w:val="2A9DB8"/>
              </w:rPr>
              <w:t>OSFI B-13</w:t>
            </w:r>
          </w:p>
        </w:tc>
        <w:tc>
          <w:tcPr>
            <w:tcW w:w="1695" w:type="dxa"/>
            <w:tcBorders>
              <w:bottom w:val="single" w:sz="4" w:space="0" w:color="D0D8E4"/>
            </w:tcBorders>
            <w:shd w:val="clear" w:color="auto" w:fill="FFFFFF"/>
          </w:tcPr>
          <w:p w14:paraId="6D957C8E" w14:textId="77777777" w:rsidR="00EB3114" w:rsidRDefault="00000000">
            <w:pPr>
              <w:spacing w:after="100"/>
            </w:pPr>
            <w:r>
              <w:t>Canadian Banking</w:t>
            </w:r>
          </w:p>
        </w:tc>
        <w:tc>
          <w:tcPr>
            <w:tcW w:w="5760" w:type="dxa"/>
            <w:tcBorders>
              <w:bottom w:val="single" w:sz="4" w:space="0" w:color="D0D8E4"/>
            </w:tcBorders>
            <w:shd w:val="clear" w:color="auto" w:fill="FFFFFF"/>
          </w:tcPr>
          <w:p w14:paraId="1AD839B7" w14:textId="77777777" w:rsidR="00EB3114" w:rsidRDefault="00000000">
            <w:pPr>
              <w:spacing w:after="100"/>
            </w:pPr>
            <w:r>
              <w:t>Technology risk for Canadian federally regulated financial institutions.</w:t>
            </w:r>
          </w:p>
        </w:tc>
      </w:tr>
      <w:tr w:rsidR="00EB3114" w14:paraId="4AA096B9" w14:textId="77777777">
        <w:tc>
          <w:tcPr>
            <w:tcW w:w="1890" w:type="dxa"/>
            <w:tcBorders>
              <w:bottom w:val="single" w:sz="4" w:space="0" w:color="D0D8E4"/>
            </w:tcBorders>
            <w:shd w:val="clear" w:color="auto" w:fill="FFFFFF"/>
          </w:tcPr>
          <w:p w14:paraId="2D8B6666" w14:textId="77777777" w:rsidR="00EB3114" w:rsidRDefault="00000000">
            <w:pPr>
              <w:spacing w:after="100"/>
            </w:pPr>
            <w:r>
              <w:rPr>
                <w:b/>
                <w:bCs/>
                <w:color w:val="2A9DB8"/>
              </w:rPr>
              <w:t>DPDP</w:t>
            </w:r>
          </w:p>
        </w:tc>
        <w:tc>
          <w:tcPr>
            <w:tcW w:w="1695" w:type="dxa"/>
            <w:tcBorders>
              <w:bottom w:val="single" w:sz="4" w:space="0" w:color="D0D8E4"/>
            </w:tcBorders>
            <w:shd w:val="clear" w:color="auto" w:fill="FFFFFF"/>
          </w:tcPr>
          <w:p w14:paraId="57E41206" w14:textId="77777777" w:rsidR="00EB3114" w:rsidRDefault="00000000">
            <w:pPr>
              <w:spacing w:after="100"/>
            </w:pPr>
            <w:r>
              <w:t>India Privacy</w:t>
            </w:r>
          </w:p>
        </w:tc>
        <w:tc>
          <w:tcPr>
            <w:tcW w:w="5760" w:type="dxa"/>
            <w:tcBorders>
              <w:bottom w:val="single" w:sz="4" w:space="0" w:color="D0D8E4"/>
            </w:tcBorders>
            <w:shd w:val="clear" w:color="auto" w:fill="FFFFFF"/>
          </w:tcPr>
          <w:p w14:paraId="63944825" w14:textId="77777777" w:rsidR="00EB3114" w:rsidRDefault="00000000">
            <w:pPr>
              <w:spacing w:after="100"/>
            </w:pPr>
            <w:r>
              <w:t>Digital Personal Data Protection Act, Indian citizen data obligations.</w:t>
            </w:r>
          </w:p>
        </w:tc>
      </w:tr>
      <w:tr w:rsidR="00EB3114" w14:paraId="76699EF8" w14:textId="77777777">
        <w:tc>
          <w:tcPr>
            <w:tcW w:w="1890" w:type="dxa"/>
            <w:tcBorders>
              <w:bottom w:val="single" w:sz="4" w:space="0" w:color="D0D8E4"/>
            </w:tcBorders>
            <w:shd w:val="clear" w:color="auto" w:fill="FFFFFF"/>
          </w:tcPr>
          <w:p w14:paraId="0DC30489" w14:textId="77777777" w:rsidR="00EB3114" w:rsidRDefault="00000000">
            <w:pPr>
              <w:spacing w:after="100"/>
            </w:pPr>
            <w:r>
              <w:rPr>
                <w:b/>
                <w:bCs/>
                <w:color w:val="2A9DB8"/>
              </w:rPr>
              <w:t>ISMS-P / PIPA</w:t>
            </w:r>
          </w:p>
        </w:tc>
        <w:tc>
          <w:tcPr>
            <w:tcW w:w="1695" w:type="dxa"/>
            <w:tcBorders>
              <w:bottom w:val="single" w:sz="4" w:space="0" w:color="D0D8E4"/>
            </w:tcBorders>
            <w:shd w:val="clear" w:color="auto" w:fill="FFFFFF"/>
          </w:tcPr>
          <w:p w14:paraId="0D91C0A2" w14:textId="77777777" w:rsidR="00EB3114" w:rsidRDefault="00000000">
            <w:pPr>
              <w:spacing w:after="100"/>
            </w:pPr>
            <w:r>
              <w:t>South Korea</w:t>
            </w:r>
          </w:p>
        </w:tc>
        <w:tc>
          <w:tcPr>
            <w:tcW w:w="5760" w:type="dxa"/>
            <w:tcBorders>
              <w:bottom w:val="single" w:sz="4" w:space="0" w:color="D0D8E4"/>
            </w:tcBorders>
            <w:shd w:val="clear" w:color="auto" w:fill="FFFFFF"/>
          </w:tcPr>
          <w:p w14:paraId="2B97B78E" w14:textId="77777777" w:rsidR="00EB3114" w:rsidRDefault="00000000">
            <w:pPr>
              <w:spacing w:after="100"/>
            </w:pPr>
            <w:r>
              <w:t>Combined InfoSec and privacy certification for the Korean market.</w:t>
            </w:r>
          </w:p>
        </w:tc>
      </w:tr>
      <w:tr w:rsidR="00EB3114" w14:paraId="27F9793C" w14:textId="77777777">
        <w:tc>
          <w:tcPr>
            <w:tcW w:w="1890" w:type="dxa"/>
            <w:tcBorders>
              <w:bottom w:val="single" w:sz="4" w:space="0" w:color="D0D8E4"/>
            </w:tcBorders>
            <w:shd w:val="clear" w:color="auto" w:fill="FFFFFF"/>
          </w:tcPr>
          <w:p w14:paraId="4D048EDF" w14:textId="77777777" w:rsidR="00EB3114" w:rsidRDefault="00000000">
            <w:pPr>
              <w:spacing w:after="100"/>
            </w:pPr>
            <w:r>
              <w:rPr>
                <w:b/>
                <w:bCs/>
                <w:color w:val="2A9DB8"/>
              </w:rPr>
              <w:t>DESC</w:t>
            </w:r>
          </w:p>
        </w:tc>
        <w:tc>
          <w:tcPr>
            <w:tcW w:w="1695" w:type="dxa"/>
            <w:tcBorders>
              <w:bottom w:val="single" w:sz="4" w:space="0" w:color="D0D8E4"/>
            </w:tcBorders>
            <w:shd w:val="clear" w:color="auto" w:fill="FFFFFF"/>
          </w:tcPr>
          <w:p w14:paraId="42E9E7BD" w14:textId="77777777" w:rsidR="00EB3114" w:rsidRDefault="00000000">
            <w:pPr>
              <w:spacing w:after="100"/>
            </w:pPr>
            <w:r>
              <w:t>UAE / MENA</w:t>
            </w:r>
          </w:p>
        </w:tc>
        <w:tc>
          <w:tcPr>
            <w:tcW w:w="5760" w:type="dxa"/>
            <w:tcBorders>
              <w:bottom w:val="single" w:sz="4" w:space="0" w:color="D0D8E4"/>
            </w:tcBorders>
            <w:shd w:val="clear" w:color="auto" w:fill="FFFFFF"/>
          </w:tcPr>
          <w:p w14:paraId="226C18A0" w14:textId="77777777" w:rsidR="00EB3114" w:rsidRDefault="00000000">
            <w:pPr>
              <w:spacing w:after="100"/>
            </w:pPr>
            <w:r>
              <w:t>Dubai Electronic Security Center, UAE and Middle East government vendors.</w:t>
            </w:r>
          </w:p>
        </w:tc>
      </w:tr>
    </w:tbl>
    <w:p w14:paraId="28ACB4BC" w14:textId="77777777" w:rsidR="00EB3114" w:rsidRDefault="00EB3114">
      <w:pPr>
        <w:pageBreakBefore/>
        <w:spacing w:after="100"/>
      </w:pPr>
    </w:p>
    <w:p w14:paraId="049E6425" w14:textId="77777777" w:rsidR="00EB3114" w:rsidRDefault="00000000">
      <w:pPr>
        <w:spacing w:before="160" w:after="60"/>
        <w:rPr>
          <w:sz w:val="28"/>
          <w:szCs w:val="28"/>
        </w:rPr>
      </w:pPr>
      <w:r>
        <w:rPr>
          <w:rFonts w:ascii="Century Gothic" w:eastAsia="Century Gothic" w:hAnsi="Century Gothic" w:cs="Century Gothic"/>
          <w:b/>
          <w:bCs/>
          <w:color w:val="8C5C0A"/>
          <w:sz w:val="28"/>
          <w:szCs w:val="28"/>
        </w:rPr>
        <w:t>CAREER OVERVIEW: 13 YEARS, THREE ARCS</w:t>
      </w:r>
    </w:p>
    <w:p w14:paraId="4B749CBB" w14:textId="77777777" w:rsidR="00EB3114" w:rsidRDefault="00EB3114">
      <w:pPr>
        <w:pBdr>
          <w:top w:val="none" w:sz="0" w:space="0" w:color="000000"/>
          <w:left w:val="none" w:sz="0" w:space="0" w:color="000000"/>
          <w:bottom w:val="single" w:sz="4" w:space="1" w:color="8C5C0A"/>
          <w:right w:val="none" w:sz="0" w:space="0" w:color="000000"/>
        </w:pBdr>
        <w:spacing w:after="100"/>
      </w:pPr>
    </w:p>
    <w:p w14:paraId="53ADA21A" w14:textId="77777777" w:rsidR="00EB3114" w:rsidRDefault="00000000">
      <w:pPr>
        <w:spacing w:after="120"/>
        <w:rPr>
          <w:rFonts w:ascii="Century Gothic" w:eastAsia="Century Gothic" w:hAnsi="Century Gothic" w:cs="Century Gothic"/>
          <w:color w:val="1A4A7A"/>
          <w:sz w:val="19"/>
          <w:szCs w:val="19"/>
        </w:rPr>
      </w:pPr>
      <w:r>
        <w:rPr>
          <w:rFonts w:ascii="Century Gothic" w:eastAsia="Century Gothic" w:hAnsi="Century Gothic" w:cs="Century Gothic"/>
          <w:b/>
          <w:bCs/>
          <w:sz w:val="18"/>
          <w:szCs w:val="18"/>
        </w:rPr>
        <w:t>The 13-year career divides into three clear arcs,</w:t>
      </w:r>
      <w:r>
        <w:rPr>
          <w:rFonts w:ascii="Century Gothic" w:eastAsia="Century Gothic" w:hAnsi="Century Gothic" w:cs="Century Gothic"/>
          <w:sz w:val="18"/>
          <w:szCs w:val="18"/>
        </w:rPr>
        <w:t xml:space="preserve"> each building on the last: foundational security work in regulated industries (healthcare, higher education, financial services), then growth-stage compliance leadership at public and pre-IPO technology companies (Elastic, People.ai), then enterprise compliance program leadership through IPO at a category-defining data security company (Rubrik).</w:t>
      </w:r>
    </w:p>
    <w:tbl>
      <w:tblPr>
        <w:tblStyle w:val="a4"/>
        <w:tblW w:w="10079" w:type="dxa"/>
        <w:tblInd w:w="1" w:type="dxa"/>
        <w:tblLayout w:type="fixed"/>
        <w:tblLook w:val="0000" w:firstRow="0" w:lastRow="0" w:firstColumn="0" w:lastColumn="0" w:noHBand="0" w:noVBand="0"/>
      </w:tblPr>
      <w:tblGrid>
        <w:gridCol w:w="6248"/>
        <w:gridCol w:w="3831"/>
      </w:tblGrid>
      <w:tr w:rsidR="00EB3114" w14:paraId="13D42CE1" w14:textId="77777777">
        <w:tc>
          <w:tcPr>
            <w:tcW w:w="6248" w:type="dxa"/>
            <w:tcBorders>
              <w:left w:val="single" w:sz="4" w:space="0" w:color="1A4A7A"/>
            </w:tcBorders>
            <w:shd w:val="clear" w:color="auto" w:fill="FFFFFF"/>
            <w:tcMar>
              <w:top w:w="100" w:type="dxa"/>
              <w:left w:w="140" w:type="dxa"/>
              <w:bottom w:w="100" w:type="dxa"/>
              <w:right w:w="120" w:type="dxa"/>
            </w:tcMar>
          </w:tcPr>
          <w:p w14:paraId="47309610" w14:textId="77777777" w:rsidR="00EB3114" w:rsidRDefault="00000000">
            <w:pPr>
              <w:spacing w:after="30"/>
              <w:rPr>
                <w:rFonts w:ascii="Century Gothic" w:eastAsia="Century Gothic" w:hAnsi="Century Gothic" w:cs="Century Gothic"/>
                <w:color w:val="4A5568"/>
                <w:sz w:val="14"/>
                <w:szCs w:val="14"/>
              </w:rPr>
            </w:pPr>
            <w:r>
              <w:rPr>
                <w:rFonts w:ascii="Century Gothic" w:eastAsia="Century Gothic" w:hAnsi="Century Gothic" w:cs="Century Gothic"/>
                <w:b/>
                <w:bCs/>
                <w:color w:val="1A4A7A"/>
                <w:sz w:val="19"/>
                <w:szCs w:val="19"/>
              </w:rPr>
              <w:t>Arc I, Regulated Industry Foundation</w:t>
            </w:r>
          </w:p>
          <w:p w14:paraId="2DF9BCC1" w14:textId="77777777" w:rsidR="00EB3114" w:rsidRDefault="00000000">
            <w:pPr>
              <w:spacing w:after="80"/>
              <w:rPr>
                <w:rFonts w:ascii="Century Gothic" w:eastAsia="Century Gothic" w:hAnsi="Century Gothic" w:cs="Century Gothic"/>
                <w:sz w:val="17"/>
                <w:szCs w:val="17"/>
              </w:rPr>
            </w:pPr>
            <w:r>
              <w:rPr>
                <w:rFonts w:ascii="Century Gothic" w:eastAsia="Century Gothic" w:hAnsi="Century Gothic" w:cs="Century Gothic"/>
                <w:color w:val="4A5568"/>
                <w:sz w:val="14"/>
                <w:szCs w:val="14"/>
              </w:rPr>
              <w:t>2011–2018  ·  OSU / Huntington Bank / Saint Mary's / Evariant / Aetna/CVS</w:t>
            </w:r>
          </w:p>
          <w:p w14:paraId="60CB02E4" w14:textId="77777777" w:rsidR="00EB3114" w:rsidRDefault="00000000">
            <w:pPr>
              <w:spacing w:after="80"/>
            </w:pPr>
            <w:r>
              <w:rPr>
                <w:rFonts w:ascii="Century Gothic" w:eastAsia="Century Gothic" w:hAnsi="Century Gothic" w:cs="Century Gothic"/>
                <w:sz w:val="17"/>
                <w:szCs w:val="17"/>
              </w:rPr>
              <w:t>Seven years in healthcare, higher education, and financial services. Built the pattern recognition and regulatory fluency that makes enterprise compliance work possible: HIPAA at scale, PHI across complex infrastructure, federal regulator relationships, first CISO role, $3M DLP program, 100,000+ incident remediation.</w:t>
            </w:r>
          </w:p>
        </w:tc>
        <w:tc>
          <w:tcPr>
            <w:tcW w:w="3831" w:type="dxa"/>
          </w:tcPr>
          <w:p w14:paraId="673AC94E"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HIPAA Security + Privacy Rule</w:t>
            </w:r>
          </w:p>
          <w:p w14:paraId="5549A56D"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First CISO-equivalent role</w:t>
            </w:r>
          </w:p>
          <w:p w14:paraId="055C3C9D"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$3M DLP program</w:t>
            </w:r>
          </w:p>
          <w:p w14:paraId="3E8E09BC"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50+ hospital networks</w:t>
            </w:r>
          </w:p>
          <w:p w14:paraId="6A183BB3" w14:textId="77777777" w:rsidR="00EB3114" w:rsidRDefault="00000000">
            <w:pPr>
              <w:spacing w:after="40"/>
              <w:rPr>
                <w:rFonts w:ascii="Century Gothic" w:eastAsia="Century Gothic" w:hAnsi="Century Gothic" w:cs="Century Gothic"/>
                <w:color w:val="1A4A7A"/>
                <w:sz w:val="15"/>
                <w:szCs w:val="15"/>
              </w:rPr>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100,000+ incidents remediated</w:t>
            </w:r>
          </w:p>
          <w:p w14:paraId="3EB72A07" w14:textId="77777777" w:rsidR="00EB3114" w:rsidRDefault="00000000">
            <w:pPr>
              <w:spacing w:after="40"/>
            </w:pPr>
            <w:r>
              <w:rPr>
                <w:rFonts w:ascii="Century Gothic" w:eastAsia="Century Gothic" w:hAnsi="Century Gothic" w:cs="Century Gothic"/>
                <w:color w:val="1A4A7A"/>
                <w:sz w:val="15"/>
                <w:szCs w:val="15"/>
              </w:rPr>
              <w:t xml:space="preserve">• </w:t>
            </w:r>
            <w:r>
              <w:rPr>
                <w:rFonts w:ascii="Century Gothic" w:eastAsia="Century Gothic" w:hAnsi="Century Gothic" w:cs="Century Gothic"/>
                <w:color w:val="1A2A40"/>
                <w:sz w:val="15"/>
                <w:szCs w:val="15"/>
              </w:rPr>
              <w:t>Federal audit readiness from scratch</w:t>
            </w:r>
          </w:p>
        </w:tc>
      </w:tr>
    </w:tbl>
    <w:p w14:paraId="4DCA8183" w14:textId="77777777" w:rsidR="00EB3114" w:rsidRDefault="00EB3114">
      <w:pPr>
        <w:spacing w:after="100"/>
      </w:pPr>
    </w:p>
    <w:tbl>
      <w:tblPr>
        <w:tblStyle w:val="a5"/>
        <w:tblW w:w="10079" w:type="dxa"/>
        <w:tblInd w:w="1" w:type="dxa"/>
        <w:tblLayout w:type="fixed"/>
        <w:tblLook w:val="0000" w:firstRow="0" w:lastRow="0" w:firstColumn="0" w:lastColumn="0" w:noHBand="0" w:noVBand="0"/>
      </w:tblPr>
      <w:tblGrid>
        <w:gridCol w:w="6248"/>
        <w:gridCol w:w="3831"/>
      </w:tblGrid>
      <w:tr w:rsidR="00EB3114" w14:paraId="19389D46" w14:textId="77777777">
        <w:tc>
          <w:tcPr>
            <w:tcW w:w="6248" w:type="dxa"/>
            <w:tcBorders>
              <w:left w:val="single" w:sz="4" w:space="0" w:color="2A9DB8"/>
            </w:tcBorders>
            <w:shd w:val="clear" w:color="auto" w:fill="FFFFFF"/>
            <w:tcMar>
              <w:top w:w="100" w:type="dxa"/>
              <w:left w:w="140" w:type="dxa"/>
              <w:bottom w:w="100" w:type="dxa"/>
              <w:right w:w="120" w:type="dxa"/>
            </w:tcMar>
          </w:tcPr>
          <w:p w14:paraId="6CD76D42" w14:textId="77777777" w:rsidR="00EB3114" w:rsidRDefault="00000000">
            <w:pPr>
              <w:spacing w:after="30"/>
              <w:rPr>
                <w:rFonts w:ascii="Century Gothic" w:eastAsia="Century Gothic" w:hAnsi="Century Gothic" w:cs="Century Gothic"/>
                <w:color w:val="4A5568"/>
                <w:sz w:val="14"/>
                <w:szCs w:val="14"/>
              </w:rPr>
            </w:pPr>
            <w:r>
              <w:rPr>
                <w:rFonts w:ascii="Century Gothic" w:eastAsia="Century Gothic" w:hAnsi="Century Gothic" w:cs="Century Gothic"/>
                <w:b/>
                <w:bCs/>
                <w:color w:val="2A9DB8"/>
                <w:sz w:val="19"/>
                <w:szCs w:val="19"/>
              </w:rPr>
              <w:t>Arc II, Growth-Stage Public and Pre-IPO Company Compliance</w:t>
            </w:r>
          </w:p>
          <w:p w14:paraId="1F8761AF" w14:textId="77777777" w:rsidR="00EB3114" w:rsidRDefault="00000000">
            <w:pPr>
              <w:spacing w:after="80"/>
              <w:rPr>
                <w:rFonts w:ascii="Century Gothic" w:eastAsia="Century Gothic" w:hAnsi="Century Gothic" w:cs="Century Gothic"/>
                <w:sz w:val="17"/>
                <w:szCs w:val="17"/>
              </w:rPr>
            </w:pPr>
            <w:r>
              <w:rPr>
                <w:rFonts w:ascii="Century Gothic" w:eastAsia="Century Gothic" w:hAnsi="Century Gothic" w:cs="Century Gothic"/>
                <w:color w:val="4A5568"/>
                <w:sz w:val="14"/>
                <w:szCs w:val="14"/>
              </w:rPr>
              <w:t>2018–2023  ·  Elastic (NYSE: ESTC)  ·  People.ai ($1.1B unicorn)</w:t>
            </w:r>
          </w:p>
          <w:p w14:paraId="27BB2ED9" w14:textId="77777777" w:rsidR="00EB3114" w:rsidRDefault="00000000">
            <w:pPr>
              <w:spacing w:after="80"/>
            </w:pPr>
            <w:r>
              <w:rPr>
                <w:rFonts w:ascii="Century Gothic" w:eastAsia="Century Gothic" w:hAnsi="Century Gothic" w:cs="Century Gothic"/>
                <w:sz w:val="17"/>
                <w:szCs w:val="17"/>
              </w:rPr>
              <w:t>Five years scaling compliance at two public technology companies during periods of exceptional growth. First ISO certifications at Elastic cited in FY2019 10-K. Zero-to-one compliance program at People.ai in a single 8-month build cycle. First full deployment of Coordinated Compliance methodology.</w:t>
            </w:r>
          </w:p>
        </w:tc>
        <w:tc>
          <w:tcPr>
            <w:tcW w:w="3831" w:type="dxa"/>
          </w:tcPr>
          <w:p w14:paraId="5300FE1E"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NYSE: ESTC compliance leadership</w:t>
            </w:r>
          </w:p>
          <w:p w14:paraId="6821A315"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First ISO certs cited in 10-K</w:t>
            </w:r>
          </w:p>
          <w:p w14:paraId="6D7A42D4"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Zero-to-one at $1.1B unicorn</w:t>
            </w:r>
          </w:p>
          <w:p w14:paraId="0662B5EE" w14:textId="77777777" w:rsidR="00EB3114" w:rsidRDefault="00000000">
            <w:pPr>
              <w:spacing w:after="40"/>
              <w:rPr>
                <w:rFonts w:ascii="Century Gothic" w:eastAsia="Century Gothic" w:hAnsi="Century Gothic" w:cs="Century Gothic"/>
                <w:color w:val="2A9DB8"/>
                <w:sz w:val="15"/>
                <w:szCs w:val="15"/>
              </w:rPr>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6 certs from zero in 18 months</w:t>
            </w:r>
          </w:p>
          <w:p w14:paraId="13EA2921" w14:textId="77777777" w:rsidR="00EB3114" w:rsidRDefault="00000000">
            <w:pPr>
              <w:spacing w:after="40"/>
            </w:pPr>
            <w:r>
              <w:rPr>
                <w:rFonts w:ascii="Century Gothic" w:eastAsia="Century Gothic" w:hAnsi="Century Gothic" w:cs="Century Gothic"/>
                <w:color w:val="2A9DB8"/>
                <w:sz w:val="15"/>
                <w:szCs w:val="15"/>
              </w:rPr>
              <w:t xml:space="preserve">• </w:t>
            </w:r>
            <w:r>
              <w:rPr>
                <w:rFonts w:ascii="Century Gothic" w:eastAsia="Century Gothic" w:hAnsi="Century Gothic" w:cs="Century Gothic"/>
                <w:color w:val="1A2A40"/>
                <w:sz w:val="15"/>
                <w:szCs w:val="15"/>
              </w:rPr>
              <w:t>Coordinated Compliance: first deployment</w:t>
            </w:r>
          </w:p>
        </w:tc>
      </w:tr>
    </w:tbl>
    <w:p w14:paraId="2BF64871" w14:textId="77777777" w:rsidR="00EB3114" w:rsidRDefault="00EB3114">
      <w:pPr>
        <w:spacing w:after="100"/>
      </w:pPr>
    </w:p>
    <w:tbl>
      <w:tblPr>
        <w:tblStyle w:val="a6"/>
        <w:tblW w:w="10079" w:type="dxa"/>
        <w:tblInd w:w="1" w:type="dxa"/>
        <w:tblLayout w:type="fixed"/>
        <w:tblLook w:val="0000" w:firstRow="0" w:lastRow="0" w:firstColumn="0" w:lastColumn="0" w:noHBand="0" w:noVBand="0"/>
      </w:tblPr>
      <w:tblGrid>
        <w:gridCol w:w="6248"/>
        <w:gridCol w:w="3831"/>
      </w:tblGrid>
      <w:tr w:rsidR="00EB3114" w14:paraId="545CCD2B" w14:textId="77777777">
        <w:tc>
          <w:tcPr>
            <w:tcW w:w="6248" w:type="dxa"/>
            <w:tcBorders>
              <w:left w:val="single" w:sz="4" w:space="0" w:color="2A3A52"/>
            </w:tcBorders>
            <w:shd w:val="clear" w:color="auto" w:fill="FFFFFF"/>
            <w:tcMar>
              <w:top w:w="100" w:type="dxa"/>
              <w:left w:w="140" w:type="dxa"/>
              <w:bottom w:w="100" w:type="dxa"/>
              <w:right w:w="120" w:type="dxa"/>
            </w:tcMar>
          </w:tcPr>
          <w:p w14:paraId="2245F1DE" w14:textId="77777777" w:rsidR="00EB3114" w:rsidRDefault="00000000">
            <w:pPr>
              <w:spacing w:after="30"/>
              <w:rPr>
                <w:rFonts w:ascii="Century Gothic" w:eastAsia="Century Gothic" w:hAnsi="Century Gothic" w:cs="Century Gothic"/>
                <w:color w:val="4A5568"/>
                <w:sz w:val="14"/>
                <w:szCs w:val="14"/>
              </w:rPr>
            </w:pPr>
            <w:r>
              <w:rPr>
                <w:rFonts w:ascii="Century Gothic" w:eastAsia="Century Gothic" w:hAnsi="Century Gothic" w:cs="Century Gothic"/>
                <w:b/>
                <w:bCs/>
                <w:color w:val="2A3A52"/>
                <w:sz w:val="19"/>
                <w:szCs w:val="19"/>
              </w:rPr>
              <w:t>Arc III, Enterprise IPO Compliance Leadership</w:t>
            </w:r>
          </w:p>
          <w:p w14:paraId="705C8AD1" w14:textId="77777777" w:rsidR="00EB3114" w:rsidRDefault="00000000">
            <w:pPr>
              <w:spacing w:after="80"/>
              <w:rPr>
                <w:rFonts w:ascii="Century Gothic" w:eastAsia="Century Gothic" w:hAnsi="Century Gothic" w:cs="Century Gothic"/>
                <w:sz w:val="17"/>
                <w:szCs w:val="17"/>
              </w:rPr>
            </w:pPr>
            <w:r>
              <w:rPr>
                <w:rFonts w:ascii="Century Gothic" w:eastAsia="Century Gothic" w:hAnsi="Century Gothic" w:cs="Century Gothic"/>
                <w:color w:val="4A5568"/>
                <w:sz w:val="14"/>
                <w:szCs w:val="14"/>
              </w:rPr>
              <w:t>2023–2026  ·  Rubrik (NYSE: RBRK)</w:t>
            </w:r>
          </w:p>
          <w:p w14:paraId="29466478" w14:textId="77777777" w:rsidR="00EB3114" w:rsidRDefault="00000000">
            <w:pPr>
              <w:spacing w:after="80"/>
            </w:pPr>
            <w:r>
              <w:rPr>
                <w:rFonts w:ascii="Century Gothic" w:eastAsia="Century Gothic" w:hAnsi="Century Gothic" w:cs="Century Gothic"/>
                <w:sz w:val="17"/>
                <w:szCs w:val="17"/>
              </w:rPr>
              <w:t>Three years as Head of Commercial Compliance + Customer Trust through Rubrik's NYSE IPO (April 2024) and post-IPO scaling. Grew the certification portfolio from 3 to 13 globally recognized standards. Three M&amp;A integrations with zero gaps. The compliance team scaled 1 to 5.</w:t>
            </w:r>
          </w:p>
        </w:tc>
        <w:tc>
          <w:tcPr>
            <w:tcW w:w="3831" w:type="dxa"/>
          </w:tcPr>
          <w:p w14:paraId="0C8922D8"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NYSE: RBRK IPO April 2024</w:t>
            </w:r>
          </w:p>
          <w:p w14:paraId="040A6461"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S-1 compliance cited</w:t>
            </w:r>
          </w:p>
          <w:p w14:paraId="1DB9A1A6"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3 to 13 certifications</w:t>
            </w:r>
          </w:p>
          <w:p w14:paraId="757B30EC"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$1B+ market access unlocked</w:t>
            </w:r>
          </w:p>
          <w:p w14:paraId="1210C2DA"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3 M&amp;A integrations, zero gaps</w:t>
            </w:r>
          </w:p>
          <w:p w14:paraId="280FD514" w14:textId="77777777" w:rsidR="00EB3114" w:rsidRDefault="00000000">
            <w:pPr>
              <w:spacing w:after="40"/>
              <w:rPr>
                <w:rFonts w:ascii="Century Gothic" w:eastAsia="Century Gothic" w:hAnsi="Century Gothic" w:cs="Century Gothic"/>
                <w:color w:val="2A3A52"/>
                <w:sz w:val="15"/>
                <w:szCs w:val="15"/>
              </w:rPr>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Customer Trust ownership</w:t>
            </w:r>
          </w:p>
          <w:p w14:paraId="026E165E" w14:textId="77777777" w:rsidR="00EB3114" w:rsidRDefault="00000000">
            <w:pPr>
              <w:spacing w:after="40"/>
            </w:pPr>
            <w:r>
              <w:rPr>
                <w:rFonts w:ascii="Century Gothic" w:eastAsia="Century Gothic" w:hAnsi="Century Gothic" w:cs="Century Gothic"/>
                <w:color w:val="2A3A52"/>
                <w:sz w:val="15"/>
                <w:szCs w:val="15"/>
              </w:rPr>
              <w:t xml:space="preserve">• </w:t>
            </w:r>
            <w:r>
              <w:rPr>
                <w:rFonts w:ascii="Century Gothic" w:eastAsia="Century Gothic" w:hAnsi="Century Gothic" w:cs="Century Gothic"/>
                <w:color w:val="1A2A40"/>
                <w:sz w:val="15"/>
                <w:szCs w:val="15"/>
              </w:rPr>
              <w:t>FedRAMP Moderate FY2025</w:t>
            </w:r>
          </w:p>
        </w:tc>
      </w:tr>
    </w:tbl>
    <w:p w14:paraId="0737CD3C" w14:textId="77777777" w:rsidR="00EB3114" w:rsidRDefault="00EB3114">
      <w:pPr>
        <w:spacing w:after="100"/>
      </w:pPr>
    </w:p>
    <w:p w14:paraId="02C91C6A" w14:textId="77777777" w:rsidR="00EB3114" w:rsidRDefault="00EB3114"/>
    <w:p w14:paraId="7853C906" w14:textId="77777777" w:rsidR="00EB3114" w:rsidRDefault="00EB3114"/>
    <w:p w14:paraId="4153E611" w14:textId="77777777" w:rsidR="00EB3114" w:rsidRDefault="00EB3114"/>
    <w:p w14:paraId="4AADE088" w14:textId="77777777" w:rsidR="00EB3114" w:rsidRDefault="00EB3114"/>
    <w:p w14:paraId="0B8BB0C1" w14:textId="77777777" w:rsidR="00EB3114" w:rsidRDefault="00EB3114"/>
    <w:p w14:paraId="09088C72" w14:textId="77777777" w:rsidR="00EB3114" w:rsidRDefault="00EB3114"/>
    <w:p w14:paraId="2800AAF6" w14:textId="77777777" w:rsidR="00EB3114" w:rsidRDefault="00EB3114"/>
    <w:p w14:paraId="3CAB6606" w14:textId="77777777" w:rsidR="00EB3114" w:rsidRDefault="00EB3114"/>
    <w:p w14:paraId="1675D909" w14:textId="77777777" w:rsidR="00EB3114" w:rsidRDefault="00EB3114"/>
    <w:p w14:paraId="4213F47A" w14:textId="77777777" w:rsidR="00EB3114" w:rsidRDefault="00EB3114"/>
    <w:p w14:paraId="1296CDBB" w14:textId="77777777" w:rsidR="00EB3114" w:rsidRDefault="00EB3114"/>
    <w:p w14:paraId="3E5F3781" w14:textId="4536A3D3" w:rsidR="002972D5" w:rsidRDefault="002972D5">
      <w:r>
        <w:br w:type="page"/>
      </w:r>
    </w:p>
    <w:tbl>
      <w:tblPr>
        <w:tblStyle w:val="a7"/>
        <w:tblW w:w="10078" w:type="dxa"/>
        <w:tblInd w:w="1" w:type="dxa"/>
        <w:tblLayout w:type="fixed"/>
        <w:tblLook w:val="0000" w:firstRow="0" w:lastRow="0" w:firstColumn="0" w:lastColumn="0" w:noHBand="0" w:noVBand="0"/>
      </w:tblPr>
      <w:tblGrid>
        <w:gridCol w:w="6247"/>
        <w:gridCol w:w="304"/>
        <w:gridCol w:w="3527"/>
      </w:tblGrid>
      <w:tr w:rsidR="00EB3114" w14:paraId="75ADEA82" w14:textId="77777777" w:rsidTr="002972D5">
        <w:tc>
          <w:tcPr>
            <w:tcW w:w="6551" w:type="dxa"/>
            <w:gridSpan w:val="2"/>
            <w:tcBorders>
              <w:left w:val="single" w:sz="4" w:space="0" w:color="2A3A52"/>
              <w:bottom w:val="single" w:sz="4" w:space="0" w:color="2A3A52"/>
            </w:tcBorders>
            <w:shd w:val="clear" w:color="auto" w:fill="FFFFFF"/>
            <w:tcMar>
              <w:left w:w="140" w:type="dxa"/>
              <w:right w:w="100" w:type="dxa"/>
            </w:tcMar>
          </w:tcPr>
          <w:p w14:paraId="0AD5C6E2" w14:textId="77777777" w:rsidR="00EB3114" w:rsidRDefault="00000000">
            <w:pPr>
              <w:spacing w:after="100"/>
            </w:pPr>
            <w:r>
              <w:rPr>
                <w:b/>
                <w:bCs/>
                <w:color w:val="2A3A52"/>
                <w:sz w:val="26"/>
                <w:szCs w:val="26"/>
              </w:rPr>
              <w:lastRenderedPageBreak/>
              <w:t>Rubrik, Inc.</w:t>
            </w:r>
          </w:p>
        </w:tc>
        <w:tc>
          <w:tcPr>
            <w:tcW w:w="3527" w:type="dxa"/>
            <w:tcBorders>
              <w:bottom w:val="single" w:sz="4" w:space="0" w:color="2A3A52"/>
            </w:tcBorders>
            <w:shd w:val="clear" w:color="auto" w:fill="FFFFFF"/>
          </w:tcPr>
          <w:p w14:paraId="463B8D70" w14:textId="77777777" w:rsidR="00EB3114" w:rsidRDefault="00000000">
            <w:pPr>
              <w:spacing w:after="100"/>
              <w:jc w:val="right"/>
            </w:pPr>
            <w:r>
              <w:rPr>
                <w:rFonts w:ascii="Century Gothic" w:eastAsia="Century Gothic" w:hAnsi="Century Gothic" w:cs="Century Gothic"/>
                <w:color w:val="4A5568"/>
                <w:sz w:val="16"/>
                <w:szCs w:val="16"/>
              </w:rPr>
              <w:t>January 2023, April 2026</w:t>
            </w:r>
          </w:p>
        </w:tc>
      </w:tr>
      <w:tr w:rsidR="00EB3114" w14:paraId="1BC46C87" w14:textId="77777777" w:rsidTr="002972D5">
        <w:tc>
          <w:tcPr>
            <w:tcW w:w="6247" w:type="dxa"/>
            <w:tcMar>
              <w:top w:w="0" w:type="dxa"/>
              <w:left w:w="0" w:type="dxa"/>
              <w:bottom w:w="0" w:type="dxa"/>
              <w:right w:w="180" w:type="dxa"/>
            </w:tcMar>
          </w:tcPr>
          <w:p w14:paraId="2C0A81DA" w14:textId="77777777" w:rsidR="00EB3114" w:rsidRDefault="00000000">
            <w:pPr>
              <w:spacing w:after="80"/>
              <w:rPr>
                <w:rFonts w:ascii="Century Gothic" w:eastAsia="Century Gothic" w:hAnsi="Century Gothic" w:cs="Century Gothic"/>
                <w:color w:val="2A3A52"/>
              </w:rPr>
            </w:pPr>
            <w:r>
              <w:rPr>
                <w:b/>
                <w:bCs/>
                <w:color w:val="1A2A40"/>
                <w:sz w:val="22"/>
                <w:szCs w:val="22"/>
              </w:rPr>
              <w:t>Head of Security, Compliance &amp; Governance  +  Customer Trust</w:t>
            </w:r>
            <w:r>
              <w:rPr>
                <w:color w:val="4A5568"/>
                <w:sz w:val="16"/>
                <w:szCs w:val="16"/>
              </w:rPr>
              <w:t xml:space="preserve">  ·  </w:t>
            </w:r>
            <w:r>
              <w:rPr>
                <w:i/>
                <w:iCs/>
                <w:color w:val="4A5568"/>
                <w:sz w:val="16"/>
                <w:szCs w:val="16"/>
              </w:rPr>
              <w:t>NYSE: RBRK  ·  Data Security &amp; Cloud Data Management</w:t>
            </w:r>
          </w:p>
          <w:tbl>
            <w:tblPr>
              <w:tblStyle w:val="a8"/>
              <w:tblW w:w="6248" w:type="dxa"/>
              <w:tblInd w:w="0" w:type="dxa"/>
              <w:tblLayout w:type="fixed"/>
              <w:tblLook w:val="0000" w:firstRow="0" w:lastRow="0" w:firstColumn="0" w:lastColumn="0" w:noHBand="0" w:noVBand="0"/>
            </w:tblPr>
            <w:tblGrid>
              <w:gridCol w:w="1562"/>
              <w:gridCol w:w="1562"/>
              <w:gridCol w:w="1562"/>
              <w:gridCol w:w="1562"/>
            </w:tblGrid>
            <w:tr w:rsidR="00EB3114" w14:paraId="5252CF08" w14:textId="77777777">
              <w:tc>
                <w:tcPr>
                  <w:tcW w:w="1562" w:type="dxa"/>
                  <w:tcBorders>
                    <w:bottom w:val="single" w:sz="4" w:space="0" w:color="2A3A52"/>
                  </w:tcBorders>
                  <w:shd w:val="clear" w:color="auto" w:fill="FFFFFF"/>
                </w:tcPr>
                <w:p w14:paraId="2A244F27" w14:textId="77777777" w:rsidR="00EB3114" w:rsidRDefault="00000000">
                  <w:pPr>
                    <w:spacing w:after="10"/>
                    <w:jc w:val="center"/>
                    <w:rPr>
                      <w:rFonts w:ascii="Century Gothic" w:eastAsia="Century Gothic" w:hAnsi="Century Gothic" w:cs="Century Gothic"/>
                      <w:color w:val="4A5568"/>
                      <w:sz w:val="11"/>
                      <w:szCs w:val="11"/>
                    </w:rPr>
                  </w:pPr>
                  <w:r>
                    <w:rPr>
                      <w:rFonts w:ascii="Century Gothic" w:eastAsia="Century Gothic" w:hAnsi="Century Gothic" w:cs="Century Gothic"/>
                      <w:b/>
                      <w:bCs/>
                      <w:color w:val="2A3A52"/>
                      <w:sz w:val="18"/>
                      <w:szCs w:val="18"/>
                    </w:rPr>
                    <w:t>$600M → $1.2B</w:t>
                  </w:r>
                </w:p>
                <w:p w14:paraId="4DFD6588" w14:textId="77777777" w:rsidR="00EB3114" w:rsidRDefault="00000000">
                  <w:pPr>
                    <w:spacing w:after="100"/>
                    <w:jc w:val="center"/>
                  </w:pPr>
                  <w:r>
                    <w:rPr>
                      <w:rFonts w:ascii="Century Gothic" w:eastAsia="Century Gothic" w:hAnsi="Century Gothic" w:cs="Century Gothic"/>
                      <w:color w:val="4A5568"/>
                      <w:sz w:val="13"/>
                      <w:szCs w:val="13"/>
                    </w:rPr>
                    <w:t>Revenue</w:t>
                  </w:r>
                </w:p>
              </w:tc>
              <w:tc>
                <w:tcPr>
                  <w:tcW w:w="1562" w:type="dxa"/>
                  <w:tcBorders>
                    <w:bottom w:val="single" w:sz="4" w:space="0" w:color="2A3A52"/>
                  </w:tcBorders>
                  <w:shd w:val="clear" w:color="auto" w:fill="FFFFFF"/>
                </w:tcPr>
                <w:p w14:paraId="0D2CEE7F"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3A52"/>
                    </w:rPr>
                    <w:t>1 → 5 FTE</w:t>
                  </w:r>
                </w:p>
                <w:p w14:paraId="0FC63AAF" w14:textId="77777777" w:rsidR="00EB3114" w:rsidRDefault="00000000">
                  <w:pPr>
                    <w:spacing w:after="100"/>
                    <w:jc w:val="center"/>
                  </w:pPr>
                  <w:r>
                    <w:rPr>
                      <w:rFonts w:ascii="Century Gothic" w:eastAsia="Century Gothic" w:hAnsi="Century Gothic" w:cs="Century Gothic"/>
                      <w:color w:val="4A5568"/>
                      <w:sz w:val="13"/>
                      <w:szCs w:val="13"/>
                    </w:rPr>
                    <w:t>Team</w:t>
                  </w:r>
                </w:p>
              </w:tc>
              <w:tc>
                <w:tcPr>
                  <w:tcW w:w="1562" w:type="dxa"/>
                  <w:tcBorders>
                    <w:bottom w:val="single" w:sz="4" w:space="0" w:color="2A3A52"/>
                  </w:tcBorders>
                  <w:shd w:val="clear" w:color="auto" w:fill="FFFFFF"/>
                </w:tcPr>
                <w:p w14:paraId="42C5F60F"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3A52"/>
                    </w:rPr>
                    <w:t>3 → 13</w:t>
                  </w:r>
                </w:p>
                <w:p w14:paraId="3F7D76EA" w14:textId="77777777" w:rsidR="00EB3114" w:rsidRDefault="00000000">
                  <w:pPr>
                    <w:spacing w:after="100"/>
                    <w:jc w:val="center"/>
                  </w:pPr>
                  <w:r>
                    <w:rPr>
                      <w:rFonts w:ascii="Century Gothic" w:eastAsia="Century Gothic" w:hAnsi="Century Gothic" w:cs="Century Gothic"/>
                      <w:color w:val="4A5568"/>
                      <w:sz w:val="13"/>
                      <w:szCs w:val="13"/>
                    </w:rPr>
                    <w:t>Certifications</w:t>
                  </w:r>
                </w:p>
              </w:tc>
              <w:tc>
                <w:tcPr>
                  <w:tcW w:w="1562" w:type="dxa"/>
                  <w:tcBorders>
                    <w:bottom w:val="single" w:sz="4" w:space="0" w:color="2A3A52"/>
                  </w:tcBorders>
                  <w:shd w:val="clear" w:color="auto" w:fill="FFFFFF"/>
                </w:tcPr>
                <w:p w14:paraId="4B47C433"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3A52"/>
                    </w:rPr>
                    <w:t>3, zero gaps</w:t>
                  </w:r>
                </w:p>
                <w:p w14:paraId="1B3EC686" w14:textId="77777777" w:rsidR="00EB3114" w:rsidRDefault="00000000">
                  <w:pPr>
                    <w:spacing w:after="100"/>
                    <w:jc w:val="center"/>
                  </w:pPr>
                  <w:r>
                    <w:rPr>
                      <w:rFonts w:ascii="Century Gothic" w:eastAsia="Century Gothic" w:hAnsi="Century Gothic" w:cs="Century Gothic"/>
                      <w:color w:val="4A5568"/>
                      <w:sz w:val="13"/>
                      <w:szCs w:val="13"/>
                    </w:rPr>
                    <w:t>M&amp;A Integrations</w:t>
                  </w:r>
                </w:p>
              </w:tc>
            </w:tr>
          </w:tbl>
          <w:p w14:paraId="3C6A6DFB" w14:textId="5CEA4240" w:rsidR="00EB3114" w:rsidRPr="002972D5" w:rsidRDefault="00000000">
            <w:pPr>
              <w:spacing w:after="80"/>
              <w:rPr>
                <w:color w:val="4A5568"/>
              </w:rPr>
            </w:pPr>
            <w:r>
              <w:rPr>
                <w:i/>
                <w:iCs/>
                <w:color w:val="4A5568"/>
              </w:rPr>
              <w:t>Pre-IPO compliance is one of the highest-stakes builds a compliance leader will do: every gap is a filing risk, every lapse is a deal risk, every missed certification is a market access failure. At Rubrik, I managed all three simultaneously, leading security compliance and Customer Trust through NYSE IPO (RBRK, April 2024), three M&amp;A integrations, and a $600M to $1.2B revenue growth period, without a single audit lapse, certification gap, or S-1 compliance deficiency.</w:t>
            </w:r>
          </w:p>
          <w:p w14:paraId="5A0A0DB3" w14:textId="77777777" w:rsidR="00EB3114" w:rsidRDefault="00000000">
            <w:pPr>
              <w:numPr>
                <w:ilvl w:val="0"/>
                <w:numId w:val="2"/>
              </w:numPr>
              <w:pBdr>
                <w:top w:val="nil"/>
                <w:left w:val="nil"/>
                <w:bottom w:val="nil"/>
                <w:right w:val="nil"/>
                <w:between w:val="nil"/>
              </w:pBdr>
              <w:spacing w:after="80"/>
            </w:pPr>
            <w:r>
              <w:rPr>
                <w:rFonts w:ascii="Century Gothic" w:eastAsia="Century Gothic" w:hAnsi="Century Gothic" w:cs="Century Gothic"/>
                <w:sz w:val="18"/>
                <w:szCs w:val="18"/>
              </w:rPr>
              <w:t>Designed the Coordinated Audit Program, compressing per-framework audit cycles from 9–12 months to 3 months by synchronizing evidence collection across all 13 active frameworks simultaneously; reduced evidence requests from 1,000+ per cycle to under 400, saving the engineering and infosec orgs an estimated 3,000+ person-hours annually.</w:t>
            </w:r>
          </w:p>
          <w:p w14:paraId="4EBC6BDC"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Reduced audit-related engineering requests from 1,000+ per cycle to under 400 through cross-framework control mapping and automated JIRA/Slack evidence routing, reducing evidence collection from 3 months to two weeks, and removing compliance as a blocker to sales.</w:t>
            </w:r>
          </w:p>
          <w:p w14:paraId="2D82BCFA"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Implemented Hyperproof as GRC tool and integrated the tool with JIRA to provide requests to control owners where and how they work, and integrated with Slack to ensure faster communications and evidence reviews.</w:t>
            </w:r>
          </w:p>
          <w:p w14:paraId="0B98856F"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Grew certification portfolio from 3 to 13 globally recognized standards in 36 months; each certification mapped to a specific deal pipeline segment: </w:t>
            </w:r>
            <w:r>
              <w:rPr>
                <w:rFonts w:ascii="Century Gothic" w:eastAsia="Century Gothic" w:hAnsi="Century Gothic" w:cs="Century Gothic"/>
                <w:b/>
                <w:bCs/>
                <w:sz w:val="18"/>
                <w:szCs w:val="18"/>
              </w:rPr>
              <w:t>FINRA</w:t>
            </w:r>
            <w:r>
              <w:rPr>
                <w:rFonts w:ascii="Century Gothic" w:eastAsia="Century Gothic" w:hAnsi="Century Gothic" w:cs="Century Gothic"/>
                <w:sz w:val="18"/>
                <w:szCs w:val="18"/>
              </w:rPr>
              <w:t xml:space="preserve"> 17a-4 for broker-dealer, </w:t>
            </w:r>
            <w:r>
              <w:rPr>
                <w:rFonts w:ascii="Century Gothic" w:eastAsia="Century Gothic" w:hAnsi="Century Gothic" w:cs="Century Gothic"/>
                <w:b/>
                <w:bCs/>
                <w:sz w:val="18"/>
                <w:szCs w:val="18"/>
              </w:rPr>
              <w:t>BSI C5</w:t>
            </w:r>
            <w:r>
              <w:rPr>
                <w:rFonts w:ascii="Century Gothic" w:eastAsia="Century Gothic" w:hAnsi="Century Gothic" w:cs="Century Gothic"/>
                <w:sz w:val="18"/>
                <w:szCs w:val="18"/>
              </w:rPr>
              <w:t xml:space="preserve"> for German financial institutions, </w:t>
            </w:r>
            <w:r>
              <w:rPr>
                <w:rFonts w:ascii="Century Gothic" w:eastAsia="Century Gothic" w:hAnsi="Century Gothic" w:cs="Century Gothic"/>
                <w:b/>
                <w:bCs/>
                <w:sz w:val="18"/>
                <w:szCs w:val="18"/>
              </w:rPr>
              <w:t>IRAP</w:t>
            </w:r>
            <w:r>
              <w:rPr>
                <w:rFonts w:ascii="Century Gothic" w:eastAsia="Century Gothic" w:hAnsi="Century Gothic" w:cs="Century Gothic"/>
                <w:sz w:val="18"/>
                <w:szCs w:val="18"/>
              </w:rPr>
              <w:t xml:space="preserve"> for Australian government, </w:t>
            </w:r>
            <w:r>
              <w:rPr>
                <w:rFonts w:ascii="Century Gothic" w:eastAsia="Century Gothic" w:hAnsi="Century Gothic" w:cs="Century Gothic"/>
                <w:b/>
                <w:bCs/>
                <w:sz w:val="18"/>
                <w:szCs w:val="18"/>
              </w:rPr>
              <w:t>TISAX</w:t>
            </w:r>
            <w:r>
              <w:rPr>
                <w:rFonts w:ascii="Century Gothic" w:eastAsia="Century Gothic" w:hAnsi="Century Gothic" w:cs="Century Gothic"/>
                <w:sz w:val="18"/>
                <w:szCs w:val="18"/>
              </w:rPr>
              <w:t xml:space="preserve"> for BMW/VW/Mercedes supply chain, </w:t>
            </w:r>
            <w:r>
              <w:rPr>
                <w:rFonts w:ascii="Century Gothic" w:eastAsia="Century Gothic" w:hAnsi="Century Gothic" w:cs="Century Gothic"/>
                <w:b/>
                <w:bCs/>
                <w:sz w:val="18"/>
                <w:szCs w:val="18"/>
              </w:rPr>
              <w:t>DESC</w:t>
            </w:r>
            <w:r>
              <w:rPr>
                <w:rFonts w:ascii="Century Gothic" w:eastAsia="Century Gothic" w:hAnsi="Century Gothic" w:cs="Century Gothic"/>
                <w:sz w:val="18"/>
                <w:szCs w:val="18"/>
              </w:rPr>
              <w:t xml:space="preserve"> for UAE government procurement.</w:t>
            </w:r>
          </w:p>
          <w:p w14:paraId="7543B928"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Pursued </w:t>
            </w:r>
            <w:r>
              <w:rPr>
                <w:rFonts w:ascii="Century Gothic" w:eastAsia="Century Gothic" w:hAnsi="Century Gothic" w:cs="Century Gothic"/>
                <w:b/>
                <w:bCs/>
                <w:sz w:val="18"/>
                <w:szCs w:val="18"/>
              </w:rPr>
              <w:t>ISO 42001</w:t>
            </w:r>
            <w:r>
              <w:rPr>
                <w:rFonts w:ascii="Century Gothic" w:eastAsia="Century Gothic" w:hAnsi="Century Gothic" w:cs="Century Gothic"/>
                <w:sz w:val="18"/>
                <w:szCs w:val="18"/>
              </w:rPr>
              <w:t xml:space="preserve"> (AI Management Systems) before any customer demand, first-mover positioning obtained at a fraction of the cost as AI governance requirements proliferated across enterprise deals.</w:t>
            </w:r>
          </w:p>
          <w:p w14:paraId="42231876"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Managed four </w:t>
            </w:r>
            <w:r>
              <w:rPr>
                <w:rFonts w:ascii="Century Gothic" w:eastAsia="Century Gothic" w:hAnsi="Century Gothic" w:cs="Century Gothic"/>
                <w:b/>
                <w:bCs/>
                <w:sz w:val="18"/>
                <w:szCs w:val="18"/>
              </w:rPr>
              <w:t>FINRA</w:t>
            </w:r>
            <w:r>
              <w:rPr>
                <w:rFonts w:ascii="Century Gothic" w:eastAsia="Century Gothic" w:hAnsi="Century Gothic" w:cs="Century Gothic"/>
                <w:sz w:val="18"/>
                <w:szCs w:val="18"/>
              </w:rPr>
              <w:t xml:space="preserve"> SEC 17a-4 evaluations, enabling the broker-dealer and financial services market segment.</w:t>
            </w:r>
          </w:p>
          <w:p w14:paraId="576E341E"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Integrated three M&amp;A acquired entities with zero certification gaps and no customer-facing compliance lapses; built a repeatable M&amp;A compliance intake process that reduced integration time from an estimated 9 months to 6 weeks per entity.</w:t>
            </w:r>
          </w:p>
          <w:p w14:paraId="39D24727"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Owned </w:t>
            </w:r>
            <w:r>
              <w:rPr>
                <w:rFonts w:ascii="Century Gothic" w:eastAsia="Century Gothic" w:hAnsi="Century Gothic" w:cs="Century Gothic"/>
                <w:b/>
                <w:bCs/>
                <w:sz w:val="18"/>
                <w:szCs w:val="18"/>
              </w:rPr>
              <w:t>Customer Trust</w:t>
            </w:r>
            <w:r>
              <w:rPr>
                <w:rFonts w:ascii="Century Gothic" w:eastAsia="Century Gothic" w:hAnsi="Century Gothic" w:cs="Century Gothic"/>
                <w:sz w:val="18"/>
                <w:szCs w:val="18"/>
              </w:rPr>
              <w:t>: security reviews, trust portal, customer-facing compliance whitepapers, customer deal negotiations, and executive assurance briefings used directly in enterprise deal cycles.</w:t>
            </w:r>
          </w:p>
          <w:p w14:paraId="53007E5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Scaled compliance function from 1 to 5 FTE; developed a team member from zero compliance background to an independent lead assessor running evaluations solo.</w:t>
            </w:r>
          </w:p>
          <w:p w14:paraId="54FC4512" w14:textId="176CFB52" w:rsidR="00EB3114" w:rsidRDefault="00EB3114">
            <w:pPr>
              <w:numPr>
                <w:ilvl w:val="0"/>
                <w:numId w:val="1"/>
              </w:numPr>
              <w:pBdr>
                <w:top w:val="nil"/>
                <w:left w:val="nil"/>
                <w:bottom w:val="nil"/>
                <w:right w:val="nil"/>
                <w:between w:val="nil"/>
              </w:pBdr>
              <w:spacing w:after="80"/>
            </w:pPr>
          </w:p>
        </w:tc>
        <w:tc>
          <w:tcPr>
            <w:tcW w:w="3831" w:type="dxa"/>
            <w:gridSpan w:val="2"/>
            <w:tcMar>
              <w:top w:w="0" w:type="dxa"/>
              <w:left w:w="0" w:type="dxa"/>
              <w:bottom w:w="0" w:type="dxa"/>
              <w:right w:w="180" w:type="dxa"/>
            </w:tcMar>
          </w:tcPr>
          <w:p w14:paraId="6CF29F79" w14:textId="77777777" w:rsidR="00EB3114" w:rsidRDefault="00000000">
            <w:pPr>
              <w:spacing w:after="60"/>
              <w:rPr>
                <w:rFonts w:ascii="Century Gothic" w:eastAsia="Century Gothic" w:hAnsi="Century Gothic" w:cs="Century Gothic"/>
                <w:color w:val="2A3A52"/>
                <w:sz w:val="14"/>
                <w:szCs w:val="14"/>
              </w:rPr>
            </w:pPr>
            <w:r>
              <w:rPr>
                <w:rFonts w:ascii="Century Gothic" w:eastAsia="Century Gothic" w:hAnsi="Century Gothic" w:cs="Century Gothic"/>
                <w:b/>
                <w:bCs/>
                <w:color w:val="2A3A52"/>
                <w:sz w:val="22"/>
                <w:szCs w:val="22"/>
              </w:rPr>
              <w:t>IPO Context</w:t>
            </w:r>
          </w:p>
          <w:p w14:paraId="32DCE04A"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NYSE: RBRK, April 2024</w:t>
            </w:r>
          </w:p>
          <w:p w14:paraId="5E95501F"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Market cap at IPO: ~$5.6B</w:t>
            </w:r>
          </w:p>
          <w:p w14:paraId="212F9BEA"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Compliance cited in S-1 filing</w:t>
            </w:r>
          </w:p>
          <w:p w14:paraId="3A7D3401"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13 certs maintained post-listing</w:t>
            </w:r>
          </w:p>
          <w:p w14:paraId="7040D597" w14:textId="77777777" w:rsidR="00EB3114" w:rsidRDefault="00000000">
            <w:pPr>
              <w:spacing w:after="40"/>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Zero audit gaps through IPO</w:t>
            </w:r>
          </w:p>
          <w:p w14:paraId="024EE9C9" w14:textId="77777777" w:rsidR="00EB3114" w:rsidRDefault="00000000">
            <w:pPr>
              <w:spacing w:after="40"/>
              <w:rPr>
                <w:sz w:val="24"/>
                <w:szCs w:val="24"/>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FedRAMP Moderate: FY2025</w:t>
            </w:r>
          </w:p>
          <w:p w14:paraId="286B7519" w14:textId="77777777" w:rsidR="00EB3114" w:rsidRDefault="00EB3114">
            <w:pPr>
              <w:spacing w:after="100"/>
            </w:pPr>
          </w:p>
          <w:p w14:paraId="3D7818F3"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sz w:val="22"/>
                <w:szCs w:val="22"/>
              </w:rPr>
              <w:t>Tools &amp; Platforms</w:t>
            </w:r>
          </w:p>
          <w:p w14:paraId="4361FD17"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Drata (advanced)</w:t>
            </w:r>
          </w:p>
          <w:p w14:paraId="21373AE4"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Jira / Confluence</w:t>
            </w:r>
          </w:p>
          <w:p w14:paraId="5EDB0701"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Okta SSO + SCIM</w:t>
            </w:r>
          </w:p>
          <w:p w14:paraId="13A8AAD3" w14:textId="77777777" w:rsidR="00EB3114" w:rsidRDefault="00000000">
            <w:pPr>
              <w:spacing w:after="36"/>
              <w:rPr>
                <w:rFonts w:ascii="Century Gothic" w:eastAsia="Century Gothic" w:hAnsi="Century Gothic" w:cs="Century Gothic"/>
                <w:color w:val="1A2A40"/>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CrowdStrike</w:t>
            </w:r>
          </w:p>
          <w:p w14:paraId="48AE24FD"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Hyperproof</w:t>
            </w:r>
          </w:p>
          <w:p w14:paraId="5BCDCA8F" w14:textId="77777777" w:rsidR="00EB3114" w:rsidRDefault="00000000">
            <w:pPr>
              <w:spacing w:after="36"/>
              <w:rPr>
                <w:rFonts w:ascii="Century Gothic" w:eastAsia="Century Gothic" w:hAnsi="Century Gothic" w:cs="Century Gothic"/>
                <w:color w:val="1A2A40"/>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ZenGRC</w:t>
            </w:r>
          </w:p>
          <w:p w14:paraId="00E0C930"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Wiz (CSPM)</w:t>
            </w:r>
          </w:p>
          <w:p w14:paraId="4A92E5DE"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Qualys</w:t>
            </w:r>
          </w:p>
          <w:p w14:paraId="00894EAB" w14:textId="77777777" w:rsidR="00EB3114" w:rsidRDefault="00000000">
            <w:pPr>
              <w:spacing w:after="36"/>
              <w:rPr>
                <w:rFonts w:ascii="Century Gothic" w:eastAsia="Century Gothic" w:hAnsi="Century Gothic" w:cs="Century Gothic"/>
                <w:color w:val="2A3A52"/>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AWS + Azure</w:t>
            </w:r>
          </w:p>
          <w:p w14:paraId="2E9BACF8" w14:textId="77777777" w:rsidR="00EB3114" w:rsidRDefault="00000000">
            <w:pPr>
              <w:spacing w:after="36"/>
              <w:rPr>
                <w:rFonts w:ascii="Century Gothic" w:eastAsia="Century Gothic" w:hAnsi="Century Gothic" w:cs="Century Gothic"/>
                <w:color w:val="1A2A40"/>
                <w:sz w:val="18"/>
                <w:szCs w:val="18"/>
              </w:rPr>
            </w:pPr>
            <w:r>
              <w:rPr>
                <w:rFonts w:ascii="Century Gothic" w:eastAsia="Century Gothic" w:hAnsi="Century Gothic" w:cs="Century Gothic"/>
                <w:color w:val="2A3A52"/>
                <w:sz w:val="18"/>
                <w:szCs w:val="18"/>
              </w:rPr>
              <w:t xml:space="preserve">› </w:t>
            </w:r>
            <w:r>
              <w:rPr>
                <w:rFonts w:ascii="Century Gothic" w:eastAsia="Century Gothic" w:hAnsi="Century Gothic" w:cs="Century Gothic"/>
                <w:color w:val="1A2A40"/>
                <w:sz w:val="18"/>
                <w:szCs w:val="18"/>
              </w:rPr>
              <w:t>OneTrust</w:t>
            </w:r>
          </w:p>
          <w:p w14:paraId="25477E70" w14:textId="77777777" w:rsidR="00EB3114" w:rsidRDefault="00EB3114">
            <w:pPr>
              <w:spacing w:after="36"/>
              <w:rPr>
                <w:rFonts w:ascii="Century Gothic" w:eastAsia="Century Gothic" w:hAnsi="Century Gothic" w:cs="Century Gothic"/>
                <w:color w:val="1A2A40"/>
                <w:sz w:val="18"/>
                <w:szCs w:val="18"/>
              </w:rPr>
            </w:pPr>
          </w:p>
          <w:p w14:paraId="42CA5396" w14:textId="77777777" w:rsidR="00EB3114" w:rsidRDefault="00EB3114">
            <w:pPr>
              <w:spacing w:after="36"/>
              <w:rPr>
                <w:rFonts w:ascii="Century Gothic" w:eastAsia="Century Gothic" w:hAnsi="Century Gothic" w:cs="Century Gothic"/>
                <w:color w:val="1A2A40"/>
                <w:sz w:val="18"/>
                <w:szCs w:val="18"/>
              </w:rPr>
            </w:pPr>
          </w:p>
          <w:p w14:paraId="66F568DC" w14:textId="77777777" w:rsidR="00EB3114" w:rsidRDefault="00EB3114">
            <w:pPr>
              <w:spacing w:after="100"/>
            </w:pPr>
          </w:p>
          <w:p w14:paraId="6FC4AD77"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sz w:val="22"/>
                <w:szCs w:val="22"/>
              </w:rPr>
              <w:t>Key Terms</w:t>
            </w:r>
          </w:p>
          <w:p w14:paraId="673F9D7F"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SOC 2 Type II</w:t>
            </w:r>
          </w:p>
          <w:p w14:paraId="0E8A074D"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AICPA trust audit over a defined period. Gate for enterprise procurement.</w:t>
            </w:r>
          </w:p>
          <w:p w14:paraId="6046D99B"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ISO 42001</w:t>
            </w:r>
          </w:p>
          <w:p w14:paraId="1916F7D6"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AI Management Systems standard. First-mover obtained pre-demand.</w:t>
            </w:r>
          </w:p>
          <w:p w14:paraId="212E8F22"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FINRA 17a-4</w:t>
            </w:r>
          </w:p>
          <w:p w14:paraId="1235BC48"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Electronic records rule for broker-dealers. Mandatory for financial services.</w:t>
            </w:r>
          </w:p>
          <w:p w14:paraId="3284E116"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TISAX</w:t>
            </w:r>
          </w:p>
          <w:p w14:paraId="2EBBD50C" w14:textId="77777777" w:rsidR="00EB3114" w:rsidRDefault="00000000">
            <w:pPr>
              <w:spacing w:after="28"/>
              <w:rPr>
                <w:rFonts w:ascii="Century Gothic" w:eastAsia="Century Gothic" w:hAnsi="Century Gothic" w:cs="Century Gothic"/>
                <w:color w:val="2A3A52"/>
                <w:sz w:val="18"/>
                <w:szCs w:val="18"/>
              </w:rPr>
            </w:pPr>
            <w:r>
              <w:rPr>
                <w:rFonts w:ascii="Century Gothic" w:eastAsia="Century Gothic" w:hAnsi="Century Gothic" w:cs="Century Gothic"/>
                <w:i/>
                <w:iCs/>
                <w:color w:val="4A5568"/>
                <w:sz w:val="18"/>
                <w:szCs w:val="18"/>
              </w:rPr>
              <w:t>Automotive OEM supply chain security. Required by BMW, VW, Mercedes.</w:t>
            </w:r>
          </w:p>
          <w:p w14:paraId="76E8EED8"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A3A52"/>
                <w:sz w:val="18"/>
                <w:szCs w:val="18"/>
              </w:rPr>
              <w:t>DESC</w:t>
            </w:r>
          </w:p>
          <w:p w14:paraId="3DAF8F6D" w14:textId="77777777" w:rsidR="002972D5" w:rsidRDefault="00000000">
            <w:pPr>
              <w:spacing w:after="28"/>
              <w:rPr>
                <w:rFonts w:ascii="Century Gothic" w:eastAsia="Century Gothic" w:hAnsi="Century Gothic" w:cs="Century Gothic"/>
                <w:sz w:val="18"/>
                <w:szCs w:val="18"/>
              </w:rPr>
            </w:pPr>
            <w:r>
              <w:rPr>
                <w:rFonts w:ascii="Century Gothic" w:eastAsia="Century Gothic" w:hAnsi="Century Gothic" w:cs="Century Gothic"/>
                <w:i/>
                <w:iCs/>
                <w:color w:val="4A5568"/>
                <w:sz w:val="18"/>
                <w:szCs w:val="18"/>
              </w:rPr>
              <w:t>Dubai Electronic Security Center. Required for UAE government vendors.</w:t>
            </w:r>
            <w:r w:rsidR="002972D5">
              <w:rPr>
                <w:rFonts w:ascii="Century Gothic" w:eastAsia="Century Gothic" w:hAnsi="Century Gothic" w:cs="Century Gothic"/>
                <w:i/>
                <w:iCs/>
                <w:color w:val="4A5568"/>
                <w:sz w:val="18"/>
                <w:szCs w:val="18"/>
              </w:rPr>
              <w:br/>
            </w:r>
            <w:r w:rsidR="002972D5">
              <w:rPr>
                <w:rFonts w:ascii="Century Gothic" w:eastAsia="Century Gothic" w:hAnsi="Century Gothic" w:cs="Century Gothic"/>
                <w:i/>
                <w:iCs/>
                <w:color w:val="4A5568"/>
                <w:sz w:val="18"/>
                <w:szCs w:val="18"/>
              </w:rPr>
              <w:br/>
            </w:r>
          </w:p>
          <w:p w14:paraId="07E4FFCD" w14:textId="77777777" w:rsidR="002972D5" w:rsidRDefault="002972D5">
            <w:pPr>
              <w:spacing w:after="28"/>
              <w:rPr>
                <w:rFonts w:ascii="Century Gothic" w:eastAsia="Century Gothic" w:hAnsi="Century Gothic" w:cs="Century Gothic"/>
                <w:sz w:val="18"/>
                <w:szCs w:val="18"/>
              </w:rPr>
            </w:pPr>
          </w:p>
          <w:p w14:paraId="611FCB3A" w14:textId="77360B6C" w:rsidR="00EB3114" w:rsidRDefault="002972D5">
            <w:pPr>
              <w:spacing w:after="28"/>
            </w:pPr>
            <w:r>
              <w:rPr>
                <w:rFonts w:ascii="Century Gothic" w:eastAsia="Century Gothic" w:hAnsi="Century Gothic" w:cs="Century Gothic"/>
                <w:sz w:val="18"/>
                <w:szCs w:val="18"/>
              </w:rPr>
              <w:t xml:space="preserve">Maintained active </w:t>
            </w:r>
            <w:r>
              <w:rPr>
                <w:rFonts w:ascii="Century Gothic" w:eastAsia="Century Gothic" w:hAnsi="Century Gothic" w:cs="Century Gothic"/>
                <w:b/>
                <w:bCs/>
                <w:sz w:val="18"/>
                <w:szCs w:val="18"/>
              </w:rPr>
              <w:t>BCDR</w:t>
            </w:r>
            <w:r>
              <w:rPr>
                <w:rFonts w:ascii="Century Gothic" w:eastAsia="Century Gothic" w:hAnsi="Century Gothic" w:cs="Century Gothic"/>
                <w:sz w:val="18"/>
                <w:szCs w:val="18"/>
              </w:rPr>
              <w:t xml:space="preserve"> programs under real crisis conditions in Ukraine and the Middle East, with live operational validation that the program functions under maximum pressure.</w:t>
            </w:r>
          </w:p>
        </w:tc>
      </w:tr>
    </w:tbl>
    <w:tbl>
      <w:tblPr>
        <w:tblStyle w:val="a9"/>
        <w:tblW w:w="10078" w:type="dxa"/>
        <w:tblInd w:w="1" w:type="dxa"/>
        <w:tblLayout w:type="fixed"/>
        <w:tblLook w:val="0000" w:firstRow="0" w:lastRow="0" w:firstColumn="0" w:lastColumn="0" w:noHBand="0" w:noVBand="0"/>
      </w:tblPr>
      <w:tblGrid>
        <w:gridCol w:w="6247"/>
        <w:gridCol w:w="304"/>
        <w:gridCol w:w="3527"/>
      </w:tblGrid>
      <w:tr w:rsidR="00EB3114" w14:paraId="46463C7D" w14:textId="77777777" w:rsidTr="002972D5">
        <w:tc>
          <w:tcPr>
            <w:tcW w:w="6551" w:type="dxa"/>
            <w:gridSpan w:val="2"/>
            <w:tcBorders>
              <w:left w:val="single" w:sz="4" w:space="0" w:color="8C5C0A"/>
              <w:bottom w:val="single" w:sz="4" w:space="0" w:color="8C5C0A"/>
            </w:tcBorders>
            <w:shd w:val="clear" w:color="auto" w:fill="FFFFFF"/>
            <w:tcMar>
              <w:left w:w="140" w:type="dxa"/>
              <w:right w:w="100" w:type="dxa"/>
            </w:tcMar>
          </w:tcPr>
          <w:p w14:paraId="058472D5" w14:textId="77777777" w:rsidR="00EB3114" w:rsidRDefault="00000000">
            <w:pPr>
              <w:spacing w:after="100"/>
            </w:pPr>
            <w:r>
              <w:rPr>
                <w:b/>
                <w:bCs/>
                <w:color w:val="8C5C0A"/>
                <w:sz w:val="26"/>
                <w:szCs w:val="26"/>
              </w:rPr>
              <w:lastRenderedPageBreak/>
              <w:t>People.ai</w:t>
            </w:r>
          </w:p>
        </w:tc>
        <w:tc>
          <w:tcPr>
            <w:tcW w:w="3527" w:type="dxa"/>
            <w:tcBorders>
              <w:bottom w:val="single" w:sz="4" w:space="0" w:color="8C5C0A"/>
            </w:tcBorders>
            <w:shd w:val="clear" w:color="auto" w:fill="FFFFFF"/>
          </w:tcPr>
          <w:p w14:paraId="45361165" w14:textId="77777777" w:rsidR="00EB3114" w:rsidRDefault="00000000">
            <w:pPr>
              <w:spacing w:after="100"/>
              <w:jc w:val="right"/>
            </w:pPr>
            <w:r>
              <w:rPr>
                <w:rFonts w:ascii="Century Gothic" w:eastAsia="Century Gothic" w:hAnsi="Century Gothic" w:cs="Century Gothic"/>
                <w:color w:val="4A5568"/>
                <w:sz w:val="16"/>
                <w:szCs w:val="16"/>
              </w:rPr>
              <w:t>August 2021, January 2023</w:t>
            </w:r>
          </w:p>
        </w:tc>
      </w:tr>
      <w:tr w:rsidR="00EB3114" w14:paraId="3B793E46" w14:textId="77777777" w:rsidTr="002972D5">
        <w:tc>
          <w:tcPr>
            <w:tcW w:w="6247" w:type="dxa"/>
            <w:tcMar>
              <w:top w:w="0" w:type="dxa"/>
              <w:left w:w="0" w:type="dxa"/>
              <w:bottom w:w="0" w:type="dxa"/>
              <w:right w:w="180" w:type="dxa"/>
            </w:tcMar>
          </w:tcPr>
          <w:p w14:paraId="0F8B575D" w14:textId="77777777" w:rsidR="00EB3114" w:rsidRDefault="00000000">
            <w:pPr>
              <w:spacing w:after="80"/>
              <w:rPr>
                <w:rFonts w:ascii="Century Gothic" w:eastAsia="Century Gothic" w:hAnsi="Century Gothic" w:cs="Century Gothic"/>
                <w:color w:val="8C5C0A"/>
              </w:rPr>
            </w:pPr>
            <w:r>
              <w:rPr>
                <w:b/>
                <w:bCs/>
                <w:color w:val="1A2A40"/>
                <w:sz w:val="22"/>
                <w:szCs w:val="22"/>
              </w:rPr>
              <w:t>Sr. Manager, Governance and Compliance</w:t>
            </w:r>
            <w:r>
              <w:rPr>
                <w:color w:val="4A5568"/>
                <w:sz w:val="16"/>
                <w:szCs w:val="16"/>
              </w:rPr>
              <w:t xml:space="preserve">  ·  </w:t>
            </w:r>
            <w:r>
              <w:rPr>
                <w:i/>
                <w:iCs/>
                <w:color w:val="4A5568"/>
                <w:sz w:val="16"/>
                <w:szCs w:val="16"/>
              </w:rPr>
              <w:t>Private  ·  $1.1B Unicorn  ·  AI Revenue Intelligence Platform</w:t>
            </w:r>
          </w:p>
          <w:tbl>
            <w:tblPr>
              <w:tblStyle w:val="aa"/>
              <w:tblW w:w="6248" w:type="dxa"/>
              <w:tblInd w:w="0" w:type="dxa"/>
              <w:tblLayout w:type="fixed"/>
              <w:tblLook w:val="0000" w:firstRow="0" w:lastRow="0" w:firstColumn="0" w:lastColumn="0" w:noHBand="0" w:noVBand="0"/>
            </w:tblPr>
            <w:tblGrid>
              <w:gridCol w:w="1562"/>
              <w:gridCol w:w="1562"/>
              <w:gridCol w:w="1562"/>
              <w:gridCol w:w="1562"/>
            </w:tblGrid>
            <w:tr w:rsidR="00EB3114" w14:paraId="626A3954" w14:textId="77777777">
              <w:tc>
                <w:tcPr>
                  <w:tcW w:w="1562" w:type="dxa"/>
                  <w:tcBorders>
                    <w:bottom w:val="single" w:sz="4" w:space="0" w:color="8C5C0A"/>
                  </w:tcBorders>
                  <w:shd w:val="clear" w:color="auto" w:fill="FFFFFF"/>
                </w:tcPr>
                <w:p w14:paraId="6FA336FE"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$38M → $56M</w:t>
                  </w:r>
                </w:p>
                <w:p w14:paraId="63818E8E" w14:textId="77777777" w:rsidR="00EB3114" w:rsidRDefault="00000000">
                  <w:pPr>
                    <w:spacing w:after="100"/>
                    <w:jc w:val="center"/>
                  </w:pPr>
                  <w:r>
                    <w:rPr>
                      <w:rFonts w:ascii="Century Gothic" w:eastAsia="Century Gothic" w:hAnsi="Century Gothic" w:cs="Century Gothic"/>
                      <w:color w:val="4A5568"/>
                      <w:sz w:val="13"/>
                      <w:szCs w:val="13"/>
                    </w:rPr>
                    <w:t>Revenue</w:t>
                  </w:r>
                </w:p>
              </w:tc>
              <w:tc>
                <w:tcPr>
                  <w:tcW w:w="1562" w:type="dxa"/>
                  <w:tcBorders>
                    <w:bottom w:val="single" w:sz="4" w:space="0" w:color="8C5C0A"/>
                  </w:tcBorders>
                  <w:shd w:val="clear" w:color="auto" w:fill="FFFFFF"/>
                </w:tcPr>
                <w:p w14:paraId="7C46C728"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Zero-to-one</w:t>
                  </w:r>
                </w:p>
                <w:p w14:paraId="4253471C" w14:textId="77777777" w:rsidR="00EB3114" w:rsidRDefault="00000000">
                  <w:pPr>
                    <w:spacing w:after="100"/>
                    <w:jc w:val="center"/>
                  </w:pPr>
                  <w:r>
                    <w:rPr>
                      <w:rFonts w:ascii="Century Gothic" w:eastAsia="Century Gothic" w:hAnsi="Century Gothic" w:cs="Century Gothic"/>
                      <w:color w:val="4A5568"/>
                      <w:sz w:val="13"/>
                      <w:szCs w:val="13"/>
                    </w:rPr>
                    <w:t>Build Type</w:t>
                  </w:r>
                </w:p>
              </w:tc>
              <w:tc>
                <w:tcPr>
                  <w:tcW w:w="1562" w:type="dxa"/>
                  <w:tcBorders>
                    <w:bottom w:val="single" w:sz="4" w:space="0" w:color="8C5C0A"/>
                  </w:tcBorders>
                  <w:shd w:val="clear" w:color="auto" w:fill="FFFFFF"/>
                </w:tcPr>
                <w:p w14:paraId="0FDBE780"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6 from zero</w:t>
                  </w:r>
                </w:p>
                <w:p w14:paraId="024CC350" w14:textId="77777777" w:rsidR="00EB3114" w:rsidRDefault="00000000">
                  <w:pPr>
                    <w:spacing w:after="100"/>
                    <w:jc w:val="center"/>
                  </w:pPr>
                  <w:r>
                    <w:rPr>
                      <w:rFonts w:ascii="Century Gothic" w:eastAsia="Century Gothic" w:hAnsi="Century Gothic" w:cs="Century Gothic"/>
                      <w:color w:val="4A5568"/>
                      <w:sz w:val="13"/>
                      <w:szCs w:val="13"/>
                    </w:rPr>
                    <w:t>Certs Achieved</w:t>
                  </w:r>
                </w:p>
              </w:tc>
              <w:tc>
                <w:tcPr>
                  <w:tcW w:w="1562" w:type="dxa"/>
                  <w:tcBorders>
                    <w:bottom w:val="single" w:sz="4" w:space="0" w:color="8C5C0A"/>
                  </w:tcBorders>
                  <w:shd w:val="clear" w:color="auto" w:fill="FFFFFF"/>
                </w:tcPr>
                <w:p w14:paraId="55ED952D"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8C5C0A"/>
                    </w:rPr>
                    <w:t>Inc. 5000</w:t>
                  </w:r>
                </w:p>
                <w:p w14:paraId="1680B346" w14:textId="77777777" w:rsidR="00EB3114" w:rsidRDefault="00000000">
                  <w:pPr>
                    <w:spacing w:after="100"/>
                    <w:jc w:val="center"/>
                  </w:pPr>
                  <w:r>
                    <w:rPr>
                      <w:rFonts w:ascii="Century Gothic" w:eastAsia="Century Gothic" w:hAnsi="Century Gothic" w:cs="Century Gothic"/>
                      <w:color w:val="4A5568"/>
                      <w:sz w:val="13"/>
                      <w:szCs w:val="13"/>
                    </w:rPr>
                    <w:t>Recognition</w:t>
                  </w:r>
                </w:p>
              </w:tc>
            </w:tr>
          </w:tbl>
          <w:p w14:paraId="20262E80" w14:textId="77777777" w:rsidR="00EB3114" w:rsidRDefault="00000000">
            <w:pPr>
              <w:spacing w:after="80"/>
              <w:rPr>
                <w:rFonts w:ascii="Century Gothic" w:eastAsia="Century Gothic" w:hAnsi="Century Gothic" w:cs="Century Gothic"/>
                <w:sz w:val="18"/>
                <w:szCs w:val="18"/>
              </w:rPr>
            </w:pPr>
            <w:r>
              <w:rPr>
                <w:i/>
                <w:iCs/>
                <w:color w:val="4A5568"/>
              </w:rPr>
              <w:t>Built the entire compliance program from zero at a newly minted AI unicorn. No prior policies, auditor relationships, GRC tooling, or evidence taxonomy. Achieved SOC 2 Type II and ISO 27001 within the first program cycle and directly unblocked an enterprise sales pipeline.</w:t>
            </w:r>
          </w:p>
          <w:p w14:paraId="73D295F3"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Built compliance from absolute zero at a $1.1B unicorn: authored 40+ policies, selected and implemented </w:t>
            </w:r>
            <w:r>
              <w:rPr>
                <w:rFonts w:ascii="Century Gothic" w:eastAsia="Century Gothic" w:hAnsi="Century Gothic" w:cs="Century Gothic"/>
                <w:b/>
                <w:bCs/>
                <w:sz w:val="18"/>
                <w:szCs w:val="18"/>
              </w:rPr>
              <w:t>GRC</w:t>
            </w:r>
            <w:r>
              <w:rPr>
                <w:rFonts w:ascii="Century Gothic" w:eastAsia="Century Gothic" w:hAnsi="Century Gothic" w:cs="Century Gothic"/>
                <w:sz w:val="18"/>
                <w:szCs w:val="18"/>
              </w:rPr>
              <w:t xml:space="preserve"> platform, established relationships with multiple external auditors, designed a cross-framework evidence taxonomy, and completed the first full </w:t>
            </w:r>
            <w:r>
              <w:rPr>
                <w:rFonts w:ascii="Century Gothic" w:eastAsia="Century Gothic" w:hAnsi="Century Gothic" w:cs="Century Gothic"/>
                <w:b/>
                <w:bCs/>
                <w:sz w:val="18"/>
                <w:szCs w:val="18"/>
              </w:rPr>
              <w:t>SOC 2</w:t>
            </w:r>
            <w:r>
              <w:rPr>
                <w:rFonts w:ascii="Century Gothic" w:eastAsia="Century Gothic" w:hAnsi="Century Gothic" w:cs="Century Gothic"/>
                <w:sz w:val="18"/>
                <w:szCs w:val="18"/>
              </w:rPr>
              <w:t xml:space="preserve"> Type II audit cycle, all within 8 months of joining.</w:t>
            </w:r>
          </w:p>
          <w:p w14:paraId="70CF86F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Achieved </w:t>
            </w:r>
            <w:r>
              <w:rPr>
                <w:rFonts w:ascii="Century Gothic" w:eastAsia="Century Gothic" w:hAnsi="Century Gothic" w:cs="Century Gothic"/>
                <w:b/>
                <w:bCs/>
                <w:sz w:val="18"/>
                <w:szCs w:val="18"/>
              </w:rPr>
              <w:t>SOC 2</w:t>
            </w:r>
            <w:r>
              <w:rPr>
                <w:rFonts w:ascii="Century Gothic" w:eastAsia="Century Gothic" w:hAnsi="Century Gothic" w:cs="Century Gothic"/>
                <w:sz w:val="18"/>
                <w:szCs w:val="18"/>
              </w:rPr>
              <w:t xml:space="preserve"> Type II and </w:t>
            </w:r>
            <w:r>
              <w:rPr>
                <w:rFonts w:ascii="Century Gothic" w:eastAsia="Century Gothic" w:hAnsi="Century Gothic" w:cs="Century Gothic"/>
                <w:b/>
                <w:bCs/>
                <w:sz w:val="18"/>
                <w:szCs w:val="18"/>
              </w:rPr>
              <w:t>ISO 27001</w:t>
            </w:r>
            <w:r>
              <w:rPr>
                <w:rFonts w:ascii="Century Gothic" w:eastAsia="Century Gothic" w:hAnsi="Century Gothic" w:cs="Century Gothic"/>
                <w:sz w:val="18"/>
                <w:szCs w:val="18"/>
              </w:rPr>
              <w:t xml:space="preserve"> simultaneously in a single build cycle; enterprise ACV grew from $38M to $56M ARR in the 18 months following certification, with multiple deals directly citing compliance posture as a prerequisite cleared.</w:t>
            </w:r>
          </w:p>
          <w:p w14:paraId="647A4730"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Expanded to </w:t>
            </w:r>
            <w:r>
              <w:rPr>
                <w:rFonts w:ascii="Century Gothic" w:eastAsia="Century Gothic" w:hAnsi="Century Gothic" w:cs="Century Gothic"/>
                <w:b/>
                <w:bCs/>
                <w:sz w:val="18"/>
                <w:szCs w:val="18"/>
              </w:rPr>
              <w:t>ISO 27701</w:t>
            </w:r>
            <w:r>
              <w:rPr>
                <w:rFonts w:ascii="Century Gothic" w:eastAsia="Century Gothic" w:hAnsi="Century Gothic" w:cs="Century Gothic"/>
                <w:sz w:val="18"/>
                <w:szCs w:val="18"/>
              </w:rPr>
              <w:t xml:space="preserve">, </w:t>
            </w:r>
            <w:r>
              <w:rPr>
                <w:rFonts w:ascii="Century Gothic" w:eastAsia="Century Gothic" w:hAnsi="Century Gothic" w:cs="Century Gothic"/>
                <w:b/>
                <w:bCs/>
                <w:sz w:val="18"/>
                <w:szCs w:val="18"/>
              </w:rPr>
              <w:t>ISO 27017</w:t>
            </w:r>
            <w:r>
              <w:rPr>
                <w:rFonts w:ascii="Century Gothic" w:eastAsia="Century Gothic" w:hAnsi="Century Gothic" w:cs="Century Gothic"/>
                <w:sz w:val="18"/>
                <w:szCs w:val="18"/>
              </w:rPr>
              <w:t xml:space="preserve">, and </w:t>
            </w:r>
            <w:r>
              <w:rPr>
                <w:rFonts w:ascii="Century Gothic" w:eastAsia="Century Gothic" w:hAnsi="Century Gothic" w:cs="Century Gothic"/>
                <w:b/>
                <w:bCs/>
                <w:sz w:val="18"/>
                <w:szCs w:val="18"/>
              </w:rPr>
              <w:t>CSA STAR</w:t>
            </w:r>
            <w:r>
              <w:rPr>
                <w:rFonts w:ascii="Century Gothic" w:eastAsia="Century Gothic" w:hAnsi="Century Gothic" w:cs="Century Gothic"/>
                <w:sz w:val="18"/>
                <w:szCs w:val="18"/>
              </w:rPr>
              <w:t xml:space="preserve"> within 18 months, opening privacy-regulated and cloud-sensitive buyer segments.</w:t>
            </w:r>
          </w:p>
          <w:p w14:paraId="4209EDF4"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Compressed audit cycle from a full quarter to one month, first full deployment of </w:t>
            </w:r>
            <w:r>
              <w:rPr>
                <w:rFonts w:ascii="Century Gothic" w:eastAsia="Century Gothic" w:hAnsi="Century Gothic" w:cs="Century Gothic"/>
                <w:b/>
                <w:bCs/>
                <w:sz w:val="18"/>
                <w:szCs w:val="18"/>
              </w:rPr>
              <w:t>Coordinated Compliance</w:t>
            </w:r>
            <w:r>
              <w:rPr>
                <w:rFonts w:ascii="Century Gothic" w:eastAsia="Century Gothic" w:hAnsi="Century Gothic" w:cs="Century Gothic"/>
                <w:sz w:val="18"/>
                <w:szCs w:val="18"/>
              </w:rPr>
              <w:t xml:space="preserve"> methodology.</w:t>
            </w:r>
          </w:p>
          <w:p w14:paraId="11FA8A9A"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Participated directly in enterprise customer security reviews and sales calls, removing compliance as a deal obstacle in real time.</w:t>
            </w:r>
          </w:p>
          <w:p w14:paraId="53A3EB12"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Established a continuous monitoring infrastructure so audit evidence was current year-round.</w:t>
            </w:r>
          </w:p>
        </w:tc>
        <w:tc>
          <w:tcPr>
            <w:tcW w:w="3831" w:type="dxa"/>
            <w:gridSpan w:val="2"/>
            <w:tcMar>
              <w:top w:w="0" w:type="dxa"/>
              <w:left w:w="0" w:type="dxa"/>
              <w:bottom w:w="0" w:type="dxa"/>
              <w:right w:w="180" w:type="dxa"/>
            </w:tcMar>
          </w:tcPr>
          <w:p w14:paraId="527DE30F" w14:textId="77777777" w:rsidR="00EB3114" w:rsidRDefault="00000000">
            <w:pPr>
              <w:spacing w:after="60"/>
              <w:rPr>
                <w:rFonts w:ascii="Century Gothic" w:eastAsia="Century Gothic" w:hAnsi="Century Gothic" w:cs="Century Gothic"/>
                <w:color w:val="8C5C0A"/>
              </w:rPr>
            </w:pPr>
            <w:r>
              <w:rPr>
                <w:rFonts w:ascii="Century Gothic" w:eastAsia="Century Gothic" w:hAnsi="Century Gothic" w:cs="Century Gothic"/>
                <w:b/>
                <w:bCs/>
                <w:color w:val="8C5C0A"/>
              </w:rPr>
              <w:t>Zero-to-One Context</w:t>
            </w:r>
          </w:p>
          <w:p w14:paraId="427CA844"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No prior compliance program</w:t>
            </w:r>
          </w:p>
          <w:p w14:paraId="43500F2C"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$1.1B unicorn at hire</w:t>
            </w:r>
          </w:p>
          <w:p w14:paraId="7162D5FC"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Inc. 5000 Fastest Growing</w:t>
            </w:r>
          </w:p>
          <w:p w14:paraId="77B81DED"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SOC 2 + ISO in one cycle</w:t>
            </w:r>
          </w:p>
          <w:p w14:paraId="6D611730" w14:textId="77777777" w:rsidR="00EB3114" w:rsidRDefault="00000000">
            <w:pPr>
              <w:spacing w:after="40"/>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Enterprise pipeline unblocked</w:t>
            </w:r>
          </w:p>
          <w:p w14:paraId="40C383A6" w14:textId="77777777" w:rsidR="00EB3114" w:rsidRDefault="00000000">
            <w:pPr>
              <w:spacing w:after="40"/>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40+ policies authored from zero</w:t>
            </w:r>
          </w:p>
          <w:p w14:paraId="279E50D9" w14:textId="77777777" w:rsidR="00EB3114" w:rsidRDefault="00EB3114">
            <w:pPr>
              <w:spacing w:after="100"/>
            </w:pPr>
          </w:p>
          <w:p w14:paraId="7F904AA1" w14:textId="77777777" w:rsidR="00EB3114" w:rsidRDefault="00000000">
            <w:pPr>
              <w:spacing w:after="48"/>
              <w:rPr>
                <w:rFonts w:ascii="Century Gothic" w:eastAsia="Century Gothic" w:hAnsi="Century Gothic" w:cs="Century Gothic"/>
                <w:color w:val="8C5C0A"/>
              </w:rPr>
            </w:pPr>
            <w:r>
              <w:rPr>
                <w:rFonts w:ascii="Century Gothic" w:eastAsia="Century Gothic" w:hAnsi="Century Gothic" w:cs="Century Gothic"/>
                <w:b/>
                <w:bCs/>
                <w:color w:val="8C5C0A"/>
              </w:rPr>
              <w:t>Tools &amp; Platforms</w:t>
            </w:r>
          </w:p>
          <w:p w14:paraId="5D8BEC5C"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Jira workflows</w:t>
            </w:r>
          </w:p>
          <w:p w14:paraId="5BF77896"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Okta</w:t>
            </w:r>
          </w:p>
          <w:p w14:paraId="3FD9F34D"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Google Workspace</w:t>
            </w:r>
          </w:p>
          <w:p w14:paraId="27579E86" w14:textId="77777777" w:rsidR="00EB3114" w:rsidRDefault="00000000">
            <w:pPr>
              <w:spacing w:after="36"/>
              <w:rPr>
                <w:rFonts w:ascii="Century Gothic" w:eastAsia="Century Gothic" w:hAnsi="Century Gothic" w:cs="Century Gothic"/>
                <w:color w:val="8C5C0A"/>
              </w:rPr>
            </w:pPr>
            <w:r>
              <w:rPr>
                <w:rFonts w:ascii="Century Gothic" w:eastAsia="Century Gothic" w:hAnsi="Century Gothic" w:cs="Century Gothic"/>
                <w:color w:val="8C5C0A"/>
              </w:rPr>
              <w:t xml:space="preserve">› </w:t>
            </w:r>
            <w:r>
              <w:rPr>
                <w:rFonts w:ascii="Century Gothic" w:eastAsia="Century Gothic" w:hAnsi="Century Gothic" w:cs="Century Gothic"/>
                <w:color w:val="1A2A40"/>
              </w:rPr>
              <w:t>AWS</w:t>
            </w:r>
          </w:p>
          <w:p w14:paraId="67695471" w14:textId="77777777" w:rsidR="00EB3114" w:rsidRDefault="00EB3114">
            <w:pPr>
              <w:spacing w:after="100"/>
            </w:pPr>
          </w:p>
          <w:p w14:paraId="4ED9641E" w14:textId="77777777" w:rsidR="00EB3114" w:rsidRDefault="00000000">
            <w:pPr>
              <w:spacing w:after="48"/>
              <w:rPr>
                <w:rFonts w:ascii="Century Gothic" w:eastAsia="Century Gothic" w:hAnsi="Century Gothic" w:cs="Century Gothic"/>
                <w:color w:val="8C5C0A"/>
              </w:rPr>
            </w:pPr>
            <w:r>
              <w:rPr>
                <w:rFonts w:ascii="Century Gothic" w:eastAsia="Century Gothic" w:hAnsi="Century Gothic" w:cs="Century Gothic"/>
                <w:b/>
                <w:bCs/>
                <w:color w:val="8C5C0A"/>
              </w:rPr>
              <w:t>Key Terms</w:t>
            </w:r>
          </w:p>
          <w:p w14:paraId="04E2B06A"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8C5C0A"/>
              </w:rPr>
              <w:t>ISO 27701</w:t>
            </w:r>
          </w:p>
          <w:p w14:paraId="07967A00" w14:textId="77777777" w:rsidR="00EB3114" w:rsidRDefault="00000000">
            <w:pPr>
              <w:spacing w:after="28"/>
              <w:rPr>
                <w:rFonts w:ascii="Century Gothic" w:eastAsia="Century Gothic" w:hAnsi="Century Gothic" w:cs="Century Gothic"/>
                <w:color w:val="8C5C0A"/>
              </w:rPr>
            </w:pPr>
            <w:r>
              <w:rPr>
                <w:rFonts w:ascii="Century Gothic" w:eastAsia="Century Gothic" w:hAnsi="Century Gothic" w:cs="Century Gothic"/>
                <w:i/>
                <w:iCs/>
                <w:color w:val="4A5568"/>
              </w:rPr>
              <w:t>Privacy extension of 27001. Maps to GDPR and CCPA obligations.</w:t>
            </w:r>
          </w:p>
          <w:p w14:paraId="32D2FAE9"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8C5C0A"/>
              </w:rPr>
              <w:t>CSA STAR</w:t>
            </w:r>
          </w:p>
          <w:p w14:paraId="62F09D3A" w14:textId="77777777" w:rsidR="00EB3114" w:rsidRDefault="00000000">
            <w:pPr>
              <w:spacing w:after="28"/>
              <w:rPr>
                <w:rFonts w:ascii="Century Gothic" w:eastAsia="Century Gothic" w:hAnsi="Century Gothic" w:cs="Century Gothic"/>
                <w:color w:val="8C5C0A"/>
              </w:rPr>
            </w:pPr>
            <w:r>
              <w:rPr>
                <w:rFonts w:ascii="Century Gothic" w:eastAsia="Century Gothic" w:hAnsi="Century Gothic" w:cs="Century Gothic"/>
                <w:i/>
                <w:iCs/>
                <w:color w:val="4A5568"/>
              </w:rPr>
              <w:t>Cloud-specific assurance. Preferred by APAC and EU enterprise buyers.</w:t>
            </w:r>
          </w:p>
          <w:p w14:paraId="43CC9914"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8C5C0A"/>
              </w:rPr>
              <w:t>Zero-to-one</w:t>
            </w:r>
          </w:p>
          <w:p w14:paraId="1B197A65" w14:textId="77777777" w:rsidR="00EB3114" w:rsidRDefault="00000000">
            <w:pPr>
              <w:spacing w:after="28"/>
            </w:pPr>
            <w:r>
              <w:rPr>
                <w:rFonts w:ascii="Century Gothic" w:eastAsia="Century Gothic" w:hAnsi="Century Gothic" w:cs="Century Gothic"/>
                <w:i/>
                <w:iCs/>
                <w:color w:val="4A5568"/>
              </w:rPr>
              <w:t>Building a compliance program from no prior policies, tools, or auditor relationships.</w:t>
            </w:r>
          </w:p>
        </w:tc>
      </w:tr>
    </w:tbl>
    <w:p w14:paraId="3556C525" w14:textId="77777777" w:rsidR="00EB3114" w:rsidRDefault="00EB3114">
      <w:pPr>
        <w:spacing w:after="100"/>
      </w:pPr>
    </w:p>
    <w:p w14:paraId="5CD5DB61" w14:textId="7FAF3FE1" w:rsidR="002972D5" w:rsidRDefault="002972D5">
      <w:r>
        <w:br w:type="page"/>
      </w:r>
    </w:p>
    <w:tbl>
      <w:tblPr>
        <w:tblStyle w:val="ab"/>
        <w:tblW w:w="10078" w:type="dxa"/>
        <w:tblInd w:w="1" w:type="dxa"/>
        <w:tblLayout w:type="fixed"/>
        <w:tblLook w:val="0000" w:firstRow="0" w:lastRow="0" w:firstColumn="0" w:lastColumn="0" w:noHBand="0" w:noVBand="0"/>
      </w:tblPr>
      <w:tblGrid>
        <w:gridCol w:w="6247"/>
        <w:gridCol w:w="304"/>
        <w:gridCol w:w="3527"/>
      </w:tblGrid>
      <w:tr w:rsidR="00EB3114" w14:paraId="0C16D237" w14:textId="77777777" w:rsidTr="002972D5">
        <w:tc>
          <w:tcPr>
            <w:tcW w:w="6551" w:type="dxa"/>
            <w:gridSpan w:val="2"/>
            <w:tcBorders>
              <w:left w:val="single" w:sz="4" w:space="0" w:color="2A9DB8"/>
              <w:bottom w:val="single" w:sz="4" w:space="0" w:color="2A9DB8"/>
            </w:tcBorders>
            <w:shd w:val="clear" w:color="auto" w:fill="FFFFFF"/>
            <w:tcMar>
              <w:left w:w="140" w:type="dxa"/>
              <w:right w:w="100" w:type="dxa"/>
            </w:tcMar>
          </w:tcPr>
          <w:p w14:paraId="134E0842" w14:textId="77777777" w:rsidR="00EB3114" w:rsidRDefault="00000000">
            <w:pPr>
              <w:spacing w:after="100"/>
            </w:pPr>
            <w:r>
              <w:rPr>
                <w:b/>
                <w:bCs/>
                <w:color w:val="2A9DB8"/>
                <w:sz w:val="26"/>
                <w:szCs w:val="26"/>
              </w:rPr>
              <w:lastRenderedPageBreak/>
              <w:t>Elastic</w:t>
            </w:r>
          </w:p>
        </w:tc>
        <w:tc>
          <w:tcPr>
            <w:tcW w:w="3527" w:type="dxa"/>
            <w:tcBorders>
              <w:bottom w:val="single" w:sz="4" w:space="0" w:color="2A9DB8"/>
            </w:tcBorders>
            <w:shd w:val="clear" w:color="auto" w:fill="FFFFFF"/>
          </w:tcPr>
          <w:p w14:paraId="339F94A8" w14:textId="77777777" w:rsidR="00EB3114" w:rsidRDefault="00000000">
            <w:pPr>
              <w:spacing w:after="100"/>
              <w:jc w:val="right"/>
            </w:pPr>
            <w:r>
              <w:rPr>
                <w:rFonts w:ascii="Century Gothic" w:eastAsia="Century Gothic" w:hAnsi="Century Gothic" w:cs="Century Gothic"/>
                <w:color w:val="4A5568"/>
                <w:sz w:val="16"/>
                <w:szCs w:val="16"/>
              </w:rPr>
              <w:t>October 2018, August 2021</w:t>
            </w:r>
          </w:p>
        </w:tc>
      </w:tr>
      <w:tr w:rsidR="00EB3114" w14:paraId="77163A99" w14:textId="77777777" w:rsidTr="002972D5">
        <w:tc>
          <w:tcPr>
            <w:tcW w:w="6247" w:type="dxa"/>
            <w:tcMar>
              <w:top w:w="0" w:type="dxa"/>
              <w:left w:w="0" w:type="dxa"/>
              <w:bottom w:w="0" w:type="dxa"/>
              <w:right w:w="180" w:type="dxa"/>
            </w:tcMar>
          </w:tcPr>
          <w:p w14:paraId="628B5202" w14:textId="77777777" w:rsidR="00EB3114" w:rsidRDefault="00000000">
            <w:pPr>
              <w:spacing w:after="80"/>
              <w:rPr>
                <w:rFonts w:ascii="Century Gothic" w:eastAsia="Century Gothic" w:hAnsi="Century Gothic" w:cs="Century Gothic"/>
                <w:color w:val="2A9DB8"/>
              </w:rPr>
            </w:pPr>
            <w:r>
              <w:rPr>
                <w:b/>
                <w:bCs/>
                <w:color w:val="1A2A40"/>
                <w:sz w:val="22"/>
                <w:szCs w:val="22"/>
              </w:rPr>
              <w:t>Principal Security Risk &amp; Compliance Analyst</w:t>
            </w:r>
            <w:r>
              <w:rPr>
                <w:color w:val="4A5568"/>
                <w:sz w:val="16"/>
                <w:szCs w:val="16"/>
              </w:rPr>
              <w:t xml:space="preserve">  ·  </w:t>
            </w:r>
            <w:r>
              <w:rPr>
                <w:i/>
                <w:iCs/>
                <w:color w:val="4A5568"/>
                <w:sz w:val="16"/>
                <w:szCs w:val="16"/>
              </w:rPr>
              <w:t>NYSE: ESTC  ·  Enterprise Search, Observability &amp; Security</w:t>
            </w:r>
          </w:p>
          <w:tbl>
            <w:tblPr>
              <w:tblStyle w:val="ac"/>
              <w:tblW w:w="6248" w:type="dxa"/>
              <w:tblInd w:w="0" w:type="dxa"/>
              <w:tblLayout w:type="fixed"/>
              <w:tblLook w:val="0000" w:firstRow="0" w:lastRow="0" w:firstColumn="0" w:lastColumn="0" w:noHBand="0" w:noVBand="0"/>
            </w:tblPr>
            <w:tblGrid>
              <w:gridCol w:w="1562"/>
              <w:gridCol w:w="1562"/>
              <w:gridCol w:w="1562"/>
              <w:gridCol w:w="1562"/>
            </w:tblGrid>
            <w:tr w:rsidR="00EB3114" w14:paraId="539E3FE7" w14:textId="77777777">
              <w:tc>
                <w:tcPr>
                  <w:tcW w:w="1562" w:type="dxa"/>
                  <w:tcBorders>
                    <w:bottom w:val="single" w:sz="4" w:space="0" w:color="2A9DB8"/>
                  </w:tcBorders>
                  <w:shd w:val="clear" w:color="auto" w:fill="FFFFFF"/>
                </w:tcPr>
                <w:p w14:paraId="15D60240"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$160M → $609M</w:t>
                  </w:r>
                </w:p>
                <w:p w14:paraId="4E211DD4" w14:textId="77777777" w:rsidR="00EB3114" w:rsidRDefault="00000000">
                  <w:pPr>
                    <w:spacing w:after="100"/>
                    <w:jc w:val="center"/>
                  </w:pPr>
                  <w:r>
                    <w:rPr>
                      <w:rFonts w:ascii="Century Gothic" w:eastAsia="Century Gothic" w:hAnsi="Century Gothic" w:cs="Century Gothic"/>
                      <w:color w:val="4A5568"/>
                      <w:sz w:val="13"/>
                      <w:szCs w:val="13"/>
                    </w:rPr>
                    <w:t>Revenue</w:t>
                  </w:r>
                </w:p>
              </w:tc>
              <w:tc>
                <w:tcPr>
                  <w:tcW w:w="1562" w:type="dxa"/>
                  <w:tcBorders>
                    <w:bottom w:val="single" w:sz="4" w:space="0" w:color="2A9DB8"/>
                  </w:tcBorders>
                  <w:shd w:val="clear" w:color="auto" w:fill="FFFFFF"/>
                </w:tcPr>
                <w:p w14:paraId="678219EA"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70% growth</w:t>
                  </w:r>
                </w:p>
                <w:p w14:paraId="0529264A" w14:textId="77777777" w:rsidR="00EB3114" w:rsidRDefault="00000000">
                  <w:pPr>
                    <w:spacing w:after="100"/>
                    <w:jc w:val="center"/>
                  </w:pPr>
                  <w:r>
                    <w:rPr>
                      <w:rFonts w:ascii="Century Gothic" w:eastAsia="Century Gothic" w:hAnsi="Century Gothic" w:cs="Century Gothic"/>
                      <w:color w:val="4A5568"/>
                      <w:sz w:val="13"/>
                      <w:szCs w:val="13"/>
                    </w:rPr>
                    <w:t>Peak YoY</w:t>
                  </w:r>
                </w:p>
              </w:tc>
              <w:tc>
                <w:tcPr>
                  <w:tcW w:w="1562" w:type="dxa"/>
                  <w:tcBorders>
                    <w:bottom w:val="single" w:sz="4" w:space="0" w:color="2A9DB8"/>
                  </w:tcBorders>
                  <w:shd w:val="clear" w:color="auto" w:fill="FFFFFF"/>
                </w:tcPr>
                <w:p w14:paraId="16AE972A"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10d → 2.5d</w:t>
                  </w:r>
                </w:p>
                <w:p w14:paraId="42E9D52A" w14:textId="77777777" w:rsidR="00EB3114" w:rsidRDefault="00000000">
                  <w:pPr>
                    <w:spacing w:after="100"/>
                    <w:jc w:val="center"/>
                  </w:pPr>
                  <w:r>
                    <w:rPr>
                      <w:rFonts w:ascii="Century Gothic" w:eastAsia="Century Gothic" w:hAnsi="Century Gothic" w:cs="Century Gothic"/>
                      <w:color w:val="4A5568"/>
                      <w:sz w:val="13"/>
                      <w:szCs w:val="13"/>
                    </w:rPr>
                    <w:t>Questionnaire TAT</w:t>
                  </w:r>
                </w:p>
              </w:tc>
              <w:tc>
                <w:tcPr>
                  <w:tcW w:w="1562" w:type="dxa"/>
                  <w:tcBorders>
                    <w:bottom w:val="single" w:sz="4" w:space="0" w:color="2A9DB8"/>
                  </w:tcBorders>
                  <w:shd w:val="clear" w:color="auto" w:fill="FFFFFF"/>
                </w:tcPr>
                <w:p w14:paraId="1FA37ADC" w14:textId="77777777" w:rsidR="00EB3114" w:rsidRDefault="00000000">
                  <w:pPr>
                    <w:spacing w:after="10"/>
                    <w:jc w:val="center"/>
                    <w:rPr>
                      <w:rFonts w:ascii="Century Gothic" w:eastAsia="Century Gothic" w:hAnsi="Century Gothic" w:cs="Century Gothic"/>
                      <w:color w:val="4A5568"/>
                      <w:sz w:val="13"/>
                      <w:szCs w:val="13"/>
                    </w:rPr>
                  </w:pPr>
                  <w:r>
                    <w:rPr>
                      <w:rFonts w:ascii="Century Gothic" w:eastAsia="Century Gothic" w:hAnsi="Century Gothic" w:cs="Century Gothic"/>
                      <w:b/>
                      <w:bCs/>
                      <w:color w:val="2A9DB8"/>
                    </w:rPr>
                    <w:t>−80%</w:t>
                  </w:r>
                </w:p>
                <w:p w14:paraId="5DAD1227" w14:textId="77777777" w:rsidR="00EB3114" w:rsidRDefault="00000000">
                  <w:pPr>
                    <w:spacing w:after="100"/>
                    <w:jc w:val="center"/>
                  </w:pPr>
                  <w:r>
                    <w:rPr>
                      <w:rFonts w:ascii="Century Gothic" w:eastAsia="Century Gothic" w:hAnsi="Century Gothic" w:cs="Century Gothic"/>
                      <w:color w:val="4A5568"/>
                      <w:sz w:val="13"/>
                      <w:szCs w:val="13"/>
                    </w:rPr>
                    <w:t>Eng. Burden</w:t>
                  </w:r>
                </w:p>
              </w:tc>
            </w:tr>
          </w:tbl>
          <w:p w14:paraId="790663AC" w14:textId="77777777" w:rsidR="00EB3114" w:rsidRDefault="00000000">
            <w:pPr>
              <w:spacing w:after="80"/>
              <w:rPr>
                <w:rFonts w:ascii="Century Gothic" w:eastAsia="Century Gothic" w:hAnsi="Century Gothic" w:cs="Century Gothic"/>
                <w:sz w:val="18"/>
                <w:szCs w:val="18"/>
              </w:rPr>
            </w:pPr>
            <w:r>
              <w:rPr>
                <w:i/>
                <w:iCs/>
                <w:color w:val="4A5568"/>
              </w:rPr>
              <w:t>Led Elastic's first ISO certifications and assisted in building the first FedRAMP program. The ISO 27001/17/18 certifications were cited in the FY2019 Annual Report as enabling the majority of $271.7M revenue that year.</w:t>
            </w:r>
          </w:p>
          <w:p w14:paraId="052AA6C3"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Led Elastic's first </w:t>
            </w:r>
            <w:r>
              <w:rPr>
                <w:rFonts w:ascii="Century Gothic" w:eastAsia="Century Gothic" w:hAnsi="Century Gothic" w:cs="Century Gothic"/>
                <w:b/>
                <w:bCs/>
                <w:sz w:val="18"/>
                <w:szCs w:val="18"/>
              </w:rPr>
              <w:t>ISO 27001</w:t>
            </w:r>
            <w:r>
              <w:rPr>
                <w:rFonts w:ascii="Century Gothic" w:eastAsia="Century Gothic" w:hAnsi="Century Gothic" w:cs="Century Gothic"/>
                <w:sz w:val="18"/>
                <w:szCs w:val="18"/>
              </w:rPr>
              <w:t>, 27017, and 27018 certifications: all three new; no prior ISO program existed. The certifications were cited in the FY2019 Annual Report (SEC Filing) as a primary enabler of the majority of $271.7M that fiscal year, during a period of 70% year-over-year ARR growth.</w:t>
            </w:r>
          </w:p>
          <w:p w14:paraId="504C4242"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Assisted in building Elastic's first </w:t>
            </w:r>
            <w:r>
              <w:rPr>
                <w:rFonts w:ascii="Century Gothic" w:eastAsia="Century Gothic" w:hAnsi="Century Gothic" w:cs="Century Gothic"/>
                <w:b/>
                <w:bCs/>
                <w:sz w:val="18"/>
                <w:szCs w:val="18"/>
              </w:rPr>
              <w:t>FedRAMP</w:t>
            </w:r>
            <w:r>
              <w:rPr>
                <w:rFonts w:ascii="Century Gothic" w:eastAsia="Century Gothic" w:hAnsi="Century Gothic" w:cs="Century Gothic"/>
                <w:sz w:val="18"/>
                <w:szCs w:val="18"/>
              </w:rPr>
              <w:t xml:space="preserve"> program, opening the US federal government market for the first time in company history.</w:t>
            </w:r>
          </w:p>
          <w:p w14:paraId="1896B964"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Reduced engineering burden by 80% through evidence automation and self-service collection tooling at a company growing 70% year-over-year.</w:t>
            </w:r>
          </w:p>
          <w:p w14:paraId="6952FBE1"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Reduced security questionnaire turnaround from 10 business days to 2.5 days, accelerating hundreds of enterprise sales cycles annually.</w:t>
            </w:r>
          </w:p>
          <w:p w14:paraId="2F95DCAD"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Began ownership of the </w:t>
            </w:r>
            <w:r>
              <w:rPr>
                <w:rFonts w:ascii="Century Gothic" w:eastAsia="Century Gothic" w:hAnsi="Century Gothic" w:cs="Century Gothic"/>
                <w:b/>
                <w:bCs/>
                <w:sz w:val="18"/>
                <w:szCs w:val="18"/>
              </w:rPr>
              <w:t>Customer Trust</w:t>
            </w:r>
            <w:r>
              <w:rPr>
                <w:rFonts w:ascii="Century Gothic" w:eastAsia="Century Gothic" w:hAnsi="Century Gothic" w:cs="Century Gothic"/>
                <w:sz w:val="18"/>
                <w:szCs w:val="18"/>
              </w:rPr>
              <w:t xml:space="preserve"> function, and the customer-facing security posture program continued through Rubrik.</w:t>
            </w:r>
          </w:p>
        </w:tc>
        <w:tc>
          <w:tcPr>
            <w:tcW w:w="3831" w:type="dxa"/>
            <w:gridSpan w:val="2"/>
            <w:tcMar>
              <w:top w:w="0" w:type="dxa"/>
              <w:left w:w="0" w:type="dxa"/>
              <w:bottom w:w="0" w:type="dxa"/>
              <w:right w:w="180" w:type="dxa"/>
            </w:tcMar>
          </w:tcPr>
          <w:p w14:paraId="233FAEF1" w14:textId="77777777" w:rsidR="00EB3114" w:rsidRDefault="00000000">
            <w:pPr>
              <w:spacing w:after="60"/>
              <w:rPr>
                <w:rFonts w:ascii="Century Gothic" w:eastAsia="Century Gothic" w:hAnsi="Century Gothic" w:cs="Century Gothic"/>
                <w:color w:val="2A9DB8"/>
              </w:rPr>
            </w:pPr>
            <w:r>
              <w:rPr>
                <w:rFonts w:ascii="Century Gothic" w:eastAsia="Century Gothic" w:hAnsi="Century Gothic" w:cs="Century Gothic"/>
                <w:b/>
                <w:bCs/>
                <w:color w:val="2A9DB8"/>
              </w:rPr>
              <w:t>Revenue Impact Evidence</w:t>
            </w:r>
          </w:p>
          <w:p w14:paraId="5D272213"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ISO certs cited in FY2019 10-K</w:t>
            </w:r>
          </w:p>
          <w:p w14:paraId="41531A87"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$271.7M FY2019 revenue</w:t>
            </w:r>
          </w:p>
          <w:p w14:paraId="2C2D8EE7"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70% peak YoY growth</w:t>
            </w:r>
          </w:p>
          <w:p w14:paraId="6ACFEFEF" w14:textId="77777777" w:rsidR="00EB3114" w:rsidRDefault="00000000">
            <w:pPr>
              <w:spacing w:after="40"/>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NYSE: ESTC</w:t>
            </w:r>
          </w:p>
          <w:p w14:paraId="4634909F" w14:textId="77777777" w:rsidR="00EB3114" w:rsidRDefault="00000000">
            <w:pPr>
              <w:spacing w:after="40"/>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First federal market access ever</w:t>
            </w:r>
          </w:p>
          <w:p w14:paraId="699CF3B5" w14:textId="77777777" w:rsidR="00EB3114" w:rsidRDefault="00EB3114">
            <w:pPr>
              <w:spacing w:after="100"/>
            </w:pPr>
          </w:p>
          <w:p w14:paraId="453E5FB0" w14:textId="77777777" w:rsidR="00EB3114" w:rsidRDefault="00000000">
            <w:pPr>
              <w:spacing w:after="48"/>
              <w:rPr>
                <w:rFonts w:ascii="Century Gothic" w:eastAsia="Century Gothic" w:hAnsi="Century Gothic" w:cs="Century Gothic"/>
                <w:color w:val="2A9DB8"/>
              </w:rPr>
            </w:pPr>
            <w:r>
              <w:rPr>
                <w:rFonts w:ascii="Century Gothic" w:eastAsia="Century Gothic" w:hAnsi="Century Gothic" w:cs="Century Gothic"/>
                <w:b/>
                <w:bCs/>
                <w:color w:val="2A9DB8"/>
              </w:rPr>
              <w:t>Tools &amp; Platforms</w:t>
            </w:r>
          </w:p>
          <w:p w14:paraId="04E9C339"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Confluence</w:t>
            </w:r>
          </w:p>
          <w:p w14:paraId="16F324D8"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Okta</w:t>
            </w:r>
          </w:p>
          <w:p w14:paraId="08D942B8"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AWS</w:t>
            </w:r>
          </w:p>
          <w:p w14:paraId="11E154EE" w14:textId="77777777" w:rsidR="00EB3114" w:rsidRDefault="00000000">
            <w:pPr>
              <w:spacing w:after="36"/>
              <w:rPr>
                <w:rFonts w:ascii="Century Gothic" w:eastAsia="Century Gothic" w:hAnsi="Century Gothic" w:cs="Century Gothic"/>
                <w:color w:val="2A9DB8"/>
              </w:rPr>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Google Workspace</w:t>
            </w:r>
          </w:p>
          <w:p w14:paraId="0C83D7E6" w14:textId="77777777" w:rsidR="00EB3114" w:rsidRDefault="00000000">
            <w:pPr>
              <w:spacing w:after="36"/>
            </w:pPr>
            <w:r>
              <w:rPr>
                <w:rFonts w:ascii="Century Gothic" w:eastAsia="Century Gothic" w:hAnsi="Century Gothic" w:cs="Century Gothic"/>
                <w:color w:val="2A9DB8"/>
              </w:rPr>
              <w:t xml:space="preserve">› </w:t>
            </w:r>
            <w:r>
              <w:rPr>
                <w:rFonts w:ascii="Century Gothic" w:eastAsia="Century Gothic" w:hAnsi="Century Gothic" w:cs="Century Gothic"/>
                <w:color w:val="1A2A40"/>
              </w:rPr>
              <w:t>Salesforce</w:t>
            </w:r>
          </w:p>
          <w:p w14:paraId="38FE5731" w14:textId="77777777" w:rsidR="00EB3114" w:rsidRDefault="00EB3114">
            <w:pPr>
              <w:spacing w:after="100"/>
            </w:pPr>
          </w:p>
          <w:p w14:paraId="1063B4F7" w14:textId="77777777" w:rsidR="00EB3114" w:rsidRDefault="00000000">
            <w:pPr>
              <w:spacing w:after="48"/>
              <w:rPr>
                <w:rFonts w:ascii="Century Gothic" w:eastAsia="Century Gothic" w:hAnsi="Century Gothic" w:cs="Century Gothic"/>
                <w:color w:val="2A9DB8"/>
              </w:rPr>
            </w:pPr>
            <w:r>
              <w:rPr>
                <w:rFonts w:ascii="Century Gothic" w:eastAsia="Century Gothic" w:hAnsi="Century Gothic" w:cs="Century Gothic"/>
                <w:b/>
                <w:bCs/>
                <w:color w:val="2A9DB8"/>
              </w:rPr>
              <w:t>Key Terms</w:t>
            </w:r>
          </w:p>
          <w:p w14:paraId="5C222A1E"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ISO 27001/17/18</w:t>
            </w:r>
          </w:p>
          <w:p w14:paraId="25B69831" w14:textId="77777777" w:rsidR="00EB3114" w:rsidRDefault="00000000">
            <w:pPr>
              <w:spacing w:after="28"/>
              <w:rPr>
                <w:rFonts w:ascii="Century Gothic" w:eastAsia="Century Gothic" w:hAnsi="Century Gothic" w:cs="Century Gothic"/>
                <w:color w:val="2A9DB8"/>
              </w:rPr>
            </w:pPr>
            <w:r>
              <w:rPr>
                <w:rFonts w:ascii="Century Gothic" w:eastAsia="Century Gothic" w:hAnsi="Century Gothic" w:cs="Century Gothic"/>
                <w:i/>
                <w:iCs/>
                <w:color w:val="4A5568"/>
              </w:rPr>
              <w:t>27001: ISMS. 27017: cloud controls. 27018: personal data in cloud.</w:t>
            </w:r>
          </w:p>
          <w:p w14:paraId="68F95ABA"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FedRAMP</w:t>
            </w:r>
          </w:p>
          <w:p w14:paraId="411A83FC" w14:textId="77777777" w:rsidR="00EB3114" w:rsidRDefault="00000000">
            <w:pPr>
              <w:spacing w:after="28"/>
              <w:rPr>
                <w:rFonts w:ascii="Century Gothic" w:eastAsia="Century Gothic" w:hAnsi="Century Gothic" w:cs="Century Gothic"/>
                <w:color w:val="2A9DB8"/>
              </w:rPr>
            </w:pPr>
            <w:r>
              <w:rPr>
                <w:rFonts w:ascii="Century Gothic" w:eastAsia="Century Gothic" w:hAnsi="Century Gothic" w:cs="Century Gothic"/>
                <w:i/>
                <w:iCs/>
                <w:color w:val="4A5568"/>
              </w:rPr>
              <w:t>US government cloud security authorization program.</w:t>
            </w:r>
          </w:p>
          <w:p w14:paraId="31464266"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ISMS</w:t>
            </w:r>
          </w:p>
          <w:p w14:paraId="6F6E1373" w14:textId="77777777" w:rsidR="00EB3114" w:rsidRDefault="00000000">
            <w:pPr>
              <w:spacing w:after="28"/>
              <w:rPr>
                <w:rFonts w:ascii="Century Gothic" w:eastAsia="Century Gothic" w:hAnsi="Century Gothic" w:cs="Century Gothic"/>
                <w:color w:val="2A9DB8"/>
              </w:rPr>
            </w:pPr>
            <w:r>
              <w:rPr>
                <w:rFonts w:ascii="Century Gothic" w:eastAsia="Century Gothic" w:hAnsi="Century Gothic" w:cs="Century Gothic"/>
                <w:i/>
                <w:iCs/>
                <w:color w:val="4A5568"/>
              </w:rPr>
              <w:t>Information Security Management System. The overarching ISO governance framework.</w:t>
            </w:r>
          </w:p>
          <w:p w14:paraId="6CED1F28"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9DB8"/>
              </w:rPr>
              <w:t>10-K</w:t>
            </w:r>
          </w:p>
          <w:p w14:paraId="5FD12F73" w14:textId="77777777" w:rsidR="00EB3114" w:rsidRDefault="00000000">
            <w:pPr>
              <w:spacing w:after="28"/>
            </w:pPr>
            <w:r>
              <w:rPr>
                <w:rFonts w:ascii="Century Gothic" w:eastAsia="Century Gothic" w:hAnsi="Century Gothic" w:cs="Century Gothic"/>
                <w:i/>
                <w:iCs/>
                <w:color w:val="4A5568"/>
              </w:rPr>
              <w:t>Annual report filed with the SEC. Citation = direct revenue attribution.</w:t>
            </w:r>
          </w:p>
        </w:tc>
      </w:tr>
    </w:tbl>
    <w:p w14:paraId="2AD2E809" w14:textId="77777777" w:rsidR="00EB3114" w:rsidRDefault="00EB3114">
      <w:pPr>
        <w:spacing w:after="100"/>
      </w:pPr>
    </w:p>
    <w:p w14:paraId="781C5CD6" w14:textId="77777777" w:rsidR="00EB3114" w:rsidRDefault="00EB3114">
      <w:pPr>
        <w:spacing w:after="100"/>
      </w:pPr>
    </w:p>
    <w:p w14:paraId="73226717" w14:textId="77777777" w:rsidR="00EB3114" w:rsidRDefault="00EB3114">
      <w:pPr>
        <w:spacing w:after="100"/>
      </w:pPr>
    </w:p>
    <w:p w14:paraId="09D9C62F" w14:textId="77777777" w:rsidR="00EB3114" w:rsidRDefault="00EB3114">
      <w:pPr>
        <w:spacing w:after="100"/>
      </w:pPr>
    </w:p>
    <w:p w14:paraId="0294B10D" w14:textId="77777777" w:rsidR="00EB3114" w:rsidRDefault="00EB3114">
      <w:pPr>
        <w:spacing w:after="100"/>
      </w:pPr>
    </w:p>
    <w:p w14:paraId="1D58E723" w14:textId="77777777" w:rsidR="00EB3114" w:rsidRDefault="00EB3114">
      <w:pPr>
        <w:spacing w:after="100"/>
      </w:pPr>
    </w:p>
    <w:p w14:paraId="76A7F205" w14:textId="77777777" w:rsidR="00EB3114" w:rsidRDefault="00EB3114">
      <w:pPr>
        <w:spacing w:after="100"/>
      </w:pPr>
    </w:p>
    <w:p w14:paraId="23FCA586" w14:textId="77777777" w:rsidR="00EB3114" w:rsidRDefault="00EB3114">
      <w:pPr>
        <w:spacing w:after="100"/>
      </w:pPr>
    </w:p>
    <w:p w14:paraId="2E66DB53" w14:textId="77777777" w:rsidR="00EB3114" w:rsidRDefault="00EB3114">
      <w:pPr>
        <w:spacing w:after="100"/>
      </w:pPr>
    </w:p>
    <w:p w14:paraId="3AF8CA3B" w14:textId="0A1C0795" w:rsidR="002972D5" w:rsidRDefault="002972D5">
      <w:r>
        <w:br w:type="page"/>
      </w:r>
    </w:p>
    <w:tbl>
      <w:tblPr>
        <w:tblStyle w:val="ad"/>
        <w:tblW w:w="10078" w:type="dxa"/>
        <w:tblInd w:w="1" w:type="dxa"/>
        <w:tblLayout w:type="fixed"/>
        <w:tblLook w:val="0000" w:firstRow="0" w:lastRow="0" w:firstColumn="0" w:lastColumn="0" w:noHBand="0" w:noVBand="0"/>
      </w:tblPr>
      <w:tblGrid>
        <w:gridCol w:w="6247"/>
        <w:gridCol w:w="304"/>
        <w:gridCol w:w="3527"/>
      </w:tblGrid>
      <w:tr w:rsidR="00EB3114" w14:paraId="1E30309E" w14:textId="77777777" w:rsidTr="002972D5">
        <w:tc>
          <w:tcPr>
            <w:tcW w:w="6551" w:type="dxa"/>
            <w:gridSpan w:val="2"/>
            <w:tcBorders>
              <w:left w:val="single" w:sz="4" w:space="0" w:color="1A4A7A"/>
              <w:bottom w:val="single" w:sz="4" w:space="0" w:color="1A4A7A"/>
            </w:tcBorders>
            <w:shd w:val="clear" w:color="auto" w:fill="FFFFFF"/>
            <w:tcMar>
              <w:left w:w="140" w:type="dxa"/>
              <w:right w:w="100" w:type="dxa"/>
            </w:tcMar>
          </w:tcPr>
          <w:p w14:paraId="7573136B" w14:textId="77777777" w:rsidR="00EB3114" w:rsidRDefault="00000000">
            <w:pPr>
              <w:spacing w:after="100"/>
            </w:pPr>
            <w:r>
              <w:rPr>
                <w:b/>
                <w:bCs/>
                <w:color w:val="1A4A7A"/>
                <w:sz w:val="26"/>
                <w:szCs w:val="26"/>
              </w:rPr>
              <w:lastRenderedPageBreak/>
              <w:t>Aetna / CVS Health</w:t>
            </w:r>
          </w:p>
        </w:tc>
        <w:tc>
          <w:tcPr>
            <w:tcW w:w="3527" w:type="dxa"/>
            <w:tcBorders>
              <w:bottom w:val="single" w:sz="4" w:space="0" w:color="1A4A7A"/>
            </w:tcBorders>
            <w:shd w:val="clear" w:color="auto" w:fill="FFFFFF"/>
          </w:tcPr>
          <w:p w14:paraId="5ABCF5D7" w14:textId="77777777" w:rsidR="00EB3114" w:rsidRDefault="00000000">
            <w:pPr>
              <w:spacing w:after="100"/>
              <w:jc w:val="right"/>
            </w:pPr>
            <w:r>
              <w:rPr>
                <w:rFonts w:ascii="Century Gothic" w:eastAsia="Century Gothic" w:hAnsi="Century Gothic" w:cs="Century Gothic"/>
                <w:color w:val="4A5568"/>
                <w:sz w:val="16"/>
                <w:szCs w:val="16"/>
              </w:rPr>
              <w:t>2017, 2018</w:t>
            </w:r>
          </w:p>
        </w:tc>
      </w:tr>
      <w:tr w:rsidR="00EB3114" w14:paraId="3296288C" w14:textId="77777777" w:rsidTr="002972D5">
        <w:tc>
          <w:tcPr>
            <w:tcW w:w="6247" w:type="dxa"/>
            <w:tcMar>
              <w:top w:w="0" w:type="dxa"/>
              <w:left w:w="0" w:type="dxa"/>
              <w:bottom w:w="0" w:type="dxa"/>
              <w:right w:w="180" w:type="dxa"/>
            </w:tcMar>
          </w:tcPr>
          <w:p w14:paraId="39C5EC60" w14:textId="77777777" w:rsidR="00EB3114" w:rsidRDefault="00000000">
            <w:pPr>
              <w:spacing w:after="80"/>
              <w:rPr>
                <w:color w:val="4A5568"/>
              </w:rPr>
            </w:pPr>
            <w:r>
              <w:rPr>
                <w:b/>
                <w:bCs/>
                <w:color w:val="1A2A40"/>
                <w:sz w:val="22"/>
                <w:szCs w:val="22"/>
              </w:rPr>
              <w:t>Architect Advisor, Forensic Business Architecture</w:t>
            </w:r>
            <w:r>
              <w:rPr>
                <w:color w:val="4A5568"/>
                <w:sz w:val="16"/>
                <w:szCs w:val="16"/>
              </w:rPr>
              <w:t xml:space="preserve">  ·  </w:t>
            </w:r>
            <w:r>
              <w:rPr>
                <w:i/>
                <w:iCs/>
                <w:color w:val="4A5568"/>
                <w:sz w:val="16"/>
                <w:szCs w:val="16"/>
              </w:rPr>
              <w:t>NYSE: CVS  ·  Managed Care / Healthcare</w:t>
            </w:r>
          </w:p>
          <w:p w14:paraId="7909E395" w14:textId="77777777" w:rsidR="00EB3114" w:rsidRDefault="00000000">
            <w:pPr>
              <w:spacing w:after="80"/>
              <w:rPr>
                <w:color w:val="4A5568"/>
              </w:rPr>
            </w:pPr>
            <w:r>
              <w:rPr>
                <w:i/>
                <w:iCs/>
                <w:color w:val="4A5568"/>
              </w:rPr>
              <w:t>Applied forensic architecture methodology to Aetna Healthcare product security during the CVS Health acquisition. Forensic architecture, reading what a system is actually doing versus what it appears to be doing, is transferred directly from investigative methodology.</w:t>
            </w:r>
          </w:p>
          <w:p w14:paraId="0B6CBAA0" w14:textId="77777777" w:rsidR="00EB3114" w:rsidRDefault="00EB3114">
            <w:pPr>
              <w:spacing w:after="80"/>
              <w:rPr>
                <w:rFonts w:ascii="Century Gothic" w:eastAsia="Century Gothic" w:hAnsi="Century Gothic" w:cs="Century Gothic"/>
                <w:sz w:val="18"/>
                <w:szCs w:val="18"/>
              </w:rPr>
            </w:pPr>
          </w:p>
          <w:p w14:paraId="65404A63"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Applied forensic business architecture across Aetna Healthcare product development and enterprise system security at Fortune 5 scale.</w:t>
            </w:r>
          </w:p>
          <w:p w14:paraId="6E72B5FE"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Supported CVS Health merger integration with a compliance and information security perspective.</w:t>
            </w:r>
          </w:p>
          <w:p w14:paraId="41BCBF0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Maintained </w:t>
            </w:r>
            <w:r>
              <w:rPr>
                <w:rFonts w:ascii="Century Gothic" w:eastAsia="Century Gothic" w:hAnsi="Century Gothic" w:cs="Century Gothic"/>
                <w:b/>
                <w:bCs/>
                <w:sz w:val="18"/>
                <w:szCs w:val="18"/>
              </w:rPr>
              <w:t>HIPAA</w:t>
            </w:r>
            <w:r>
              <w:rPr>
                <w:rFonts w:ascii="Century Gothic" w:eastAsia="Century Gothic" w:hAnsi="Century Gothic" w:cs="Century Gothic"/>
                <w:sz w:val="18"/>
                <w:szCs w:val="18"/>
              </w:rPr>
              <w:t xml:space="preserve"> compliance architecture across healthcare product lines, handling </w:t>
            </w:r>
            <w:r>
              <w:rPr>
                <w:rFonts w:ascii="Century Gothic" w:eastAsia="Century Gothic" w:hAnsi="Century Gothic" w:cs="Century Gothic"/>
                <w:b/>
                <w:bCs/>
                <w:sz w:val="18"/>
                <w:szCs w:val="18"/>
              </w:rPr>
              <w:t>PHI</w:t>
            </w:r>
            <w:r>
              <w:rPr>
                <w:rFonts w:ascii="Century Gothic" w:eastAsia="Century Gothic" w:hAnsi="Century Gothic" w:cs="Century Gothic"/>
                <w:sz w:val="18"/>
                <w:szCs w:val="18"/>
              </w:rPr>
              <w:t xml:space="preserve"> at scale.</w:t>
            </w:r>
          </w:p>
        </w:tc>
        <w:tc>
          <w:tcPr>
            <w:tcW w:w="3831" w:type="dxa"/>
            <w:gridSpan w:val="2"/>
            <w:tcBorders>
              <w:left w:val="dashed" w:sz="4" w:space="0" w:color="1A4A7A"/>
            </w:tcBorders>
            <w:shd w:val="clear" w:color="auto" w:fill="FFFFFF"/>
          </w:tcPr>
          <w:p w14:paraId="00F9E6E3" w14:textId="77777777" w:rsidR="00EB3114" w:rsidRDefault="00000000">
            <w:pPr>
              <w:spacing w:after="48"/>
              <w:rPr>
                <w:rFonts w:ascii="Century Gothic" w:eastAsia="Century Gothic" w:hAnsi="Century Gothic" w:cs="Century Gothic"/>
                <w:color w:val="1A4A7A"/>
              </w:rPr>
            </w:pPr>
            <w:r>
              <w:rPr>
                <w:rFonts w:ascii="Century Gothic" w:eastAsia="Century Gothic" w:hAnsi="Century Gothic" w:cs="Century Gothic"/>
                <w:b/>
                <w:bCs/>
                <w:color w:val="1A4A7A"/>
              </w:rPr>
              <w:t>Tools &amp; Platforms</w:t>
            </w:r>
          </w:p>
          <w:p w14:paraId="0E1B366F" w14:textId="77777777" w:rsidR="00EB3114" w:rsidRDefault="00000000">
            <w:pPr>
              <w:spacing w:after="36"/>
              <w:rPr>
                <w:rFonts w:ascii="Century Gothic" w:eastAsia="Century Gothic" w:hAnsi="Century Gothic" w:cs="Century Gothic"/>
                <w:color w:val="1A4A7A"/>
              </w:rPr>
            </w:pPr>
            <w:r>
              <w:rPr>
                <w:rFonts w:ascii="Century Gothic" w:eastAsia="Century Gothic" w:hAnsi="Century Gothic" w:cs="Century Gothic"/>
                <w:color w:val="1A4A7A"/>
              </w:rPr>
              <w:t xml:space="preserve">› </w:t>
            </w:r>
            <w:r>
              <w:rPr>
                <w:rFonts w:ascii="Century Gothic" w:eastAsia="Century Gothic" w:hAnsi="Century Gothic" w:cs="Century Gothic"/>
                <w:color w:val="1A2A40"/>
              </w:rPr>
              <w:t>Enterprise security architecture</w:t>
            </w:r>
          </w:p>
          <w:p w14:paraId="4503FAFF" w14:textId="77777777" w:rsidR="00EB3114" w:rsidRDefault="00000000">
            <w:pPr>
              <w:spacing w:after="36"/>
              <w:rPr>
                <w:rFonts w:ascii="Century Gothic" w:eastAsia="Century Gothic" w:hAnsi="Century Gothic" w:cs="Century Gothic"/>
                <w:color w:val="1A4A7A"/>
              </w:rPr>
            </w:pPr>
            <w:r>
              <w:rPr>
                <w:rFonts w:ascii="Century Gothic" w:eastAsia="Century Gothic" w:hAnsi="Century Gothic" w:cs="Century Gothic"/>
                <w:color w:val="1A4A7A"/>
              </w:rPr>
              <w:t xml:space="preserve">› </w:t>
            </w:r>
            <w:r>
              <w:rPr>
                <w:rFonts w:ascii="Century Gothic" w:eastAsia="Century Gothic" w:hAnsi="Century Gothic" w:cs="Century Gothic"/>
                <w:color w:val="1A2A40"/>
              </w:rPr>
              <w:t>HIPAA compliance tooling</w:t>
            </w:r>
          </w:p>
          <w:p w14:paraId="44C0D03B" w14:textId="77777777" w:rsidR="00EB3114" w:rsidRDefault="00000000">
            <w:pPr>
              <w:spacing w:after="36"/>
            </w:pPr>
            <w:r>
              <w:rPr>
                <w:rFonts w:ascii="Century Gothic" w:eastAsia="Century Gothic" w:hAnsi="Century Gothic" w:cs="Century Gothic"/>
                <w:color w:val="1A4A7A"/>
              </w:rPr>
              <w:t xml:space="preserve">› </w:t>
            </w:r>
            <w:r>
              <w:rPr>
                <w:rFonts w:ascii="Century Gothic" w:eastAsia="Century Gothic" w:hAnsi="Century Gothic" w:cs="Century Gothic"/>
                <w:color w:val="1A2A40"/>
              </w:rPr>
              <w:t>CVS merger integration</w:t>
            </w:r>
          </w:p>
          <w:p w14:paraId="34014372" w14:textId="77777777" w:rsidR="00EB3114" w:rsidRDefault="00EB3114">
            <w:pPr>
              <w:spacing w:after="100"/>
            </w:pPr>
          </w:p>
          <w:p w14:paraId="2F85485A" w14:textId="77777777" w:rsidR="00EB3114" w:rsidRDefault="00000000">
            <w:pPr>
              <w:spacing w:after="48"/>
              <w:rPr>
                <w:rFonts w:ascii="Century Gothic" w:eastAsia="Century Gothic" w:hAnsi="Century Gothic" w:cs="Century Gothic"/>
                <w:color w:val="1A4A7A"/>
              </w:rPr>
            </w:pPr>
            <w:r>
              <w:rPr>
                <w:rFonts w:ascii="Century Gothic" w:eastAsia="Century Gothic" w:hAnsi="Century Gothic" w:cs="Century Gothic"/>
                <w:b/>
                <w:bCs/>
                <w:color w:val="1A4A7A"/>
              </w:rPr>
              <w:t>Key Terms</w:t>
            </w:r>
          </w:p>
          <w:p w14:paraId="273579AA"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1A4A7A"/>
              </w:rPr>
              <w:t>Forensic Architecture</w:t>
            </w:r>
          </w:p>
          <w:p w14:paraId="498947D9" w14:textId="77777777" w:rsidR="00EB3114" w:rsidRDefault="00000000">
            <w:pPr>
              <w:spacing w:after="28"/>
            </w:pPr>
            <w:r>
              <w:rPr>
                <w:rFonts w:ascii="Century Gothic" w:eastAsia="Century Gothic" w:hAnsi="Century Gothic" w:cs="Century Gothic"/>
                <w:i/>
                <w:iCs/>
                <w:color w:val="4A5568"/>
              </w:rPr>
              <w:t>Reading what a system is actually doing versus what it appears to be doing.</w:t>
            </w:r>
          </w:p>
        </w:tc>
      </w:tr>
    </w:tbl>
    <w:p w14:paraId="459E5F19" w14:textId="77777777" w:rsidR="00EB3114" w:rsidRDefault="00EB3114">
      <w:pPr>
        <w:spacing w:after="100"/>
      </w:pPr>
    </w:p>
    <w:p w14:paraId="67B30C8F" w14:textId="77777777" w:rsidR="00EB3114" w:rsidRDefault="00EB3114"/>
    <w:tbl>
      <w:tblPr>
        <w:tblStyle w:val="ae"/>
        <w:tblW w:w="10078" w:type="dxa"/>
        <w:tblInd w:w="1" w:type="dxa"/>
        <w:tblLayout w:type="fixed"/>
        <w:tblLook w:val="0000" w:firstRow="0" w:lastRow="0" w:firstColumn="0" w:lastColumn="0" w:noHBand="0" w:noVBand="0"/>
      </w:tblPr>
      <w:tblGrid>
        <w:gridCol w:w="6247"/>
        <w:gridCol w:w="304"/>
        <w:gridCol w:w="3527"/>
      </w:tblGrid>
      <w:tr w:rsidR="00EB3114" w14:paraId="39E4EDA5" w14:textId="77777777">
        <w:tc>
          <w:tcPr>
            <w:tcW w:w="6552" w:type="dxa"/>
            <w:gridSpan w:val="2"/>
            <w:tcBorders>
              <w:left w:val="single" w:sz="4" w:space="0" w:color="2A3A52"/>
              <w:bottom w:val="single" w:sz="4" w:space="0" w:color="2A3A52"/>
            </w:tcBorders>
            <w:shd w:val="clear" w:color="auto" w:fill="FFFFFF"/>
            <w:tcMar>
              <w:left w:w="140" w:type="dxa"/>
              <w:right w:w="100" w:type="dxa"/>
            </w:tcMar>
          </w:tcPr>
          <w:p w14:paraId="5AF5B8EB" w14:textId="77777777" w:rsidR="00EB3114" w:rsidRDefault="00000000">
            <w:pPr>
              <w:spacing w:after="100"/>
            </w:pPr>
            <w:r>
              <w:rPr>
                <w:b/>
                <w:bCs/>
                <w:color w:val="2A3A52"/>
                <w:sz w:val="26"/>
                <w:szCs w:val="26"/>
              </w:rPr>
              <w:t>Evariant</w:t>
            </w:r>
          </w:p>
        </w:tc>
        <w:tc>
          <w:tcPr>
            <w:tcW w:w="3527" w:type="dxa"/>
            <w:tcBorders>
              <w:bottom w:val="single" w:sz="4" w:space="0" w:color="2A3A52"/>
            </w:tcBorders>
            <w:shd w:val="clear" w:color="auto" w:fill="FFFFFF"/>
          </w:tcPr>
          <w:p w14:paraId="1FC3E996" w14:textId="77777777" w:rsidR="00EB3114" w:rsidRDefault="00000000">
            <w:pPr>
              <w:spacing w:after="100"/>
              <w:jc w:val="right"/>
            </w:pPr>
            <w:r>
              <w:rPr>
                <w:rFonts w:ascii="Century Gothic" w:eastAsia="Century Gothic" w:hAnsi="Century Gothic" w:cs="Century Gothic"/>
                <w:color w:val="4A5568"/>
                <w:sz w:val="16"/>
                <w:szCs w:val="16"/>
              </w:rPr>
              <w:t>2015, 2017</w:t>
            </w:r>
          </w:p>
        </w:tc>
      </w:tr>
      <w:tr w:rsidR="00EB3114" w14:paraId="79479FF3" w14:textId="77777777">
        <w:tc>
          <w:tcPr>
            <w:tcW w:w="6248" w:type="dxa"/>
            <w:tcMar>
              <w:top w:w="0" w:type="dxa"/>
              <w:left w:w="0" w:type="dxa"/>
              <w:bottom w:w="0" w:type="dxa"/>
              <w:right w:w="180" w:type="dxa"/>
            </w:tcMar>
          </w:tcPr>
          <w:p w14:paraId="1E7D97BA" w14:textId="77777777" w:rsidR="00EB3114" w:rsidRDefault="00000000">
            <w:pPr>
              <w:spacing w:after="80"/>
              <w:rPr>
                <w:color w:val="4A5568"/>
              </w:rPr>
            </w:pPr>
            <w:r>
              <w:rPr>
                <w:b/>
                <w:bCs/>
                <w:color w:val="1A2A40"/>
                <w:sz w:val="22"/>
                <w:szCs w:val="22"/>
              </w:rPr>
              <w:t>Director, Compliance &amp; Information Security</w:t>
            </w:r>
            <w:r>
              <w:rPr>
                <w:color w:val="4A5568"/>
                <w:sz w:val="16"/>
                <w:szCs w:val="16"/>
              </w:rPr>
              <w:t xml:space="preserve">  ·  </w:t>
            </w:r>
            <w:r>
              <w:rPr>
                <w:i/>
                <w:iCs/>
                <w:color w:val="4A5568"/>
                <w:sz w:val="16"/>
                <w:szCs w:val="16"/>
              </w:rPr>
              <w:t>Private  ·  Healthcare Analytics SaaS</w:t>
            </w:r>
          </w:p>
          <w:p w14:paraId="53328AAB" w14:textId="77777777" w:rsidR="00EB3114" w:rsidRDefault="00000000">
            <w:pPr>
              <w:spacing w:after="80"/>
              <w:rPr>
                <w:color w:val="4A5568"/>
              </w:rPr>
            </w:pPr>
            <w:r>
              <w:rPr>
                <w:i/>
                <w:iCs/>
                <w:color w:val="4A5568"/>
              </w:rPr>
              <w:t>Managed security and compliance for a healthcare analytics platform serving 50+ hospital networks handling PHI across AWS, Hadoop, and Salesforce. First leadership-level compliance role.</w:t>
            </w:r>
          </w:p>
          <w:p w14:paraId="54FEA2A1" w14:textId="77777777" w:rsidR="00EB3114" w:rsidRDefault="00EB3114">
            <w:pPr>
              <w:spacing w:after="80"/>
              <w:rPr>
                <w:rFonts w:ascii="Century Gothic" w:eastAsia="Century Gothic" w:hAnsi="Century Gothic" w:cs="Century Gothic"/>
                <w:sz w:val="18"/>
                <w:szCs w:val="18"/>
              </w:rPr>
            </w:pPr>
          </w:p>
          <w:p w14:paraId="47B1D287"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Managed security and compliance across 50+ hospital networks handling </w:t>
            </w:r>
            <w:r>
              <w:rPr>
                <w:rFonts w:ascii="Century Gothic" w:eastAsia="Century Gothic" w:hAnsi="Century Gothic" w:cs="Century Gothic"/>
                <w:b/>
                <w:bCs/>
                <w:sz w:val="18"/>
                <w:szCs w:val="18"/>
              </w:rPr>
              <w:t>PHI</w:t>
            </w:r>
            <w:r>
              <w:rPr>
                <w:rFonts w:ascii="Century Gothic" w:eastAsia="Century Gothic" w:hAnsi="Century Gothic" w:cs="Century Gothic"/>
                <w:sz w:val="18"/>
                <w:szCs w:val="18"/>
              </w:rPr>
              <w:t>.</w:t>
            </w:r>
          </w:p>
          <w:p w14:paraId="0BE66F4B"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Maintained </w:t>
            </w:r>
            <w:r>
              <w:rPr>
                <w:rFonts w:ascii="Century Gothic" w:eastAsia="Century Gothic" w:hAnsi="Century Gothic" w:cs="Century Gothic"/>
                <w:b/>
                <w:bCs/>
                <w:sz w:val="18"/>
                <w:szCs w:val="18"/>
              </w:rPr>
              <w:t>HIPAA</w:t>
            </w:r>
            <w:r>
              <w:rPr>
                <w:rFonts w:ascii="Century Gothic" w:eastAsia="Century Gothic" w:hAnsi="Century Gothic" w:cs="Century Gothic"/>
                <w:sz w:val="18"/>
                <w:szCs w:val="18"/>
              </w:rPr>
              <w:t xml:space="preserve"> Security Rule and Privacy Rule compliance across all pipelines and vendor integrations.</w:t>
            </w:r>
          </w:p>
          <w:p w14:paraId="22485974"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Established information security program, vendor risk management, and incident response from scratch.</w:t>
            </w:r>
          </w:p>
        </w:tc>
        <w:tc>
          <w:tcPr>
            <w:tcW w:w="3831" w:type="dxa"/>
            <w:gridSpan w:val="2"/>
            <w:tcBorders>
              <w:left w:val="dashed" w:sz="4" w:space="0" w:color="2A3A52"/>
            </w:tcBorders>
            <w:shd w:val="clear" w:color="auto" w:fill="FFFFFF"/>
          </w:tcPr>
          <w:p w14:paraId="4C9C7C60"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rPr>
              <w:t>Tools &amp; Platforms</w:t>
            </w:r>
          </w:p>
          <w:p w14:paraId="2A5C426C"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HIPAA tooling</w:t>
            </w:r>
          </w:p>
          <w:p w14:paraId="306CF104"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AWS</w:t>
            </w:r>
          </w:p>
          <w:p w14:paraId="5E6700BD"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Hadoop</w:t>
            </w:r>
          </w:p>
          <w:p w14:paraId="30944E25" w14:textId="77777777" w:rsidR="00EB3114" w:rsidRDefault="00000000">
            <w:pPr>
              <w:spacing w:after="36"/>
              <w:rPr>
                <w:rFonts w:ascii="Century Gothic" w:eastAsia="Century Gothic" w:hAnsi="Century Gothic" w:cs="Century Gothic"/>
                <w:color w:val="2A3A52"/>
              </w:rPr>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Salesforce</w:t>
            </w:r>
          </w:p>
          <w:p w14:paraId="4486A21B" w14:textId="77777777" w:rsidR="00EB3114" w:rsidRDefault="00000000">
            <w:pPr>
              <w:spacing w:after="36"/>
            </w:pPr>
            <w:r>
              <w:rPr>
                <w:rFonts w:ascii="Century Gothic" w:eastAsia="Century Gothic" w:hAnsi="Century Gothic" w:cs="Century Gothic"/>
                <w:color w:val="2A3A52"/>
              </w:rPr>
              <w:t xml:space="preserve">› </w:t>
            </w:r>
            <w:r>
              <w:rPr>
                <w:rFonts w:ascii="Century Gothic" w:eastAsia="Century Gothic" w:hAnsi="Century Gothic" w:cs="Century Gothic"/>
                <w:color w:val="1A2A40"/>
              </w:rPr>
              <w:t>Qualys</w:t>
            </w:r>
          </w:p>
          <w:p w14:paraId="7C05B647" w14:textId="77777777" w:rsidR="00EB3114" w:rsidRDefault="00EB3114">
            <w:pPr>
              <w:spacing w:after="100"/>
            </w:pPr>
          </w:p>
          <w:p w14:paraId="022EC525" w14:textId="77777777" w:rsidR="00EB3114" w:rsidRDefault="00000000">
            <w:pPr>
              <w:spacing w:after="48"/>
              <w:rPr>
                <w:rFonts w:ascii="Century Gothic" w:eastAsia="Century Gothic" w:hAnsi="Century Gothic" w:cs="Century Gothic"/>
                <w:color w:val="2A3A52"/>
              </w:rPr>
            </w:pPr>
            <w:r>
              <w:rPr>
                <w:rFonts w:ascii="Century Gothic" w:eastAsia="Century Gothic" w:hAnsi="Century Gothic" w:cs="Century Gothic"/>
                <w:b/>
                <w:bCs/>
                <w:color w:val="2A3A52"/>
              </w:rPr>
              <w:t>Key Terms</w:t>
            </w:r>
          </w:p>
          <w:p w14:paraId="574DDFF3"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3A52"/>
              </w:rPr>
              <w:t>HIPAA</w:t>
            </w:r>
          </w:p>
          <w:p w14:paraId="6195605E" w14:textId="77777777" w:rsidR="00EB3114" w:rsidRDefault="00000000">
            <w:pPr>
              <w:spacing w:after="28"/>
              <w:rPr>
                <w:rFonts w:ascii="Century Gothic" w:eastAsia="Century Gothic" w:hAnsi="Century Gothic" w:cs="Century Gothic"/>
                <w:color w:val="2A3A52"/>
              </w:rPr>
            </w:pPr>
            <w:r>
              <w:rPr>
                <w:rFonts w:ascii="Century Gothic" w:eastAsia="Century Gothic" w:hAnsi="Century Gothic" w:cs="Century Gothic"/>
                <w:i/>
                <w:iCs/>
                <w:color w:val="4A5568"/>
              </w:rPr>
              <w:t>US health data privacy law covering Security, Privacy, and Breach Notifications Rules.</w:t>
            </w:r>
          </w:p>
          <w:p w14:paraId="3A9EE6FE" w14:textId="77777777" w:rsidR="00EB3114" w:rsidRDefault="00000000">
            <w:pPr>
              <w:spacing w:after="12"/>
              <w:rPr>
                <w:rFonts w:ascii="Century Gothic" w:eastAsia="Century Gothic" w:hAnsi="Century Gothic" w:cs="Century Gothic"/>
                <w:color w:val="4A5568"/>
              </w:rPr>
            </w:pPr>
            <w:r>
              <w:rPr>
                <w:rFonts w:ascii="Century Gothic" w:eastAsia="Century Gothic" w:hAnsi="Century Gothic" w:cs="Century Gothic"/>
                <w:b/>
                <w:bCs/>
                <w:color w:val="2A3A52"/>
              </w:rPr>
              <w:t>PHI</w:t>
            </w:r>
          </w:p>
          <w:p w14:paraId="7D1066E0" w14:textId="77777777" w:rsidR="00EB3114" w:rsidRDefault="00000000">
            <w:pPr>
              <w:spacing w:after="28"/>
            </w:pPr>
            <w:r>
              <w:rPr>
                <w:rFonts w:ascii="Century Gothic" w:eastAsia="Century Gothic" w:hAnsi="Century Gothic" w:cs="Century Gothic"/>
                <w:i/>
                <w:iCs/>
                <w:color w:val="4A5568"/>
              </w:rPr>
              <w:t>Protected Health Information. Any health data tied to an identifiable individual.</w:t>
            </w:r>
          </w:p>
        </w:tc>
      </w:tr>
    </w:tbl>
    <w:p w14:paraId="4BD021CA" w14:textId="77777777" w:rsidR="00EB3114" w:rsidRDefault="00EB3114">
      <w:pPr>
        <w:spacing w:after="100"/>
      </w:pPr>
    </w:p>
    <w:p w14:paraId="0AAD2D9C" w14:textId="77777777" w:rsidR="00EB3114" w:rsidRDefault="00EB3114"/>
    <w:p w14:paraId="30BB6A60" w14:textId="77777777" w:rsidR="00EB3114" w:rsidRDefault="00EB3114">
      <w:pPr>
        <w:pageBreakBefore/>
        <w:spacing w:after="100"/>
      </w:pPr>
    </w:p>
    <w:p w14:paraId="20ECC144" w14:textId="77777777" w:rsidR="00EB3114" w:rsidRPr="002972D5" w:rsidRDefault="00000000">
      <w:pPr>
        <w:spacing w:before="160" w:after="60"/>
        <w:rPr>
          <w:sz w:val="28"/>
          <w:szCs w:val="28"/>
        </w:rPr>
      </w:pPr>
      <w:r w:rsidRPr="002972D5">
        <w:rPr>
          <w:rFonts w:ascii="Century Gothic" w:eastAsia="Century Gothic" w:hAnsi="Century Gothic" w:cs="Century Gothic"/>
          <w:b/>
          <w:bCs/>
          <w:color w:val="2A9DB8"/>
          <w:sz w:val="28"/>
          <w:szCs w:val="28"/>
        </w:rPr>
        <w:t>EARLIER ROLES: FOUNDATION ERA (2011–2018)</w:t>
      </w:r>
    </w:p>
    <w:p w14:paraId="35BEFFC2"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7B6675D6" w14:textId="77777777" w:rsidR="00EB3114" w:rsidRDefault="00000000">
      <w:pPr>
        <w:spacing w:after="120"/>
        <w:rPr>
          <w:rFonts w:ascii="Century Gothic" w:eastAsia="Century Gothic" w:hAnsi="Century Gothic" w:cs="Century Gothic"/>
          <w:sz w:val="18"/>
          <w:szCs w:val="18"/>
        </w:rPr>
      </w:pPr>
      <w:r>
        <w:rPr>
          <w:rFonts w:ascii="Century Gothic" w:eastAsia="Century Gothic" w:hAnsi="Century Gothic" w:cs="Century Gothic"/>
          <w:sz w:val="18"/>
          <w:szCs w:val="18"/>
        </w:rPr>
        <w:t>Seven years across healthcare, higher education, and financial services. These roles built the pattern recognition and regulatory fluency that make enterprise compliance work possible: HIPAA at scale, PHI across complex infrastructure, federal regulator relationships, the first CISO role, and the first exposure to enterprise DLP at institutional scale.</w:t>
      </w:r>
    </w:p>
    <w:p w14:paraId="24C39412" w14:textId="77777777" w:rsidR="00EB3114" w:rsidRDefault="00EB3114">
      <w:pPr>
        <w:spacing w:after="120"/>
        <w:rPr>
          <w:color w:val="2E8B57"/>
          <w:sz w:val="26"/>
          <w:szCs w:val="26"/>
        </w:rPr>
      </w:pPr>
    </w:p>
    <w:tbl>
      <w:tblPr>
        <w:tblStyle w:val="af"/>
        <w:tblW w:w="10078" w:type="dxa"/>
        <w:tblInd w:w="1" w:type="dxa"/>
        <w:tblLayout w:type="fixed"/>
        <w:tblLook w:val="0000" w:firstRow="0" w:lastRow="0" w:firstColumn="0" w:lastColumn="0" w:noHBand="0" w:noVBand="0"/>
      </w:tblPr>
      <w:tblGrid>
        <w:gridCol w:w="6247"/>
        <w:gridCol w:w="304"/>
        <w:gridCol w:w="3527"/>
      </w:tblGrid>
      <w:tr w:rsidR="00EB3114" w14:paraId="5C47B14C" w14:textId="77777777">
        <w:tc>
          <w:tcPr>
            <w:tcW w:w="6552" w:type="dxa"/>
            <w:gridSpan w:val="2"/>
            <w:tcBorders>
              <w:left w:val="single" w:sz="4" w:space="0" w:color="2E8B57"/>
              <w:bottom w:val="single" w:sz="4" w:space="0" w:color="2E8B57"/>
            </w:tcBorders>
            <w:shd w:val="clear" w:color="auto" w:fill="FFFFFF"/>
            <w:tcMar>
              <w:left w:w="140" w:type="dxa"/>
              <w:right w:w="100" w:type="dxa"/>
            </w:tcMar>
          </w:tcPr>
          <w:p w14:paraId="7E143DCB" w14:textId="77777777" w:rsidR="00EB3114" w:rsidRDefault="00000000">
            <w:pPr>
              <w:spacing w:after="100"/>
            </w:pPr>
            <w:r>
              <w:rPr>
                <w:b/>
                <w:bCs/>
                <w:color w:val="2E8B57"/>
                <w:sz w:val="26"/>
                <w:szCs w:val="26"/>
              </w:rPr>
              <w:t>Saint Mary's Hospital / Trinity Health</w:t>
            </w:r>
          </w:p>
        </w:tc>
        <w:tc>
          <w:tcPr>
            <w:tcW w:w="3527" w:type="dxa"/>
            <w:tcBorders>
              <w:bottom w:val="single" w:sz="4" w:space="0" w:color="2E8B57"/>
            </w:tcBorders>
            <w:shd w:val="clear" w:color="auto" w:fill="FFFFFF"/>
          </w:tcPr>
          <w:p w14:paraId="69938AFB" w14:textId="77777777" w:rsidR="00EB3114" w:rsidRDefault="00000000">
            <w:pPr>
              <w:spacing w:after="100"/>
              <w:jc w:val="right"/>
            </w:pPr>
            <w:r>
              <w:rPr>
                <w:rFonts w:ascii="Century Gothic" w:eastAsia="Century Gothic" w:hAnsi="Century Gothic" w:cs="Century Gothic"/>
                <w:color w:val="4A5568"/>
                <w:sz w:val="16"/>
                <w:szCs w:val="16"/>
              </w:rPr>
              <w:t>2014, 2015</w:t>
            </w:r>
          </w:p>
        </w:tc>
      </w:tr>
      <w:tr w:rsidR="00EB3114" w14:paraId="26C5AAD9" w14:textId="77777777">
        <w:tc>
          <w:tcPr>
            <w:tcW w:w="6248" w:type="dxa"/>
            <w:tcMar>
              <w:top w:w="0" w:type="dxa"/>
              <w:left w:w="0" w:type="dxa"/>
              <w:bottom w:w="0" w:type="dxa"/>
              <w:right w:w="180" w:type="dxa"/>
            </w:tcMar>
          </w:tcPr>
          <w:p w14:paraId="4569A2F3" w14:textId="77777777" w:rsidR="00EB3114" w:rsidRDefault="00000000">
            <w:pPr>
              <w:spacing w:after="80"/>
              <w:rPr>
                <w:color w:val="4A5568"/>
              </w:rPr>
            </w:pPr>
            <w:r>
              <w:rPr>
                <w:b/>
                <w:bCs/>
                <w:color w:val="1A2A40"/>
                <w:sz w:val="22"/>
                <w:szCs w:val="22"/>
              </w:rPr>
              <w:t>Information Security Officer  (First CISO-equivalent Role)</w:t>
            </w:r>
            <w:r>
              <w:rPr>
                <w:color w:val="4A5568"/>
                <w:sz w:val="16"/>
                <w:szCs w:val="16"/>
              </w:rPr>
              <w:t xml:space="preserve">  ·  </w:t>
            </w:r>
            <w:r>
              <w:rPr>
                <w:i/>
                <w:iCs/>
                <w:color w:val="4A5568"/>
                <w:sz w:val="16"/>
                <w:szCs w:val="16"/>
              </w:rPr>
              <w:t>Non-profit Health System</w:t>
            </w:r>
          </w:p>
          <w:p w14:paraId="009D252A" w14:textId="77777777" w:rsidR="00EB3114" w:rsidRDefault="00000000">
            <w:pPr>
              <w:spacing w:after="80"/>
              <w:rPr>
                <w:color w:val="4A5568"/>
              </w:rPr>
            </w:pPr>
            <w:r>
              <w:rPr>
                <w:i/>
                <w:iCs/>
                <w:color w:val="4A5568"/>
              </w:rPr>
              <w:t>First information security executive at a major hospital system within Trinity Health. Launched the IAM program, Federal Audit Response infrastructure, and Disaster Recovery planning from scratch.</w:t>
            </w:r>
          </w:p>
          <w:p w14:paraId="27A76A6A" w14:textId="77777777" w:rsidR="00EB3114" w:rsidRDefault="00EB3114">
            <w:pPr>
              <w:spacing w:after="80"/>
              <w:rPr>
                <w:rFonts w:ascii="Century Gothic" w:eastAsia="Century Gothic" w:hAnsi="Century Gothic" w:cs="Century Gothic"/>
                <w:sz w:val="18"/>
                <w:szCs w:val="18"/>
              </w:rPr>
            </w:pPr>
          </w:p>
          <w:p w14:paraId="5CAA3A27"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First information security executive. Launched the first-ever </w:t>
            </w:r>
            <w:r>
              <w:rPr>
                <w:rFonts w:ascii="Century Gothic" w:eastAsia="Century Gothic" w:hAnsi="Century Gothic" w:cs="Century Gothic"/>
                <w:b/>
                <w:bCs/>
                <w:sz w:val="18"/>
                <w:szCs w:val="18"/>
              </w:rPr>
              <w:t>IAM</w:t>
            </w:r>
            <w:r>
              <w:rPr>
                <w:rFonts w:ascii="Century Gothic" w:eastAsia="Century Gothic" w:hAnsi="Century Gothic" w:cs="Century Gothic"/>
                <w:sz w:val="18"/>
                <w:szCs w:val="18"/>
              </w:rPr>
              <w:t xml:space="preserve"> program, Federal Audit Response infrastructure, and DR planning; no prior security governance existed.</w:t>
            </w:r>
          </w:p>
          <w:p w14:paraId="0985C0C0"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Established information security governance across dozens of clinical systems, EHR platforms, and medical device integrations.</w:t>
            </w:r>
          </w:p>
          <w:p w14:paraId="6B4047FC"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Built CMS and </w:t>
            </w:r>
            <w:r>
              <w:rPr>
                <w:rFonts w:ascii="Century Gothic" w:eastAsia="Century Gothic" w:hAnsi="Century Gothic" w:cs="Century Gothic"/>
                <w:b/>
                <w:bCs/>
                <w:sz w:val="18"/>
                <w:szCs w:val="18"/>
              </w:rPr>
              <w:t>HIPAA</w:t>
            </w:r>
            <w:r>
              <w:rPr>
                <w:rFonts w:ascii="Century Gothic" w:eastAsia="Century Gothic" w:hAnsi="Century Gothic" w:cs="Century Gothic"/>
                <w:sz w:val="18"/>
                <w:szCs w:val="18"/>
              </w:rPr>
              <w:t xml:space="preserve"> audit readiness, the first formal regulatory compliance program at the institution.</w:t>
            </w:r>
          </w:p>
        </w:tc>
        <w:tc>
          <w:tcPr>
            <w:tcW w:w="3831" w:type="dxa"/>
            <w:gridSpan w:val="2"/>
            <w:tcBorders>
              <w:left w:val="dashed" w:sz="4" w:space="0" w:color="2E8B57"/>
            </w:tcBorders>
            <w:shd w:val="clear" w:color="auto" w:fill="FFFFFF"/>
          </w:tcPr>
          <w:p w14:paraId="1C167E44" w14:textId="77777777" w:rsidR="00EB3114" w:rsidRDefault="00000000">
            <w:pPr>
              <w:spacing w:after="60"/>
              <w:rPr>
                <w:rFonts w:ascii="Century Gothic" w:eastAsia="Century Gothic" w:hAnsi="Century Gothic" w:cs="Century Gothic"/>
                <w:color w:val="2E8B57"/>
                <w:sz w:val="18"/>
                <w:szCs w:val="18"/>
              </w:rPr>
            </w:pPr>
            <w:r>
              <w:rPr>
                <w:rFonts w:ascii="Century Gothic" w:eastAsia="Century Gothic" w:hAnsi="Century Gothic" w:cs="Century Gothic"/>
                <w:b/>
                <w:bCs/>
                <w:color w:val="2E8B57"/>
                <w:sz w:val="18"/>
                <w:szCs w:val="18"/>
              </w:rPr>
              <w:t>First CISO Context</w:t>
            </w:r>
          </w:p>
          <w:p w14:paraId="25F6C9F3" w14:textId="77777777" w:rsidR="00EB3114" w:rsidRDefault="00000000">
            <w:pPr>
              <w:spacing w:after="40"/>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First information security executive — no prior security governance existed</w:t>
            </w:r>
          </w:p>
          <w:p w14:paraId="07AE418D" w14:textId="77777777" w:rsidR="00EB3114" w:rsidRDefault="00000000">
            <w:pPr>
              <w:spacing w:after="40"/>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Dragon NaturallySpeaking POC/MVP with Yale Hospital System: speech recognition for clinical EHR workflows</w:t>
            </w:r>
          </w:p>
          <w:p w14:paraId="431582A2" w14:textId="77777777" w:rsidR="00EB3114" w:rsidRDefault="00000000">
            <w:pPr>
              <w:spacing w:after="40"/>
              <w:rPr>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IAM, BCDR, and CMS audit readiness built from zero in a live hospital environment</w:t>
            </w:r>
          </w:p>
          <w:p w14:paraId="2B415479" w14:textId="77777777" w:rsidR="00EB3114" w:rsidRDefault="00EB3114">
            <w:pPr>
              <w:spacing w:after="100"/>
              <w:rPr>
                <w:sz w:val="18"/>
                <w:szCs w:val="18"/>
              </w:rPr>
            </w:pPr>
          </w:p>
          <w:p w14:paraId="045274B6" w14:textId="77777777" w:rsidR="00EB3114" w:rsidRDefault="00000000">
            <w:pPr>
              <w:spacing w:after="48"/>
              <w:rPr>
                <w:rFonts w:ascii="Century Gothic" w:eastAsia="Century Gothic" w:hAnsi="Century Gothic" w:cs="Century Gothic"/>
                <w:color w:val="2E8B57"/>
                <w:sz w:val="18"/>
                <w:szCs w:val="18"/>
              </w:rPr>
            </w:pPr>
            <w:r>
              <w:rPr>
                <w:rFonts w:ascii="Century Gothic" w:eastAsia="Century Gothic" w:hAnsi="Century Gothic" w:cs="Century Gothic"/>
                <w:b/>
                <w:bCs/>
                <w:color w:val="2E8B57"/>
                <w:sz w:val="18"/>
                <w:szCs w:val="18"/>
              </w:rPr>
              <w:t>Tools &amp; Platforms</w:t>
            </w:r>
          </w:p>
          <w:p w14:paraId="6A5419EB"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Active Directory &amp; LDAP IAM</w:t>
            </w:r>
          </w:p>
          <w:p w14:paraId="3773483A"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Dragon NaturallySpeaking (Nuance/Yale POC)</w:t>
            </w:r>
          </w:p>
          <w:p w14:paraId="5CA6BC93"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McAfee Endpoint Security</w:t>
            </w:r>
          </w:p>
          <w:p w14:paraId="039D35A3"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Citrix VDI</w:t>
            </w:r>
          </w:p>
          <w:p w14:paraId="411F66B6"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Exchange Server</w:t>
            </w:r>
          </w:p>
          <w:p w14:paraId="6CB42C4E"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Meditech EHR security controls</w:t>
            </w:r>
          </w:p>
          <w:p w14:paraId="5714A485" w14:textId="77777777" w:rsidR="00EB3114" w:rsidRDefault="00000000">
            <w:pPr>
              <w:spacing w:after="36"/>
              <w:rPr>
                <w:rFonts w:ascii="Century Gothic" w:eastAsia="Century Gothic" w:hAnsi="Century Gothic" w:cs="Century Gothic"/>
                <w:color w:val="2E8B57"/>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CMS audit tooling</w:t>
            </w:r>
          </w:p>
          <w:p w14:paraId="4DF869A4" w14:textId="77777777" w:rsidR="00EB3114" w:rsidRDefault="00000000">
            <w:pPr>
              <w:spacing w:after="36"/>
              <w:rPr>
                <w:sz w:val="18"/>
                <w:szCs w:val="18"/>
              </w:rPr>
            </w:pPr>
            <w:r>
              <w:rPr>
                <w:rFonts w:ascii="Century Gothic" w:eastAsia="Century Gothic" w:hAnsi="Century Gothic" w:cs="Century Gothic"/>
                <w:color w:val="2E8B57"/>
                <w:sz w:val="18"/>
                <w:szCs w:val="18"/>
              </w:rPr>
              <w:t xml:space="preserve">› </w:t>
            </w:r>
            <w:r>
              <w:rPr>
                <w:rFonts w:ascii="Century Gothic" w:eastAsia="Century Gothic" w:hAnsi="Century Gothic" w:cs="Century Gothic"/>
                <w:color w:val="1A2A40"/>
                <w:sz w:val="18"/>
                <w:szCs w:val="18"/>
              </w:rPr>
              <w:t>HIPAA Security Rule controls</w:t>
            </w:r>
          </w:p>
          <w:p w14:paraId="4DF9A4ED" w14:textId="77777777" w:rsidR="00EB3114" w:rsidRDefault="00EB3114">
            <w:pPr>
              <w:spacing w:after="100"/>
              <w:rPr>
                <w:sz w:val="18"/>
                <w:szCs w:val="18"/>
              </w:rPr>
            </w:pPr>
          </w:p>
          <w:p w14:paraId="7D38E499" w14:textId="77777777" w:rsidR="00EB3114" w:rsidRDefault="00000000">
            <w:pPr>
              <w:spacing w:after="48"/>
              <w:rPr>
                <w:rFonts w:ascii="Century Gothic" w:eastAsia="Century Gothic" w:hAnsi="Century Gothic" w:cs="Century Gothic"/>
                <w:color w:val="2E8B57"/>
                <w:sz w:val="18"/>
                <w:szCs w:val="18"/>
              </w:rPr>
            </w:pPr>
            <w:r>
              <w:rPr>
                <w:rFonts w:ascii="Century Gothic" w:eastAsia="Century Gothic" w:hAnsi="Century Gothic" w:cs="Century Gothic"/>
                <w:b/>
                <w:bCs/>
                <w:color w:val="2E8B57"/>
                <w:sz w:val="18"/>
                <w:szCs w:val="18"/>
              </w:rPr>
              <w:t>Key Terms</w:t>
            </w:r>
          </w:p>
          <w:p w14:paraId="0AA6ACE2"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E8B57"/>
                <w:sz w:val="18"/>
                <w:szCs w:val="18"/>
              </w:rPr>
              <w:t>Dragon NaturallySpeaking</w:t>
            </w:r>
          </w:p>
          <w:p w14:paraId="374311C6" w14:textId="77777777" w:rsidR="00EB3114" w:rsidRDefault="00000000">
            <w:pPr>
              <w:spacing w:after="28"/>
              <w:rPr>
                <w:rFonts w:ascii="Century Gothic" w:eastAsia="Century Gothic" w:hAnsi="Century Gothic" w:cs="Century Gothic"/>
                <w:color w:val="2E8B57"/>
                <w:sz w:val="18"/>
                <w:szCs w:val="18"/>
              </w:rPr>
            </w:pPr>
            <w:r>
              <w:rPr>
                <w:rFonts w:ascii="Century Gothic" w:eastAsia="Century Gothic" w:hAnsi="Century Gothic" w:cs="Century Gothic"/>
                <w:i/>
                <w:iCs/>
                <w:color w:val="4A5568"/>
                <w:sz w:val="18"/>
                <w:szCs w:val="18"/>
              </w:rPr>
              <w:t>Nuance speech recognition for clinical EHR dictation. POC/MVP developed with Yale Hospital System.</w:t>
            </w:r>
          </w:p>
          <w:p w14:paraId="230DB133"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2E8B57"/>
                <w:sz w:val="18"/>
                <w:szCs w:val="18"/>
              </w:rPr>
              <w:t>IAM</w:t>
            </w:r>
          </w:p>
          <w:p w14:paraId="5F53A3F4" w14:textId="77777777" w:rsidR="00EB3114" w:rsidRDefault="00000000">
            <w:pPr>
              <w:spacing w:after="28"/>
              <w:rPr>
                <w:sz w:val="18"/>
                <w:szCs w:val="18"/>
              </w:rPr>
            </w:pPr>
            <w:r>
              <w:rPr>
                <w:rFonts w:ascii="Century Gothic" w:eastAsia="Century Gothic" w:hAnsi="Century Gothic" w:cs="Century Gothic"/>
                <w:i/>
                <w:iCs/>
                <w:color w:val="4A5568"/>
                <w:sz w:val="18"/>
                <w:szCs w:val="18"/>
              </w:rPr>
              <w:t>Identity and Access Management — who accesses what, when, under what conditions.</w:t>
            </w:r>
          </w:p>
        </w:tc>
      </w:tr>
    </w:tbl>
    <w:p w14:paraId="08380D32" w14:textId="77777777" w:rsidR="00EB3114" w:rsidRDefault="00000000">
      <w:pPr>
        <w:spacing w:after="100"/>
      </w:pPr>
      <w:r>
        <w:br/>
      </w:r>
      <w:r>
        <w:br/>
      </w:r>
      <w:r>
        <w:br/>
      </w:r>
      <w:r>
        <w:br/>
      </w:r>
    </w:p>
    <w:tbl>
      <w:tblPr>
        <w:tblStyle w:val="af0"/>
        <w:tblW w:w="10078" w:type="dxa"/>
        <w:tblInd w:w="1" w:type="dxa"/>
        <w:tblLayout w:type="fixed"/>
        <w:tblLook w:val="0000" w:firstRow="0" w:lastRow="0" w:firstColumn="0" w:lastColumn="0" w:noHBand="0" w:noVBand="0"/>
      </w:tblPr>
      <w:tblGrid>
        <w:gridCol w:w="6247"/>
        <w:gridCol w:w="304"/>
        <w:gridCol w:w="3527"/>
      </w:tblGrid>
      <w:tr w:rsidR="00EB3114" w14:paraId="7D0ECA3D" w14:textId="77777777">
        <w:tc>
          <w:tcPr>
            <w:tcW w:w="6552" w:type="dxa"/>
            <w:gridSpan w:val="2"/>
            <w:tcBorders>
              <w:left w:val="single" w:sz="4" w:space="0" w:color="1A4A7A"/>
              <w:bottom w:val="single" w:sz="4" w:space="0" w:color="1A4A7A"/>
            </w:tcBorders>
            <w:shd w:val="clear" w:color="auto" w:fill="FFFFFF"/>
            <w:tcMar>
              <w:left w:w="140" w:type="dxa"/>
              <w:right w:w="100" w:type="dxa"/>
            </w:tcMar>
          </w:tcPr>
          <w:p w14:paraId="695ED9C7" w14:textId="77777777" w:rsidR="00EB3114" w:rsidRDefault="00000000">
            <w:pPr>
              <w:spacing w:after="100"/>
            </w:pPr>
            <w:r>
              <w:rPr>
                <w:b/>
                <w:bCs/>
                <w:color w:val="1A4A7A"/>
                <w:sz w:val="26"/>
                <w:szCs w:val="26"/>
              </w:rPr>
              <w:t>The Ohio State University &amp; Huntington National Bank</w:t>
            </w:r>
          </w:p>
        </w:tc>
        <w:tc>
          <w:tcPr>
            <w:tcW w:w="3527" w:type="dxa"/>
            <w:tcBorders>
              <w:bottom w:val="single" w:sz="4" w:space="0" w:color="1A4A7A"/>
            </w:tcBorders>
            <w:shd w:val="clear" w:color="auto" w:fill="FFFFFF"/>
          </w:tcPr>
          <w:p w14:paraId="76D5A458" w14:textId="77777777" w:rsidR="00EB3114" w:rsidRDefault="00000000">
            <w:pPr>
              <w:spacing w:after="100"/>
              <w:jc w:val="right"/>
            </w:pPr>
            <w:r>
              <w:rPr>
                <w:rFonts w:ascii="Century Gothic" w:eastAsia="Century Gothic" w:hAnsi="Century Gothic" w:cs="Century Gothic"/>
                <w:color w:val="4A5568"/>
                <w:sz w:val="16"/>
                <w:szCs w:val="16"/>
              </w:rPr>
              <w:t>2011, 2014</w:t>
            </w:r>
          </w:p>
        </w:tc>
      </w:tr>
      <w:tr w:rsidR="00EB3114" w14:paraId="16795E2E" w14:textId="77777777">
        <w:tc>
          <w:tcPr>
            <w:tcW w:w="6248" w:type="dxa"/>
            <w:tcMar>
              <w:top w:w="0" w:type="dxa"/>
              <w:left w:w="0" w:type="dxa"/>
              <w:bottom w:w="0" w:type="dxa"/>
              <w:right w:w="180" w:type="dxa"/>
            </w:tcMar>
          </w:tcPr>
          <w:p w14:paraId="3B71732E" w14:textId="77777777" w:rsidR="00EB3114" w:rsidRDefault="00000000">
            <w:pPr>
              <w:spacing w:after="80"/>
              <w:rPr>
                <w:color w:val="4A5568"/>
              </w:rPr>
            </w:pPr>
            <w:r>
              <w:rPr>
                <w:b/>
                <w:bCs/>
                <w:color w:val="1A2A40"/>
                <w:sz w:val="22"/>
                <w:szCs w:val="22"/>
              </w:rPr>
              <w:lastRenderedPageBreak/>
              <w:t>IT Security Analyst</w:t>
            </w:r>
            <w:r>
              <w:rPr>
                <w:color w:val="4A5568"/>
                <w:sz w:val="16"/>
                <w:szCs w:val="16"/>
              </w:rPr>
              <w:t xml:space="preserve">  ·  </w:t>
            </w:r>
            <w:r>
              <w:rPr>
                <w:i/>
                <w:iCs/>
                <w:color w:val="4A5568"/>
                <w:sz w:val="16"/>
                <w:szCs w:val="16"/>
              </w:rPr>
              <w:t>Higher Education / Financial Services</w:t>
            </w:r>
          </w:p>
          <w:p w14:paraId="0A5C90A5" w14:textId="77777777" w:rsidR="00EB3114" w:rsidRDefault="00000000">
            <w:pPr>
              <w:spacing w:after="80"/>
              <w:rPr>
                <w:color w:val="4A5568"/>
              </w:rPr>
            </w:pPr>
            <w:r>
              <w:rPr>
                <w:i/>
                <w:iCs/>
                <w:color w:val="4A5568"/>
              </w:rPr>
              <w:t>Led a $3M enterprise DLP implementation across 20+ OSU departments while concurrently supporting Huntington National Bank information security operations.</w:t>
            </w:r>
          </w:p>
          <w:p w14:paraId="1C25B0C2" w14:textId="77777777" w:rsidR="00EB3114" w:rsidRDefault="00EB3114">
            <w:pPr>
              <w:spacing w:after="80"/>
              <w:rPr>
                <w:rFonts w:ascii="Century Gothic" w:eastAsia="Century Gothic" w:hAnsi="Century Gothic" w:cs="Century Gothic"/>
                <w:sz w:val="18"/>
                <w:szCs w:val="18"/>
              </w:rPr>
            </w:pPr>
          </w:p>
          <w:p w14:paraId="6CFAB966"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 xml:space="preserve">Led $3M enterprise </w:t>
            </w:r>
            <w:r>
              <w:rPr>
                <w:rFonts w:ascii="Century Gothic" w:eastAsia="Century Gothic" w:hAnsi="Century Gothic" w:cs="Century Gothic"/>
                <w:b/>
                <w:bCs/>
                <w:sz w:val="18"/>
                <w:szCs w:val="18"/>
              </w:rPr>
              <w:t>DLP</w:t>
            </w:r>
            <w:r>
              <w:rPr>
                <w:rFonts w:ascii="Century Gothic" w:eastAsia="Century Gothic" w:hAnsi="Century Gothic" w:cs="Century Gothic"/>
                <w:sz w:val="18"/>
                <w:szCs w:val="18"/>
              </w:rPr>
              <w:t xml:space="preserve"> implementation across 20+ OSU departments; established triage, escalation, and resolution processes from scratch.</w:t>
            </w:r>
          </w:p>
          <w:p w14:paraId="69A75D5C"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Remediated 100,000+ security incidents across a major research university environment.</w:t>
            </w:r>
          </w:p>
          <w:p w14:paraId="54B5946C" w14:textId="77777777" w:rsidR="00EB3114" w:rsidRDefault="00000000">
            <w:pPr>
              <w:numPr>
                <w:ilvl w:val="0"/>
                <w:numId w:val="1"/>
              </w:numPr>
              <w:pBdr>
                <w:top w:val="nil"/>
                <w:left w:val="nil"/>
                <w:bottom w:val="nil"/>
                <w:right w:val="nil"/>
                <w:between w:val="nil"/>
              </w:pBdr>
              <w:spacing w:after="80"/>
            </w:pPr>
            <w:r>
              <w:rPr>
                <w:rFonts w:ascii="Century Gothic" w:eastAsia="Century Gothic" w:hAnsi="Century Gothic" w:cs="Century Gothic"/>
                <w:sz w:val="18"/>
                <w:szCs w:val="18"/>
              </w:rPr>
              <w:t>Supported Huntington National Bank information security operations concurrently, financial services compliance standards applied alongside higher education security work.</w:t>
            </w:r>
          </w:p>
        </w:tc>
        <w:tc>
          <w:tcPr>
            <w:tcW w:w="3831" w:type="dxa"/>
            <w:gridSpan w:val="2"/>
            <w:tcBorders>
              <w:left w:val="dashed" w:sz="4" w:space="0" w:color="1A4A7A"/>
            </w:tcBorders>
            <w:shd w:val="clear" w:color="auto" w:fill="FFFFFF"/>
          </w:tcPr>
          <w:p w14:paraId="550BD2B1" w14:textId="77777777" w:rsidR="00EB3114" w:rsidRDefault="00000000">
            <w:pPr>
              <w:spacing w:after="60"/>
              <w:rPr>
                <w:rFonts w:ascii="Century Gothic" w:eastAsia="Century Gothic" w:hAnsi="Century Gothic" w:cs="Century Gothic"/>
                <w:color w:val="1A4A7A"/>
                <w:sz w:val="18"/>
                <w:szCs w:val="18"/>
              </w:rPr>
            </w:pPr>
            <w:r>
              <w:rPr>
                <w:rFonts w:ascii="Century Gothic" w:eastAsia="Century Gothic" w:hAnsi="Century Gothic" w:cs="Century Gothic"/>
                <w:b/>
                <w:bCs/>
                <w:color w:val="1A4A7A"/>
                <w:sz w:val="18"/>
                <w:szCs w:val="18"/>
              </w:rPr>
              <w:t>OSU &amp; Huntington: Key Programs</w:t>
            </w:r>
          </w:p>
          <w:p w14:paraId="419EB9E0"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Symantec DLP enterprise-wide implementation: led full selection process, vendor evaluation, deployment across all 20+ OSU departments, and ongoing operations</w:t>
            </w:r>
          </w:p>
          <w:p w14:paraId="014D9D98"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100,000+ security incidents remediated across the university environment</w:t>
            </w:r>
          </w:p>
          <w:p w14:paraId="19A3942E"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Concurrent Huntington National Bank InfoSec operations: GLBA, SOX awareness, financial data controls</w:t>
            </w:r>
          </w:p>
          <w:p w14:paraId="337878E3" w14:textId="77777777" w:rsidR="00EB3114" w:rsidRDefault="00000000">
            <w:pPr>
              <w:spacing w:after="40"/>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Established the first formal triage, escalation, and resolution processes</w:t>
            </w:r>
          </w:p>
          <w:p w14:paraId="2FC26915" w14:textId="77777777" w:rsidR="00EB3114" w:rsidRDefault="00000000">
            <w:pPr>
              <w:spacing w:after="40"/>
              <w:rPr>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$3M program budget managed end-to-end</w:t>
            </w:r>
          </w:p>
          <w:p w14:paraId="504606D5" w14:textId="77777777" w:rsidR="00EB3114" w:rsidRDefault="00EB3114">
            <w:pPr>
              <w:spacing w:after="100"/>
              <w:rPr>
                <w:sz w:val="18"/>
                <w:szCs w:val="18"/>
              </w:rPr>
            </w:pPr>
          </w:p>
          <w:p w14:paraId="2981046A" w14:textId="77777777" w:rsidR="00EB3114" w:rsidRDefault="00000000">
            <w:pPr>
              <w:spacing w:after="48"/>
              <w:rPr>
                <w:rFonts w:ascii="Century Gothic" w:eastAsia="Century Gothic" w:hAnsi="Century Gothic" w:cs="Century Gothic"/>
                <w:color w:val="1A4A7A"/>
                <w:sz w:val="18"/>
                <w:szCs w:val="18"/>
              </w:rPr>
            </w:pPr>
            <w:r>
              <w:rPr>
                <w:rFonts w:ascii="Century Gothic" w:eastAsia="Century Gothic" w:hAnsi="Century Gothic" w:cs="Century Gothic"/>
                <w:b/>
                <w:bCs/>
                <w:color w:val="1A4A7A"/>
                <w:sz w:val="18"/>
                <w:szCs w:val="18"/>
              </w:rPr>
              <w:t>Tools &amp; Platforms</w:t>
            </w:r>
          </w:p>
          <w:p w14:paraId="55932F5F"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Symantec DLP (Enterprise, primary)</w:t>
            </w:r>
          </w:p>
          <w:p w14:paraId="0A8D39B0"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Qualys Vulnerability Management</w:t>
            </w:r>
          </w:p>
          <w:p w14:paraId="66EAD72C"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Nessus</w:t>
            </w:r>
          </w:p>
          <w:p w14:paraId="5A4DA2B4"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Active Directory / Group Policy</w:t>
            </w:r>
          </w:p>
          <w:p w14:paraId="6F67A68F"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Splunk (early deployment)</w:t>
            </w:r>
          </w:p>
          <w:p w14:paraId="766DAD9D"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RSA Security Analytics</w:t>
            </w:r>
          </w:p>
          <w:p w14:paraId="68AA4F00"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OSU network monitoring stack</w:t>
            </w:r>
          </w:p>
          <w:p w14:paraId="68A5B3A6"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ServiceDesk ticketing</w:t>
            </w:r>
          </w:p>
          <w:p w14:paraId="37E9E2CA" w14:textId="77777777" w:rsidR="00EB3114" w:rsidRDefault="00000000">
            <w:pPr>
              <w:spacing w:after="36"/>
              <w:rPr>
                <w:rFonts w:ascii="Century Gothic" w:eastAsia="Century Gothic" w:hAnsi="Century Gothic" w:cs="Century Gothic"/>
                <w:color w:val="1A4A7A"/>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Cisco network infrastructure</w:t>
            </w:r>
          </w:p>
          <w:p w14:paraId="22AE200C" w14:textId="77777777" w:rsidR="00EB3114" w:rsidRDefault="00000000">
            <w:pPr>
              <w:spacing w:after="36"/>
              <w:rPr>
                <w:sz w:val="18"/>
                <w:szCs w:val="18"/>
              </w:rPr>
            </w:pPr>
            <w:r>
              <w:rPr>
                <w:rFonts w:ascii="Century Gothic" w:eastAsia="Century Gothic" w:hAnsi="Century Gothic" w:cs="Century Gothic"/>
                <w:color w:val="1A4A7A"/>
                <w:sz w:val="18"/>
                <w:szCs w:val="18"/>
              </w:rPr>
              <w:t xml:space="preserve">› </w:t>
            </w:r>
            <w:r>
              <w:rPr>
                <w:rFonts w:ascii="Century Gothic" w:eastAsia="Century Gothic" w:hAnsi="Century Gothic" w:cs="Century Gothic"/>
                <w:color w:val="1A2A40"/>
                <w:sz w:val="18"/>
                <w:szCs w:val="18"/>
              </w:rPr>
              <w:t>GLBA compliance tooling</w:t>
            </w:r>
          </w:p>
          <w:p w14:paraId="0D103CD6" w14:textId="77777777" w:rsidR="00EB3114" w:rsidRDefault="00EB3114">
            <w:pPr>
              <w:spacing w:after="100"/>
              <w:rPr>
                <w:sz w:val="18"/>
                <w:szCs w:val="18"/>
              </w:rPr>
            </w:pPr>
          </w:p>
          <w:p w14:paraId="42FA945D" w14:textId="77777777" w:rsidR="00EB3114" w:rsidRDefault="00000000">
            <w:pPr>
              <w:spacing w:after="48"/>
              <w:rPr>
                <w:rFonts w:ascii="Century Gothic" w:eastAsia="Century Gothic" w:hAnsi="Century Gothic" w:cs="Century Gothic"/>
                <w:color w:val="1A4A7A"/>
                <w:sz w:val="18"/>
                <w:szCs w:val="18"/>
              </w:rPr>
            </w:pPr>
            <w:r>
              <w:rPr>
                <w:rFonts w:ascii="Century Gothic" w:eastAsia="Century Gothic" w:hAnsi="Century Gothic" w:cs="Century Gothic"/>
                <w:b/>
                <w:bCs/>
                <w:color w:val="1A4A7A"/>
                <w:sz w:val="18"/>
                <w:szCs w:val="18"/>
              </w:rPr>
              <w:t>Key Terms</w:t>
            </w:r>
          </w:p>
          <w:p w14:paraId="221A9D96"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18"/>
                <w:szCs w:val="18"/>
              </w:rPr>
              <w:t>DLP</w:t>
            </w:r>
          </w:p>
          <w:p w14:paraId="721C493F" w14:textId="77777777" w:rsidR="00EB3114" w:rsidRDefault="00000000">
            <w:pPr>
              <w:spacing w:after="28"/>
              <w:rPr>
                <w:rFonts w:ascii="Century Gothic" w:eastAsia="Century Gothic" w:hAnsi="Century Gothic" w:cs="Century Gothic"/>
                <w:color w:val="1A4A7A"/>
                <w:sz w:val="18"/>
                <w:szCs w:val="18"/>
              </w:rPr>
            </w:pPr>
            <w:r>
              <w:rPr>
                <w:rFonts w:ascii="Century Gothic" w:eastAsia="Century Gothic" w:hAnsi="Century Gothic" w:cs="Century Gothic"/>
                <w:i/>
                <w:iCs/>
                <w:color w:val="4A5568"/>
                <w:sz w:val="18"/>
                <w:szCs w:val="18"/>
              </w:rPr>
              <w:t>Data Loss Prevention: technology that detects and blocks unauthorized data exfiltration.</w:t>
            </w:r>
          </w:p>
          <w:p w14:paraId="4232FA36"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18"/>
                <w:szCs w:val="18"/>
              </w:rPr>
              <w:t>GLBA</w:t>
            </w:r>
          </w:p>
          <w:p w14:paraId="38B5BB11" w14:textId="77777777" w:rsidR="00EB3114" w:rsidRDefault="00000000">
            <w:pPr>
              <w:spacing w:after="28"/>
              <w:rPr>
                <w:rFonts w:ascii="Century Gothic" w:eastAsia="Century Gothic" w:hAnsi="Century Gothic" w:cs="Century Gothic"/>
                <w:color w:val="1A4A7A"/>
                <w:sz w:val="18"/>
                <w:szCs w:val="18"/>
              </w:rPr>
            </w:pPr>
            <w:r>
              <w:rPr>
                <w:rFonts w:ascii="Century Gothic" w:eastAsia="Century Gothic" w:hAnsi="Century Gothic" w:cs="Century Gothic"/>
                <w:i/>
                <w:iCs/>
                <w:color w:val="4A5568"/>
                <w:sz w:val="18"/>
                <w:szCs w:val="18"/>
              </w:rPr>
              <w:t>Gramm-Leach-Bliley Act: federal law requiring financial institutions to protect customer data.</w:t>
            </w:r>
          </w:p>
          <w:p w14:paraId="2ED63FA9" w14:textId="77777777" w:rsidR="00EB3114" w:rsidRDefault="00000000">
            <w:pPr>
              <w:spacing w:after="12"/>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18"/>
                <w:szCs w:val="18"/>
              </w:rPr>
              <w:t>FERPA</w:t>
            </w:r>
          </w:p>
          <w:p w14:paraId="6C5510FB" w14:textId="77777777" w:rsidR="00EB3114" w:rsidRDefault="00000000">
            <w:pPr>
              <w:spacing w:after="28"/>
            </w:pPr>
            <w:r>
              <w:rPr>
                <w:rFonts w:ascii="Century Gothic" w:eastAsia="Century Gothic" w:hAnsi="Century Gothic" w:cs="Century Gothic"/>
                <w:i/>
                <w:iCs/>
                <w:color w:val="4A5568"/>
                <w:sz w:val="18"/>
                <w:szCs w:val="18"/>
              </w:rPr>
              <w:t>Family Educational Rights and Privacy Act: federal law protecting student education records.</w:t>
            </w:r>
          </w:p>
        </w:tc>
      </w:tr>
    </w:tbl>
    <w:p w14:paraId="491EBAE4" w14:textId="77777777" w:rsidR="00EB3114" w:rsidRDefault="00EB3114">
      <w:pPr>
        <w:spacing w:after="100"/>
      </w:pPr>
    </w:p>
    <w:p w14:paraId="3AF48ECD" w14:textId="77777777" w:rsidR="00EB3114" w:rsidRDefault="00EB3114"/>
    <w:p w14:paraId="53171D5F" w14:textId="77777777" w:rsidR="00EB3114" w:rsidRDefault="00EB3114">
      <w:pPr>
        <w:pageBreakBefore/>
        <w:spacing w:after="100"/>
      </w:pPr>
    </w:p>
    <w:p w14:paraId="38CEA99E" w14:textId="77777777" w:rsidR="00EB3114" w:rsidRPr="002972D5" w:rsidRDefault="00000000">
      <w:pPr>
        <w:spacing w:before="160" w:after="60"/>
        <w:rPr>
          <w:sz w:val="36"/>
          <w:szCs w:val="36"/>
        </w:rPr>
      </w:pPr>
      <w:r w:rsidRPr="002972D5">
        <w:rPr>
          <w:rFonts w:ascii="Century Gothic" w:eastAsia="Century Gothic" w:hAnsi="Century Gothic" w:cs="Century Gothic"/>
          <w:b/>
          <w:bCs/>
          <w:color w:val="2A3A52"/>
          <w:sz w:val="28"/>
          <w:szCs w:val="28"/>
        </w:rPr>
        <w:t>CUSTOMER TRUST: FUNCTION OVERVIEW</w:t>
      </w:r>
    </w:p>
    <w:p w14:paraId="6B4DDFA6" w14:textId="77777777" w:rsidR="00EB3114" w:rsidRDefault="00EB3114">
      <w:pPr>
        <w:pBdr>
          <w:top w:val="none" w:sz="0" w:space="0" w:color="000000"/>
          <w:left w:val="none" w:sz="0" w:space="0" w:color="000000"/>
          <w:bottom w:val="single" w:sz="4" w:space="1" w:color="2A3A52"/>
          <w:right w:val="none" w:sz="0" w:space="0" w:color="000000"/>
        </w:pBdr>
        <w:spacing w:after="100"/>
      </w:pPr>
    </w:p>
    <w:p w14:paraId="2589C790" w14:textId="77777777" w:rsidR="00EB3114" w:rsidRDefault="00000000">
      <w:pPr>
        <w:spacing w:after="100"/>
      </w:pPr>
      <w:r>
        <w:rPr>
          <w:rFonts w:ascii="Century Gothic" w:eastAsia="Century Gothic" w:hAnsi="Century Gothic" w:cs="Century Gothic"/>
          <w:sz w:val="18"/>
          <w:szCs w:val="18"/>
        </w:rPr>
        <w:t>Customer Trust is the customer-facing security posture function: the bridge between the internal security program and the enterprise sales motion. I have owned this function continuously since Elastic, through People.ai, and through Rubrik's NYSE IPO. It is the function that converts security and compliance posture into revenue.</w:t>
      </w:r>
    </w:p>
    <w:tbl>
      <w:tblPr>
        <w:tblStyle w:val="af1"/>
        <w:tblW w:w="10080" w:type="dxa"/>
        <w:tblInd w:w="1" w:type="dxa"/>
        <w:tblLayout w:type="fixed"/>
        <w:tblLook w:val="0000" w:firstRow="0" w:lastRow="0" w:firstColumn="0" w:lastColumn="0" w:noHBand="0" w:noVBand="0"/>
      </w:tblPr>
      <w:tblGrid>
        <w:gridCol w:w="10080"/>
      </w:tblGrid>
      <w:tr w:rsidR="00EB3114" w14:paraId="761E3549" w14:textId="77777777">
        <w:tc>
          <w:tcPr>
            <w:tcW w:w="10080" w:type="dxa"/>
            <w:tcBorders>
              <w:left w:val="single" w:sz="4" w:space="0" w:color="2A3A52"/>
            </w:tcBorders>
            <w:shd w:val="clear" w:color="auto" w:fill="FFFFFF"/>
          </w:tcPr>
          <w:p w14:paraId="31B9944A"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Security Reviews</w:t>
            </w:r>
          </w:p>
          <w:p w14:paraId="377A9E78" w14:textId="77777777" w:rsidR="00EB3114" w:rsidRDefault="00000000">
            <w:pPr>
              <w:spacing w:after="80"/>
            </w:pPr>
            <w:r>
              <w:rPr>
                <w:rFonts w:ascii="Century Gothic" w:eastAsia="Century Gothic" w:hAnsi="Century Gothic" w:cs="Century Gothic"/>
                <w:sz w:val="17"/>
                <w:szCs w:val="17"/>
              </w:rPr>
              <w:t>Direct participation in enterprise customer security review processes: answering questionnaires, participating in live security calls with procurement teams, and managing the review-to-close pipeline. At Rubrik, this function was a direct contributor to enterprise deal velocity.</w:t>
            </w:r>
          </w:p>
        </w:tc>
      </w:tr>
    </w:tbl>
    <w:p w14:paraId="7FEF2D99" w14:textId="77777777" w:rsidR="00EB3114" w:rsidRDefault="00EB3114">
      <w:pPr>
        <w:spacing w:after="100"/>
      </w:pPr>
    </w:p>
    <w:tbl>
      <w:tblPr>
        <w:tblStyle w:val="af2"/>
        <w:tblW w:w="10080" w:type="dxa"/>
        <w:tblInd w:w="1" w:type="dxa"/>
        <w:tblLayout w:type="fixed"/>
        <w:tblLook w:val="0000" w:firstRow="0" w:lastRow="0" w:firstColumn="0" w:lastColumn="0" w:noHBand="0" w:noVBand="0"/>
      </w:tblPr>
      <w:tblGrid>
        <w:gridCol w:w="10080"/>
      </w:tblGrid>
      <w:tr w:rsidR="00EB3114" w14:paraId="26CA60EF" w14:textId="77777777">
        <w:tc>
          <w:tcPr>
            <w:tcW w:w="10080" w:type="dxa"/>
            <w:tcBorders>
              <w:left w:val="single" w:sz="4" w:space="0" w:color="2A9DB8"/>
            </w:tcBorders>
            <w:shd w:val="clear" w:color="auto" w:fill="FFFFFF"/>
          </w:tcPr>
          <w:p w14:paraId="15B53EFF"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Trust Portal &amp; Documentation</w:t>
            </w:r>
          </w:p>
          <w:p w14:paraId="653E6C37" w14:textId="77777777" w:rsidR="00EB3114" w:rsidRDefault="00000000">
            <w:pPr>
              <w:spacing w:after="80"/>
            </w:pPr>
            <w:r>
              <w:rPr>
                <w:rFonts w:ascii="Century Gothic" w:eastAsia="Century Gothic" w:hAnsi="Century Gothic" w:cs="Century Gothic"/>
                <w:sz w:val="17"/>
                <w:szCs w:val="17"/>
              </w:rPr>
              <w:t>Maintaining the customer-accessible compliance documentation library: current SOC 2 reports, ISO certificates, penetration test attestations, privacy policies, and subprocessor lists. The trust portal is the first thing enterprise procurement teams check.</w:t>
            </w:r>
          </w:p>
        </w:tc>
      </w:tr>
    </w:tbl>
    <w:p w14:paraId="3CF57A54" w14:textId="77777777" w:rsidR="00EB3114" w:rsidRDefault="00EB3114">
      <w:pPr>
        <w:spacing w:after="100"/>
      </w:pPr>
    </w:p>
    <w:tbl>
      <w:tblPr>
        <w:tblStyle w:val="af3"/>
        <w:tblW w:w="10080" w:type="dxa"/>
        <w:tblInd w:w="1" w:type="dxa"/>
        <w:tblLayout w:type="fixed"/>
        <w:tblLook w:val="0000" w:firstRow="0" w:lastRow="0" w:firstColumn="0" w:lastColumn="0" w:noHBand="0" w:noVBand="0"/>
      </w:tblPr>
      <w:tblGrid>
        <w:gridCol w:w="10080"/>
      </w:tblGrid>
      <w:tr w:rsidR="00EB3114" w14:paraId="4E6F74B8" w14:textId="77777777">
        <w:tc>
          <w:tcPr>
            <w:tcW w:w="10080" w:type="dxa"/>
            <w:tcBorders>
              <w:left w:val="single" w:sz="4" w:space="0" w:color="8C5C0A"/>
            </w:tcBorders>
            <w:shd w:val="clear" w:color="auto" w:fill="FFFFFF"/>
          </w:tcPr>
          <w:p w14:paraId="3062C9A0"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Compliance Whitepapers</w:t>
            </w:r>
          </w:p>
          <w:p w14:paraId="58DDC22F" w14:textId="77777777" w:rsidR="00EB3114" w:rsidRDefault="00000000">
            <w:pPr>
              <w:spacing w:after="80"/>
            </w:pPr>
            <w:r>
              <w:rPr>
                <w:rFonts w:ascii="Century Gothic" w:eastAsia="Century Gothic" w:hAnsi="Century Gothic" w:cs="Century Gothic"/>
                <w:sz w:val="17"/>
                <w:szCs w:val="17"/>
              </w:rPr>
              <w:t>Authoring customer-facing compliance whitepapers used directly in enterprise deal cycles. These documents answer security questions before the customer asks them, converting internal audit posture into external competitive differentiation.</w:t>
            </w:r>
          </w:p>
        </w:tc>
      </w:tr>
    </w:tbl>
    <w:p w14:paraId="24DD830C" w14:textId="77777777" w:rsidR="00EB3114" w:rsidRDefault="00EB3114">
      <w:pPr>
        <w:spacing w:after="100"/>
      </w:pPr>
    </w:p>
    <w:tbl>
      <w:tblPr>
        <w:tblStyle w:val="af4"/>
        <w:tblW w:w="10080" w:type="dxa"/>
        <w:tblInd w:w="1" w:type="dxa"/>
        <w:tblLayout w:type="fixed"/>
        <w:tblLook w:val="0000" w:firstRow="0" w:lastRow="0" w:firstColumn="0" w:lastColumn="0" w:noHBand="0" w:noVBand="0"/>
      </w:tblPr>
      <w:tblGrid>
        <w:gridCol w:w="10080"/>
      </w:tblGrid>
      <w:tr w:rsidR="00EB3114" w14:paraId="4385C21D" w14:textId="77777777">
        <w:tc>
          <w:tcPr>
            <w:tcW w:w="10080" w:type="dxa"/>
            <w:tcBorders>
              <w:left w:val="single" w:sz="4" w:space="0" w:color="1A4A7A"/>
            </w:tcBorders>
            <w:shd w:val="clear" w:color="auto" w:fill="FFFFFF"/>
          </w:tcPr>
          <w:p w14:paraId="60F932C8"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Executive Assurance Briefings</w:t>
            </w:r>
          </w:p>
          <w:p w14:paraId="531E112D" w14:textId="77777777" w:rsidR="00EB3114" w:rsidRDefault="00000000">
            <w:pPr>
              <w:spacing w:after="80"/>
            </w:pPr>
            <w:r>
              <w:rPr>
                <w:rFonts w:ascii="Century Gothic" w:eastAsia="Century Gothic" w:hAnsi="Century Gothic" w:cs="Century Gothic"/>
                <w:sz w:val="17"/>
                <w:szCs w:val="17"/>
              </w:rPr>
              <w:t>Preparing and delivering compliance posture briefings for CISO, CPO, and board-level audiences at enterprise prospects. Translating compliance language into business language: risk reduction, market access, and competitive differentiation.</w:t>
            </w:r>
          </w:p>
        </w:tc>
      </w:tr>
    </w:tbl>
    <w:p w14:paraId="7D74B969" w14:textId="77777777" w:rsidR="00EB3114" w:rsidRDefault="00EB3114">
      <w:pPr>
        <w:spacing w:after="100"/>
      </w:pPr>
    </w:p>
    <w:tbl>
      <w:tblPr>
        <w:tblStyle w:val="af5"/>
        <w:tblW w:w="10080" w:type="dxa"/>
        <w:tblInd w:w="1" w:type="dxa"/>
        <w:tblLayout w:type="fixed"/>
        <w:tblLook w:val="0000" w:firstRow="0" w:lastRow="0" w:firstColumn="0" w:lastColumn="0" w:noHBand="0" w:noVBand="0"/>
      </w:tblPr>
      <w:tblGrid>
        <w:gridCol w:w="10080"/>
      </w:tblGrid>
      <w:tr w:rsidR="00EB3114" w14:paraId="411E1CC2" w14:textId="77777777">
        <w:tc>
          <w:tcPr>
            <w:tcW w:w="10080" w:type="dxa"/>
            <w:tcBorders>
              <w:left w:val="single" w:sz="4" w:space="0" w:color="2E8B57"/>
            </w:tcBorders>
            <w:shd w:val="clear" w:color="auto" w:fill="FFFFFF"/>
          </w:tcPr>
          <w:p w14:paraId="01F9DA0C" w14:textId="77777777" w:rsidR="00EB3114" w:rsidRDefault="00000000">
            <w:pPr>
              <w:spacing w:after="5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Continuous Ownership Since Elastic</w:t>
            </w:r>
          </w:p>
          <w:p w14:paraId="692EBD39" w14:textId="77777777" w:rsidR="00EB3114" w:rsidRDefault="00000000">
            <w:pPr>
              <w:spacing w:after="80"/>
            </w:pPr>
            <w:r>
              <w:rPr>
                <w:rFonts w:ascii="Century Gothic" w:eastAsia="Century Gothic" w:hAnsi="Century Gothic" w:cs="Century Gothic"/>
                <w:sz w:val="17"/>
                <w:szCs w:val="17"/>
              </w:rPr>
              <w:t>Customer Trust has been owned alongside compliance since Elastic (2018), through People.ai, and through Rubrik (2026). The continuity means the institutional knowledge of how enterprise buyers actually assess vendor security posture is deep and current.</w:t>
            </w:r>
          </w:p>
        </w:tc>
      </w:tr>
    </w:tbl>
    <w:p w14:paraId="3B422248" w14:textId="77777777" w:rsidR="00EB3114" w:rsidRDefault="00EB3114">
      <w:pPr>
        <w:pageBreakBefore/>
        <w:spacing w:after="100"/>
      </w:pPr>
    </w:p>
    <w:p w14:paraId="7329FBE5"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EDUCATION</w:t>
      </w:r>
    </w:p>
    <w:p w14:paraId="2CB174EE" w14:textId="77777777" w:rsidR="00EB3114" w:rsidRDefault="00EB3114">
      <w:pPr>
        <w:pBdr>
          <w:top w:val="none" w:sz="0" w:space="0" w:color="000000"/>
          <w:left w:val="none" w:sz="0" w:space="0" w:color="000000"/>
          <w:bottom w:val="single" w:sz="4" w:space="1" w:color="1A4A7A"/>
          <w:right w:val="none" w:sz="0" w:space="0" w:color="000000"/>
        </w:pBdr>
        <w:spacing w:after="100"/>
      </w:pPr>
    </w:p>
    <w:tbl>
      <w:tblPr>
        <w:tblStyle w:val="af6"/>
        <w:tblW w:w="10079" w:type="dxa"/>
        <w:tblInd w:w="0" w:type="dxa"/>
        <w:tblLayout w:type="fixed"/>
        <w:tblLook w:val="0000" w:firstRow="0" w:lastRow="0" w:firstColumn="0" w:lastColumn="0" w:noHBand="0" w:noVBand="0"/>
      </w:tblPr>
      <w:tblGrid>
        <w:gridCol w:w="4940"/>
        <w:gridCol w:w="5139"/>
      </w:tblGrid>
      <w:tr w:rsidR="00EB3114" w14:paraId="446A07C4" w14:textId="77777777">
        <w:tc>
          <w:tcPr>
            <w:tcW w:w="4940" w:type="dxa"/>
            <w:tcBorders>
              <w:right w:val="single" w:sz="4" w:space="0" w:color="D0D8E4"/>
            </w:tcBorders>
            <w:tcMar>
              <w:left w:w="0" w:type="dxa"/>
              <w:right w:w="160" w:type="dxa"/>
            </w:tcMar>
          </w:tcPr>
          <w:p w14:paraId="038A542B" w14:textId="77777777" w:rsidR="002972D5" w:rsidRDefault="002972D5">
            <w:pPr>
              <w:spacing w:after="36"/>
              <w:rPr>
                <w:rFonts w:ascii="Century Gothic" w:eastAsia="Century Gothic" w:hAnsi="Century Gothic" w:cs="Century Gothic"/>
                <w:b/>
                <w:bCs/>
                <w:color w:val="2A9DB8"/>
                <w:sz w:val="22"/>
                <w:szCs w:val="22"/>
              </w:rPr>
            </w:pPr>
          </w:p>
          <w:p w14:paraId="5CD24DDD" w14:textId="77777777" w:rsidR="002972D5" w:rsidRDefault="002972D5">
            <w:pPr>
              <w:spacing w:after="36"/>
              <w:rPr>
                <w:rFonts w:ascii="Century Gothic" w:eastAsia="Century Gothic" w:hAnsi="Century Gothic" w:cs="Century Gothic"/>
                <w:b/>
                <w:bCs/>
                <w:color w:val="2A9DB8"/>
                <w:sz w:val="22"/>
                <w:szCs w:val="22"/>
              </w:rPr>
            </w:pPr>
          </w:p>
          <w:p w14:paraId="2EDFA84D" w14:textId="6CCBADAA"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2A9DB8"/>
                <w:sz w:val="22"/>
                <w:szCs w:val="22"/>
              </w:rPr>
              <w:t>M.S. Information Systems</w:t>
            </w:r>
          </w:p>
          <w:p w14:paraId="554863A5"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Strayer University  ·  2010–2011</w:t>
            </w:r>
          </w:p>
          <w:p w14:paraId="55238A54" w14:textId="77777777" w:rsidR="00EB3114" w:rsidRDefault="00000000">
            <w:pPr>
              <w:spacing w:after="20"/>
            </w:pPr>
            <w:r>
              <w:rPr>
                <w:rFonts w:ascii="Century Gothic" w:eastAsia="Century Gothic" w:hAnsi="Century Gothic" w:cs="Century Gothic"/>
                <w:sz w:val="17"/>
                <w:szCs w:val="17"/>
              </w:rPr>
              <w:t>Technology architecture, database systems, and enterprise networking. Foundation for evidence automation, GRC platform selection, and compliance infrastructure design.</w:t>
            </w:r>
          </w:p>
        </w:tc>
        <w:tc>
          <w:tcPr>
            <w:tcW w:w="5139" w:type="dxa"/>
          </w:tcPr>
          <w:p w14:paraId="67100D53" w14:textId="77777777" w:rsidR="002972D5" w:rsidRDefault="002972D5">
            <w:pPr>
              <w:spacing w:after="36"/>
              <w:rPr>
                <w:rFonts w:ascii="Century Gothic" w:eastAsia="Century Gothic" w:hAnsi="Century Gothic" w:cs="Century Gothic"/>
                <w:b/>
                <w:bCs/>
                <w:color w:val="1A4A7A"/>
                <w:sz w:val="22"/>
                <w:szCs w:val="22"/>
              </w:rPr>
            </w:pPr>
          </w:p>
          <w:p w14:paraId="31BE1EA5" w14:textId="77777777" w:rsidR="002972D5" w:rsidRDefault="002972D5">
            <w:pPr>
              <w:spacing w:after="36"/>
              <w:rPr>
                <w:rFonts w:ascii="Century Gothic" w:eastAsia="Century Gothic" w:hAnsi="Century Gothic" w:cs="Century Gothic"/>
                <w:b/>
                <w:bCs/>
                <w:color w:val="1A4A7A"/>
                <w:sz w:val="22"/>
                <w:szCs w:val="22"/>
              </w:rPr>
            </w:pPr>
          </w:p>
          <w:p w14:paraId="4F7EAD1A" w14:textId="6DDC2681"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22"/>
                <w:szCs w:val="22"/>
              </w:rPr>
              <w:t>M.S. Forensic Psychology</w:t>
            </w:r>
          </w:p>
          <w:p w14:paraId="49C3B090"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Tiffin University  ·  2005–2006</w:t>
            </w:r>
          </w:p>
          <w:p w14:paraId="73595049" w14:textId="77777777" w:rsidR="00EB3114" w:rsidRDefault="00000000">
            <w:pPr>
              <w:spacing w:after="20"/>
            </w:pPr>
            <w:r>
              <w:rPr>
                <w:rFonts w:ascii="Century Gothic" w:eastAsia="Century Gothic" w:hAnsi="Century Gothic" w:cs="Century Gothic"/>
                <w:sz w:val="17"/>
                <w:szCs w:val="17"/>
              </w:rPr>
              <w:t>Behavioral science, psychological assessment, and human motivation under pressure. Informs compliance culture design, controls built for how people actually behave, not how policy assumes they should.</w:t>
            </w:r>
          </w:p>
        </w:tc>
      </w:tr>
    </w:tbl>
    <w:p w14:paraId="32B8BECC" w14:textId="77777777" w:rsidR="00EB3114" w:rsidRDefault="00EB3114">
      <w:pPr>
        <w:spacing w:after="100"/>
      </w:pPr>
    </w:p>
    <w:p w14:paraId="014AE7F4" w14:textId="77777777" w:rsidR="002972D5" w:rsidRDefault="002972D5">
      <w:pPr>
        <w:spacing w:after="100"/>
      </w:pPr>
    </w:p>
    <w:p w14:paraId="7491CD45" w14:textId="77777777" w:rsidR="002972D5" w:rsidRDefault="002972D5">
      <w:pPr>
        <w:spacing w:after="100"/>
      </w:pPr>
    </w:p>
    <w:tbl>
      <w:tblPr>
        <w:tblStyle w:val="af7"/>
        <w:tblW w:w="10079" w:type="dxa"/>
        <w:tblInd w:w="0" w:type="dxa"/>
        <w:tblLayout w:type="fixed"/>
        <w:tblLook w:val="0000" w:firstRow="0" w:lastRow="0" w:firstColumn="0" w:lastColumn="0" w:noHBand="0" w:noVBand="0"/>
      </w:tblPr>
      <w:tblGrid>
        <w:gridCol w:w="4940"/>
        <w:gridCol w:w="5139"/>
      </w:tblGrid>
      <w:tr w:rsidR="00EB3114" w14:paraId="506F360F" w14:textId="77777777">
        <w:tc>
          <w:tcPr>
            <w:tcW w:w="4940" w:type="dxa"/>
            <w:tcBorders>
              <w:right w:val="single" w:sz="4" w:space="0" w:color="D0D8E4"/>
            </w:tcBorders>
            <w:tcMar>
              <w:left w:w="0" w:type="dxa"/>
              <w:right w:w="160" w:type="dxa"/>
            </w:tcMar>
          </w:tcPr>
          <w:p w14:paraId="747C74B8" w14:textId="77777777"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8C5C0A"/>
                <w:sz w:val="22"/>
                <w:szCs w:val="22"/>
              </w:rPr>
              <w:t>M.S. Crime Analysis &amp; Justice Administration</w:t>
            </w:r>
          </w:p>
          <w:p w14:paraId="6596A42A"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Tiffin University  ·  2004–2005</w:t>
            </w:r>
          </w:p>
          <w:p w14:paraId="5F24B9B2" w14:textId="77777777" w:rsidR="00EB3114" w:rsidRDefault="00000000">
            <w:pPr>
              <w:spacing w:after="20"/>
            </w:pPr>
            <w:r>
              <w:rPr>
                <w:rFonts w:ascii="Century Gothic" w:eastAsia="Century Gothic" w:hAnsi="Century Gothic" w:cs="Century Gothic"/>
                <w:sz w:val="17"/>
                <w:szCs w:val="17"/>
              </w:rPr>
              <w:t>Quantitative crime pattern analysis, risk modeling, and investigative methodology. Applied to risk pattern recognition, anomaly detection, and reading what a compliance system is actually doing versus what it appears to be doing.</w:t>
            </w:r>
          </w:p>
        </w:tc>
        <w:tc>
          <w:tcPr>
            <w:tcW w:w="5139" w:type="dxa"/>
          </w:tcPr>
          <w:p w14:paraId="1EF4C4B9" w14:textId="77777777" w:rsidR="00EB3114" w:rsidRDefault="00000000">
            <w:pPr>
              <w:spacing w:after="36"/>
              <w:rPr>
                <w:rFonts w:ascii="Century Gothic" w:eastAsia="Century Gothic" w:hAnsi="Century Gothic" w:cs="Century Gothic"/>
                <w:color w:val="4A5568"/>
                <w:sz w:val="18"/>
                <w:szCs w:val="18"/>
              </w:rPr>
            </w:pPr>
            <w:r>
              <w:rPr>
                <w:rFonts w:ascii="Century Gothic" w:eastAsia="Century Gothic" w:hAnsi="Century Gothic" w:cs="Century Gothic"/>
                <w:b/>
                <w:bCs/>
                <w:color w:val="1A4A7A"/>
                <w:sz w:val="22"/>
                <w:szCs w:val="22"/>
              </w:rPr>
              <w:t>B.A. Psychology</w:t>
            </w:r>
          </w:p>
          <w:p w14:paraId="2F2BA5A1" w14:textId="77777777" w:rsidR="00EB3114" w:rsidRDefault="00000000">
            <w:pPr>
              <w:spacing w:after="50"/>
              <w:rPr>
                <w:rFonts w:ascii="Century Gothic" w:eastAsia="Century Gothic" w:hAnsi="Century Gothic" w:cs="Century Gothic"/>
                <w:sz w:val="17"/>
                <w:szCs w:val="17"/>
              </w:rPr>
            </w:pPr>
            <w:r>
              <w:rPr>
                <w:rFonts w:ascii="Century Gothic" w:eastAsia="Century Gothic" w:hAnsi="Century Gothic" w:cs="Century Gothic"/>
                <w:color w:val="4A5568"/>
                <w:sz w:val="15"/>
                <w:szCs w:val="15"/>
              </w:rPr>
              <w:t>Ohio University  ·  2001–2004</w:t>
            </w:r>
          </w:p>
          <w:p w14:paraId="387DE2B6" w14:textId="77777777" w:rsidR="00EB3114" w:rsidRDefault="00000000">
            <w:pPr>
              <w:spacing w:after="20"/>
            </w:pPr>
            <w:r>
              <w:rPr>
                <w:rFonts w:ascii="Century Gothic" w:eastAsia="Century Gothic" w:hAnsi="Century Gothic" w:cs="Century Gothic"/>
                <w:sz w:val="17"/>
                <w:szCs w:val="17"/>
              </w:rPr>
              <w:t>Human behavior, social systems, and organizational psychology. Root of every compliance culture transformation program run, understanding why people route around controls before designing better ones.</w:t>
            </w:r>
          </w:p>
        </w:tc>
      </w:tr>
    </w:tbl>
    <w:p w14:paraId="5579C466" w14:textId="77777777" w:rsidR="00EB3114" w:rsidRDefault="00EB3114">
      <w:pPr>
        <w:spacing w:after="100"/>
      </w:pPr>
    </w:p>
    <w:p w14:paraId="40A84BB1" w14:textId="77777777" w:rsidR="002972D5" w:rsidRDefault="002972D5">
      <w:pPr>
        <w:spacing w:after="100"/>
      </w:pPr>
    </w:p>
    <w:p w14:paraId="4AF0C4EE" w14:textId="77777777" w:rsidR="002972D5" w:rsidRDefault="002972D5">
      <w:pPr>
        <w:spacing w:after="100"/>
      </w:pPr>
    </w:p>
    <w:tbl>
      <w:tblPr>
        <w:tblStyle w:val="af8"/>
        <w:tblW w:w="10080" w:type="dxa"/>
        <w:tblInd w:w="1" w:type="dxa"/>
        <w:tblLayout w:type="fixed"/>
        <w:tblLook w:val="0000" w:firstRow="0" w:lastRow="0" w:firstColumn="0" w:lastColumn="0" w:noHBand="0" w:noVBand="0"/>
      </w:tblPr>
      <w:tblGrid>
        <w:gridCol w:w="10080"/>
      </w:tblGrid>
      <w:tr w:rsidR="00EB3114" w14:paraId="630F7AD7" w14:textId="77777777">
        <w:tc>
          <w:tcPr>
            <w:tcW w:w="10080" w:type="dxa"/>
            <w:tcBorders>
              <w:left w:val="single" w:sz="4" w:space="0" w:color="1A4A7A"/>
            </w:tcBorders>
            <w:shd w:val="clear" w:color="auto" w:fill="FFFFFF"/>
          </w:tcPr>
          <w:p w14:paraId="3B706CEC" w14:textId="77777777" w:rsidR="00EB3114" w:rsidRDefault="00000000">
            <w:pPr>
              <w:spacing w:after="100"/>
            </w:pPr>
            <w:r w:rsidRPr="002972D5">
              <w:rPr>
                <w:b/>
                <w:bCs/>
                <w:color w:val="1A4A7A"/>
                <w:sz w:val="24"/>
                <w:szCs w:val="24"/>
              </w:rPr>
              <w:t xml:space="preserve">Academic Instruction: </w:t>
            </w:r>
            <w:r w:rsidRPr="002972D5">
              <w:rPr>
                <w:sz w:val="24"/>
                <w:szCs w:val="24"/>
              </w:rPr>
              <w:t xml:space="preserve">Chaired an IT department delivering instruction across Criminal Justice, Mathematics, and Cybercrime. </w:t>
            </w:r>
            <w:r w:rsidRPr="002972D5">
              <w:rPr>
                <w:b/>
                <w:bCs/>
                <w:sz w:val="24"/>
                <w:szCs w:val="24"/>
              </w:rPr>
              <w:t>Achieved the highest student attendance rate of any instructor nationwide.</w:t>
            </w:r>
            <w:r w:rsidRPr="002972D5">
              <w:rPr>
                <w:sz w:val="24"/>
                <w:szCs w:val="24"/>
              </w:rPr>
              <w:t xml:space="preserve"> This pedagogical background informs every team development, onboarding, and compliance culture design program.</w:t>
            </w:r>
          </w:p>
        </w:tc>
      </w:tr>
    </w:tbl>
    <w:p w14:paraId="63E87387" w14:textId="77777777" w:rsidR="00EB3114" w:rsidRDefault="00EB3114"/>
    <w:p w14:paraId="67A4F1AF" w14:textId="77777777" w:rsidR="00EB3114" w:rsidRDefault="00EB3114">
      <w:pPr>
        <w:pageBreakBefore/>
        <w:spacing w:after="100"/>
      </w:pPr>
    </w:p>
    <w:p w14:paraId="3DD8B924"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INTERDISCIPLINARY FOUNDATION: THREE DEGREES, ONE LENS</w:t>
      </w:r>
    </w:p>
    <w:p w14:paraId="3E436981" w14:textId="77777777" w:rsidR="00EB3114" w:rsidRDefault="00EB3114">
      <w:pPr>
        <w:pBdr>
          <w:top w:val="none" w:sz="0" w:space="0" w:color="000000"/>
          <w:left w:val="none" w:sz="0" w:space="0" w:color="000000"/>
          <w:bottom w:val="single" w:sz="4" w:space="1" w:color="1A4A7A"/>
          <w:right w:val="none" w:sz="0" w:space="0" w:color="000000"/>
        </w:pBdr>
        <w:spacing w:after="100"/>
      </w:pPr>
    </w:p>
    <w:p w14:paraId="3B334205" w14:textId="77777777" w:rsidR="00EB3114" w:rsidRDefault="00000000">
      <w:pPr>
        <w:spacing w:after="120"/>
        <w:rPr>
          <w:rFonts w:ascii="Century Gothic" w:eastAsia="Century Gothic" w:hAnsi="Century Gothic" w:cs="Century Gothic"/>
          <w:color w:val="2A9DB8"/>
          <w:sz w:val="17"/>
          <w:szCs w:val="17"/>
        </w:rPr>
      </w:pPr>
      <w:r>
        <w:rPr>
          <w:rFonts w:ascii="Century Gothic" w:eastAsia="Century Gothic" w:hAnsi="Century Gothic" w:cs="Century Gothic"/>
          <w:sz w:val="18"/>
          <w:szCs w:val="18"/>
        </w:rPr>
        <w:t>Most compliance programs fail at the same point: they are built around frameworks rather than around the humans operating within them. The combination of Information Systems, Forensic Psychology, and Crime Analysis provides a lens no single discipline offers alone.</w:t>
      </w:r>
    </w:p>
    <w:tbl>
      <w:tblPr>
        <w:tblStyle w:val="af9"/>
        <w:tblW w:w="10079" w:type="dxa"/>
        <w:tblInd w:w="1" w:type="dxa"/>
        <w:tblLayout w:type="fixed"/>
        <w:tblLook w:val="0000" w:firstRow="0" w:lastRow="0" w:firstColumn="0" w:lastColumn="0" w:noHBand="0" w:noVBand="0"/>
      </w:tblPr>
      <w:tblGrid>
        <w:gridCol w:w="6753"/>
        <w:gridCol w:w="3326"/>
      </w:tblGrid>
      <w:tr w:rsidR="00EB3114" w14:paraId="30228592" w14:textId="77777777">
        <w:tc>
          <w:tcPr>
            <w:tcW w:w="6753" w:type="dxa"/>
            <w:tcBorders>
              <w:left w:val="single" w:sz="4" w:space="0" w:color="2A9DB8"/>
            </w:tcBorders>
            <w:shd w:val="clear" w:color="auto" w:fill="FFFFFF"/>
            <w:tcMar>
              <w:left w:w="140" w:type="dxa"/>
              <w:right w:w="120" w:type="dxa"/>
            </w:tcMar>
          </w:tcPr>
          <w:p w14:paraId="38789096"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Technical foundation</w:t>
            </w:r>
          </w:p>
          <w:p w14:paraId="044F8B02" w14:textId="77777777" w:rsidR="00EB3114" w:rsidRDefault="00000000">
            <w:pPr>
              <w:spacing w:after="80"/>
            </w:pPr>
            <w:r>
              <w:rPr>
                <w:rFonts w:ascii="Century Gothic" w:eastAsia="Century Gothic" w:hAnsi="Century Gothic" w:cs="Century Gothic"/>
                <w:sz w:val="17"/>
                <w:szCs w:val="17"/>
              </w:rPr>
              <w:t>Technology architecture and database systems form the substrate for evidence automation and GRC platform design. Understanding how systems actually store and route data is what makes evidence architecture reliable, and what allows cross-framework control mapping to be implemented in tooling rather than maintained in spreadsheets.</w:t>
            </w:r>
          </w:p>
        </w:tc>
        <w:tc>
          <w:tcPr>
            <w:tcW w:w="3326" w:type="dxa"/>
            <w:shd w:val="clear" w:color="auto" w:fill="E4F5FA"/>
            <w:vAlign w:val="center"/>
          </w:tcPr>
          <w:p w14:paraId="7A948E42" w14:textId="77777777" w:rsidR="00EB3114" w:rsidRDefault="00000000">
            <w:pPr>
              <w:spacing w:after="100"/>
              <w:jc w:val="center"/>
              <w:rPr>
                <w:sz w:val="34"/>
                <w:szCs w:val="34"/>
              </w:rPr>
            </w:pPr>
            <w:r>
              <w:rPr>
                <w:b/>
                <w:bCs/>
                <w:color w:val="2A9DB8"/>
                <w:sz w:val="34"/>
                <w:szCs w:val="34"/>
              </w:rPr>
              <w:t>Information Systems</w:t>
            </w:r>
          </w:p>
        </w:tc>
      </w:tr>
    </w:tbl>
    <w:p w14:paraId="376AF4CD" w14:textId="77777777" w:rsidR="00EB3114" w:rsidRDefault="00EB3114">
      <w:pPr>
        <w:spacing w:after="100"/>
      </w:pPr>
    </w:p>
    <w:tbl>
      <w:tblPr>
        <w:tblStyle w:val="afa"/>
        <w:tblW w:w="10079" w:type="dxa"/>
        <w:tblInd w:w="1" w:type="dxa"/>
        <w:tblLayout w:type="fixed"/>
        <w:tblLook w:val="0000" w:firstRow="0" w:lastRow="0" w:firstColumn="0" w:lastColumn="0" w:noHBand="0" w:noVBand="0"/>
      </w:tblPr>
      <w:tblGrid>
        <w:gridCol w:w="6753"/>
        <w:gridCol w:w="3326"/>
      </w:tblGrid>
      <w:tr w:rsidR="00EB3114" w14:paraId="7B9D6ABC" w14:textId="77777777">
        <w:tc>
          <w:tcPr>
            <w:tcW w:w="6753" w:type="dxa"/>
            <w:tcBorders>
              <w:left w:val="single" w:sz="4" w:space="0" w:color="1A4A7A"/>
            </w:tcBorders>
            <w:shd w:val="clear" w:color="auto" w:fill="FFFFFF"/>
            <w:tcMar>
              <w:left w:w="140" w:type="dxa"/>
              <w:right w:w="120" w:type="dxa"/>
            </w:tcMar>
          </w:tcPr>
          <w:p w14:paraId="1D3E303F"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Behavioral foundation</w:t>
            </w:r>
          </w:p>
          <w:p w14:paraId="75CD9735" w14:textId="77777777" w:rsidR="00EB3114" w:rsidRDefault="00000000">
            <w:pPr>
              <w:spacing w:after="80"/>
            </w:pPr>
            <w:r>
              <w:rPr>
                <w:rFonts w:ascii="Century Gothic" w:eastAsia="Century Gothic" w:hAnsi="Century Gothic" w:cs="Century Gothic"/>
                <w:sz w:val="17"/>
                <w:szCs w:val="17"/>
              </w:rPr>
              <w:t>Compliance programs are behavioral systems. They succeed or fail based on whether real humans in real organizations comply with them. Forensic psychology provides the framework for understanding resistance patterns, motivation under pressure, and the gap between stated behavior and actual behavior. Controls designed without this lens are controls that people will route around.</w:t>
            </w:r>
          </w:p>
        </w:tc>
        <w:tc>
          <w:tcPr>
            <w:tcW w:w="3326" w:type="dxa"/>
            <w:shd w:val="clear" w:color="auto" w:fill="E8F0F8"/>
            <w:vAlign w:val="center"/>
          </w:tcPr>
          <w:p w14:paraId="6B2EC08A" w14:textId="77777777" w:rsidR="00EB3114" w:rsidRDefault="00000000">
            <w:pPr>
              <w:spacing w:after="100"/>
              <w:jc w:val="center"/>
              <w:rPr>
                <w:sz w:val="34"/>
                <w:szCs w:val="34"/>
              </w:rPr>
            </w:pPr>
            <w:r>
              <w:rPr>
                <w:b/>
                <w:bCs/>
                <w:color w:val="1A4A7A"/>
                <w:sz w:val="34"/>
                <w:szCs w:val="34"/>
              </w:rPr>
              <w:t>Forensic Psychology</w:t>
            </w:r>
          </w:p>
        </w:tc>
      </w:tr>
    </w:tbl>
    <w:p w14:paraId="6114B132" w14:textId="77777777" w:rsidR="00EB3114" w:rsidRDefault="00EB3114">
      <w:pPr>
        <w:spacing w:after="100"/>
      </w:pPr>
    </w:p>
    <w:tbl>
      <w:tblPr>
        <w:tblStyle w:val="afb"/>
        <w:tblW w:w="10079" w:type="dxa"/>
        <w:tblInd w:w="1" w:type="dxa"/>
        <w:tblLayout w:type="fixed"/>
        <w:tblLook w:val="0000" w:firstRow="0" w:lastRow="0" w:firstColumn="0" w:lastColumn="0" w:noHBand="0" w:noVBand="0"/>
      </w:tblPr>
      <w:tblGrid>
        <w:gridCol w:w="6753"/>
        <w:gridCol w:w="3326"/>
      </w:tblGrid>
      <w:tr w:rsidR="00EB3114" w14:paraId="365C9E6D" w14:textId="77777777">
        <w:tc>
          <w:tcPr>
            <w:tcW w:w="6753" w:type="dxa"/>
            <w:tcBorders>
              <w:left w:val="single" w:sz="4" w:space="0" w:color="8C5C0A"/>
            </w:tcBorders>
            <w:shd w:val="clear" w:color="auto" w:fill="FFFFFF"/>
            <w:tcMar>
              <w:left w:w="140" w:type="dxa"/>
              <w:right w:w="120" w:type="dxa"/>
            </w:tcMar>
          </w:tcPr>
          <w:p w14:paraId="71DEB197"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Pattern recognition foundation</w:t>
            </w:r>
          </w:p>
          <w:p w14:paraId="074FD350" w14:textId="77777777" w:rsidR="00EB3114" w:rsidRDefault="00000000">
            <w:pPr>
              <w:spacing w:after="80"/>
            </w:pPr>
            <w:r>
              <w:rPr>
                <w:rFonts w:ascii="Century Gothic" w:eastAsia="Century Gothic" w:hAnsi="Century Gothic" w:cs="Century Gothic"/>
                <w:sz w:val="17"/>
                <w:szCs w:val="17"/>
              </w:rPr>
              <w:t>Crime analysis is fundamentally a pattern recognition discipline, identifying structural signatures in complex systems, distinguishing signal from noise, and knowing which control failures are indicators of systemic problems versus isolated incidents. The risk pattern language is the same as compliance risk; only the domain changes.</w:t>
            </w:r>
          </w:p>
        </w:tc>
        <w:tc>
          <w:tcPr>
            <w:tcW w:w="3326" w:type="dxa"/>
            <w:shd w:val="clear" w:color="auto" w:fill="FDF2DC"/>
            <w:vAlign w:val="center"/>
          </w:tcPr>
          <w:p w14:paraId="1C6A5571" w14:textId="77777777" w:rsidR="00EB3114" w:rsidRDefault="00000000">
            <w:pPr>
              <w:spacing w:after="100"/>
              <w:jc w:val="center"/>
              <w:rPr>
                <w:sz w:val="34"/>
                <w:szCs w:val="34"/>
              </w:rPr>
            </w:pPr>
            <w:r>
              <w:rPr>
                <w:b/>
                <w:bCs/>
                <w:color w:val="8C5C0A"/>
                <w:sz w:val="34"/>
                <w:szCs w:val="34"/>
              </w:rPr>
              <w:t>Crime Analysis</w:t>
            </w:r>
          </w:p>
        </w:tc>
      </w:tr>
    </w:tbl>
    <w:p w14:paraId="1A36954A" w14:textId="77777777" w:rsidR="00EB3114" w:rsidRDefault="00EB3114">
      <w:pPr>
        <w:spacing w:after="100"/>
      </w:pPr>
    </w:p>
    <w:p w14:paraId="3B09FB9E" w14:textId="77777777" w:rsidR="00EB3114" w:rsidRDefault="00EB3114"/>
    <w:p w14:paraId="0906BE09" w14:textId="77777777" w:rsidR="00EB3114" w:rsidRDefault="00EB3114">
      <w:pPr>
        <w:pageBreakBefore/>
        <w:spacing w:after="100"/>
      </w:pPr>
    </w:p>
    <w:p w14:paraId="62B50661" w14:textId="77777777" w:rsidR="00EB3114" w:rsidRDefault="00000000">
      <w:pPr>
        <w:spacing w:before="160" w:after="60"/>
        <w:rPr>
          <w:sz w:val="28"/>
          <w:szCs w:val="28"/>
        </w:rPr>
      </w:pPr>
      <w:r>
        <w:rPr>
          <w:rFonts w:ascii="Century Gothic" w:eastAsia="Century Gothic" w:hAnsi="Century Gothic" w:cs="Century Gothic"/>
          <w:b/>
          <w:bCs/>
          <w:color w:val="2E8B57"/>
          <w:sz w:val="28"/>
          <w:szCs w:val="28"/>
        </w:rPr>
        <w:t>COMPLIANCE CULTURE &amp; CHANGE MANAGEMENT</w:t>
      </w:r>
    </w:p>
    <w:p w14:paraId="55C2B065" w14:textId="77777777" w:rsidR="00EB3114" w:rsidRDefault="00EB3114">
      <w:pPr>
        <w:pBdr>
          <w:top w:val="none" w:sz="0" w:space="0" w:color="000000"/>
          <w:left w:val="none" w:sz="0" w:space="0" w:color="000000"/>
          <w:bottom w:val="single" w:sz="4" w:space="1" w:color="2E8B57"/>
          <w:right w:val="none" w:sz="0" w:space="0" w:color="000000"/>
        </w:pBdr>
        <w:spacing w:after="100"/>
      </w:pPr>
    </w:p>
    <w:tbl>
      <w:tblPr>
        <w:tblStyle w:val="afc"/>
        <w:tblW w:w="10080" w:type="dxa"/>
        <w:tblInd w:w="1" w:type="dxa"/>
        <w:tblLayout w:type="fixed"/>
        <w:tblLook w:val="0000" w:firstRow="0" w:lastRow="0" w:firstColumn="0" w:lastColumn="0" w:noHBand="0" w:noVBand="0"/>
      </w:tblPr>
      <w:tblGrid>
        <w:gridCol w:w="10080"/>
      </w:tblGrid>
      <w:tr w:rsidR="00EB3114" w14:paraId="6A68A5BF" w14:textId="77777777">
        <w:tc>
          <w:tcPr>
            <w:tcW w:w="10080" w:type="dxa"/>
            <w:tcBorders>
              <w:left w:val="single" w:sz="4" w:space="0" w:color="2E8B57"/>
            </w:tcBorders>
            <w:shd w:val="clear" w:color="auto" w:fill="FFFFFF"/>
          </w:tcPr>
          <w:p w14:paraId="28F607E2"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The Resistance Pattern</w:t>
            </w:r>
          </w:p>
          <w:p w14:paraId="01991FE1" w14:textId="77777777" w:rsidR="00EB3114" w:rsidRDefault="00000000">
            <w:pPr>
              <w:spacing w:after="80"/>
            </w:pPr>
            <w:r>
              <w:rPr>
                <w:rFonts w:ascii="Century Gothic" w:eastAsia="Century Gothic" w:hAnsi="Century Gothic" w:cs="Century Gothic"/>
                <w:sz w:val="17"/>
                <w:szCs w:val="17"/>
              </w:rPr>
              <w:t>Most technical teams experience their first compliance request as an interruption. The forensic psychology background maps this resistance pattern precisely: it is not obstruction, it is the rational response to poorly designed controls placed at the wrong friction points. Redesigning the controls to fit the workflow rather than interrupt it is the intervention.</w:t>
            </w:r>
          </w:p>
        </w:tc>
      </w:tr>
    </w:tbl>
    <w:p w14:paraId="4BAB7444" w14:textId="77777777" w:rsidR="00EB3114" w:rsidRDefault="00EB3114">
      <w:pPr>
        <w:spacing w:after="100"/>
      </w:pPr>
    </w:p>
    <w:tbl>
      <w:tblPr>
        <w:tblStyle w:val="afd"/>
        <w:tblW w:w="10080" w:type="dxa"/>
        <w:tblInd w:w="1" w:type="dxa"/>
        <w:tblLayout w:type="fixed"/>
        <w:tblLook w:val="0000" w:firstRow="0" w:lastRow="0" w:firstColumn="0" w:lastColumn="0" w:noHBand="0" w:noVBand="0"/>
      </w:tblPr>
      <w:tblGrid>
        <w:gridCol w:w="10080"/>
      </w:tblGrid>
      <w:tr w:rsidR="00EB3114" w14:paraId="2358E32D" w14:textId="77777777">
        <w:tc>
          <w:tcPr>
            <w:tcW w:w="10080" w:type="dxa"/>
            <w:tcBorders>
              <w:left w:val="single" w:sz="4" w:space="0" w:color="2A9DB8"/>
            </w:tcBorders>
            <w:shd w:val="clear" w:color="auto" w:fill="FFFFFF"/>
          </w:tcPr>
          <w:p w14:paraId="0B983EE1"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Evidence as an Engineering Artifact</w:t>
            </w:r>
          </w:p>
          <w:p w14:paraId="6AB0FFF9" w14:textId="77777777" w:rsidR="00EB3114" w:rsidRDefault="00000000">
            <w:pPr>
              <w:spacing w:after="80"/>
            </w:pPr>
            <w:r>
              <w:rPr>
                <w:rFonts w:ascii="Century Gothic" w:eastAsia="Century Gothic" w:hAnsi="Century Gothic" w:cs="Century Gothic"/>
                <w:sz w:val="17"/>
                <w:szCs w:val="17"/>
              </w:rPr>
              <w:t>The highest-leverage culture shift is repositioning audit evidence as an engineering artifact rather than a compliance artifact. When evidence collection is integrated into JIRA ticket workflows and Confluence documentation standards, it stops being something that happens in addition to work and becomes a byproduct of work.</w:t>
            </w:r>
          </w:p>
        </w:tc>
      </w:tr>
    </w:tbl>
    <w:p w14:paraId="24100885" w14:textId="77777777" w:rsidR="00EB3114" w:rsidRDefault="00EB3114">
      <w:pPr>
        <w:spacing w:after="100"/>
      </w:pPr>
    </w:p>
    <w:tbl>
      <w:tblPr>
        <w:tblStyle w:val="afe"/>
        <w:tblW w:w="10080" w:type="dxa"/>
        <w:tblInd w:w="1" w:type="dxa"/>
        <w:tblLayout w:type="fixed"/>
        <w:tblLook w:val="0000" w:firstRow="0" w:lastRow="0" w:firstColumn="0" w:lastColumn="0" w:noHBand="0" w:noVBand="0"/>
      </w:tblPr>
      <w:tblGrid>
        <w:gridCol w:w="10080"/>
      </w:tblGrid>
      <w:tr w:rsidR="00EB3114" w14:paraId="3563257E" w14:textId="77777777">
        <w:tc>
          <w:tcPr>
            <w:tcW w:w="10080" w:type="dxa"/>
            <w:tcBorders>
              <w:left w:val="single" w:sz="4" w:space="0" w:color="2E8B57"/>
            </w:tcBorders>
            <w:shd w:val="clear" w:color="auto" w:fill="FFFFFF"/>
          </w:tcPr>
          <w:p w14:paraId="1623A19F"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The Audit-Ready Organization</w:t>
            </w:r>
          </w:p>
          <w:p w14:paraId="6FFC194A" w14:textId="77777777" w:rsidR="00EB3114" w:rsidRDefault="00000000">
            <w:pPr>
              <w:spacing w:after="80"/>
            </w:pPr>
            <w:r>
              <w:rPr>
                <w:rFonts w:ascii="Century Gothic" w:eastAsia="Century Gothic" w:hAnsi="Century Gothic" w:cs="Century Gothic"/>
                <w:sz w:val="17"/>
                <w:szCs w:val="17"/>
              </w:rPr>
              <w:t>The goal of a mature compliance program is to reach a state where an audit could begin on any given day without advanced preparation. Continuous monitoring feeds dashboards showing control status in real time. The compliance team's role shifts from point in time evidence collection to continuous evidence review.</w:t>
            </w:r>
          </w:p>
        </w:tc>
      </w:tr>
    </w:tbl>
    <w:p w14:paraId="37A2251F" w14:textId="77777777" w:rsidR="00EB3114" w:rsidRDefault="00EB3114">
      <w:pPr>
        <w:spacing w:after="100"/>
      </w:pPr>
    </w:p>
    <w:tbl>
      <w:tblPr>
        <w:tblStyle w:val="aff"/>
        <w:tblW w:w="10080" w:type="dxa"/>
        <w:tblInd w:w="1" w:type="dxa"/>
        <w:tblLayout w:type="fixed"/>
        <w:tblLook w:val="0000" w:firstRow="0" w:lastRow="0" w:firstColumn="0" w:lastColumn="0" w:noHBand="0" w:noVBand="0"/>
      </w:tblPr>
      <w:tblGrid>
        <w:gridCol w:w="10080"/>
      </w:tblGrid>
      <w:tr w:rsidR="00EB3114" w14:paraId="76CA6E63" w14:textId="77777777">
        <w:tc>
          <w:tcPr>
            <w:tcW w:w="10080" w:type="dxa"/>
            <w:tcBorders>
              <w:left w:val="single" w:sz="4" w:space="0" w:color="1A4A7A"/>
            </w:tcBorders>
            <w:shd w:val="clear" w:color="auto" w:fill="FFFFFF"/>
          </w:tcPr>
          <w:p w14:paraId="6276E1A3" w14:textId="77777777" w:rsidR="00EB3114" w:rsidRDefault="00000000">
            <w:pPr>
              <w:spacing w:after="4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Team Development Philosophy</w:t>
            </w:r>
          </w:p>
          <w:p w14:paraId="05BB2015" w14:textId="77777777" w:rsidR="00EB3114" w:rsidRDefault="00000000">
            <w:pPr>
              <w:spacing w:after="80"/>
            </w:pPr>
            <w:r>
              <w:rPr>
                <w:rFonts w:ascii="Century Gothic" w:eastAsia="Century Gothic" w:hAnsi="Century Gothic" w:cs="Century Gothic"/>
                <w:sz w:val="17"/>
                <w:szCs w:val="17"/>
              </w:rPr>
              <w:t>Building compliance capability in people who did not choose compliance careers requires the same pedagogical approach that produced the highest student attendance rate nationwide: make the material relevant to work already being done, make the structure visible, and reduce the apparent cost of engagement.</w:t>
            </w:r>
          </w:p>
        </w:tc>
      </w:tr>
    </w:tbl>
    <w:p w14:paraId="4EF9C4F9" w14:textId="77777777" w:rsidR="00EB3114" w:rsidRDefault="00EB3114">
      <w:pPr>
        <w:spacing w:after="100"/>
      </w:pPr>
    </w:p>
    <w:p w14:paraId="5F066BC8" w14:textId="77777777" w:rsidR="00EB3114" w:rsidRDefault="00EB3114"/>
    <w:p w14:paraId="1461C401" w14:textId="77777777" w:rsidR="00EB3114" w:rsidRDefault="00EB3114">
      <w:pPr>
        <w:pageBreakBefore/>
        <w:spacing w:after="100"/>
      </w:pPr>
    </w:p>
    <w:p w14:paraId="05A926DE"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CLIENT &amp; INDUSTRY EXPERIENCE BREAKDOWN VIEWS</w:t>
      </w:r>
    </w:p>
    <w:p w14:paraId="4544D795" w14:textId="77777777" w:rsidR="00EB3114" w:rsidRDefault="00EB3114">
      <w:pPr>
        <w:pBdr>
          <w:top w:val="none" w:sz="0" w:space="0" w:color="000000"/>
          <w:left w:val="none" w:sz="0" w:space="0" w:color="000000"/>
          <w:bottom w:val="single" w:sz="4" w:space="1" w:color="1A4A7A"/>
          <w:right w:val="none" w:sz="0" w:space="0" w:color="000000"/>
        </w:pBdr>
        <w:spacing w:after="100"/>
      </w:pPr>
    </w:p>
    <w:tbl>
      <w:tblPr>
        <w:tblStyle w:val="aff0"/>
        <w:tblW w:w="10080" w:type="dxa"/>
        <w:tblInd w:w="0" w:type="dxa"/>
        <w:tblLayout w:type="fixed"/>
        <w:tblLook w:val="0000" w:firstRow="0" w:lastRow="0" w:firstColumn="0" w:lastColumn="0" w:noHBand="0" w:noVBand="0"/>
      </w:tblPr>
      <w:tblGrid>
        <w:gridCol w:w="2185"/>
        <w:gridCol w:w="1639"/>
        <w:gridCol w:w="1230"/>
        <w:gridCol w:w="3414"/>
        <w:gridCol w:w="1612"/>
      </w:tblGrid>
      <w:tr w:rsidR="00EB3114" w14:paraId="4B9FE5C4" w14:textId="77777777">
        <w:trPr>
          <w:tblHeader/>
        </w:trPr>
        <w:tc>
          <w:tcPr>
            <w:tcW w:w="2185" w:type="dxa"/>
            <w:tcBorders>
              <w:bottom w:val="single" w:sz="4" w:space="0" w:color="D0D8E4"/>
            </w:tcBorders>
            <w:shd w:val="clear" w:color="auto" w:fill="1A4A7A"/>
          </w:tcPr>
          <w:p w14:paraId="7D0F4D29" w14:textId="77777777" w:rsidR="00EB3114" w:rsidRDefault="00000000">
            <w:pPr>
              <w:spacing w:after="100"/>
              <w:rPr>
                <w:sz w:val="22"/>
                <w:szCs w:val="22"/>
              </w:rPr>
            </w:pPr>
            <w:r>
              <w:rPr>
                <w:rFonts w:ascii="Century Gothic" w:eastAsia="Century Gothic" w:hAnsi="Century Gothic" w:cs="Century Gothic"/>
                <w:b/>
                <w:bCs/>
                <w:color w:val="FFFFFF"/>
                <w:sz w:val="22"/>
                <w:szCs w:val="22"/>
              </w:rPr>
              <w:t>Industry</w:t>
            </w:r>
          </w:p>
        </w:tc>
        <w:tc>
          <w:tcPr>
            <w:tcW w:w="1639" w:type="dxa"/>
            <w:tcBorders>
              <w:bottom w:val="single" w:sz="4" w:space="0" w:color="D0D8E4"/>
            </w:tcBorders>
            <w:shd w:val="clear" w:color="auto" w:fill="1A4A7A"/>
          </w:tcPr>
          <w:p w14:paraId="4F101C86" w14:textId="77777777" w:rsidR="00EB3114" w:rsidRDefault="00000000">
            <w:pPr>
              <w:spacing w:after="100"/>
              <w:rPr>
                <w:sz w:val="22"/>
                <w:szCs w:val="22"/>
              </w:rPr>
            </w:pPr>
            <w:r>
              <w:rPr>
                <w:rFonts w:ascii="Century Gothic" w:eastAsia="Century Gothic" w:hAnsi="Century Gothic" w:cs="Century Gothic"/>
                <w:b/>
                <w:bCs/>
                <w:color w:val="FFFFFF"/>
                <w:sz w:val="22"/>
                <w:szCs w:val="22"/>
              </w:rPr>
              <w:t>Company / Context</w:t>
            </w:r>
          </w:p>
        </w:tc>
        <w:tc>
          <w:tcPr>
            <w:tcW w:w="1230" w:type="dxa"/>
            <w:tcBorders>
              <w:bottom w:val="single" w:sz="4" w:space="0" w:color="D0D8E4"/>
            </w:tcBorders>
            <w:shd w:val="clear" w:color="auto" w:fill="1A4A7A"/>
          </w:tcPr>
          <w:p w14:paraId="3823199F" w14:textId="77777777" w:rsidR="00EB3114" w:rsidRDefault="00000000">
            <w:pPr>
              <w:spacing w:after="100"/>
              <w:rPr>
                <w:sz w:val="22"/>
                <w:szCs w:val="22"/>
              </w:rPr>
            </w:pPr>
            <w:r>
              <w:rPr>
                <w:rFonts w:ascii="Century Gothic" w:eastAsia="Century Gothic" w:hAnsi="Century Gothic" w:cs="Century Gothic"/>
                <w:b/>
                <w:bCs/>
                <w:color w:val="FFFFFF"/>
                <w:sz w:val="22"/>
                <w:szCs w:val="22"/>
              </w:rPr>
              <w:t>Stage</w:t>
            </w:r>
          </w:p>
        </w:tc>
        <w:tc>
          <w:tcPr>
            <w:tcW w:w="3414" w:type="dxa"/>
            <w:tcBorders>
              <w:bottom w:val="single" w:sz="4" w:space="0" w:color="D0D8E4"/>
            </w:tcBorders>
            <w:shd w:val="clear" w:color="auto" w:fill="1A4A7A"/>
          </w:tcPr>
          <w:p w14:paraId="359AB38B" w14:textId="77777777" w:rsidR="00EB3114" w:rsidRDefault="00000000">
            <w:pPr>
              <w:spacing w:after="100"/>
              <w:rPr>
                <w:sz w:val="22"/>
                <w:szCs w:val="22"/>
              </w:rPr>
            </w:pPr>
            <w:r>
              <w:rPr>
                <w:rFonts w:ascii="Century Gothic" w:eastAsia="Century Gothic" w:hAnsi="Century Gothic" w:cs="Century Gothic"/>
                <w:b/>
                <w:bCs/>
                <w:color w:val="FFFFFF"/>
                <w:sz w:val="22"/>
                <w:szCs w:val="22"/>
              </w:rPr>
              <w:t>Regulatory Environment</w:t>
            </w:r>
          </w:p>
        </w:tc>
        <w:tc>
          <w:tcPr>
            <w:tcW w:w="1612" w:type="dxa"/>
            <w:tcBorders>
              <w:bottom w:val="single" w:sz="4" w:space="0" w:color="D0D8E4"/>
            </w:tcBorders>
            <w:shd w:val="clear" w:color="auto" w:fill="1A4A7A"/>
          </w:tcPr>
          <w:p w14:paraId="0AE6999D" w14:textId="77777777" w:rsidR="00EB3114" w:rsidRDefault="00000000">
            <w:pPr>
              <w:spacing w:after="100"/>
              <w:rPr>
                <w:sz w:val="22"/>
                <w:szCs w:val="22"/>
              </w:rPr>
            </w:pPr>
            <w:r>
              <w:rPr>
                <w:rFonts w:ascii="Century Gothic" w:eastAsia="Century Gothic" w:hAnsi="Century Gothic" w:cs="Century Gothic"/>
                <w:b/>
                <w:bCs/>
                <w:color w:val="FFFFFF"/>
                <w:sz w:val="22"/>
                <w:szCs w:val="22"/>
              </w:rPr>
              <w:t>Outcome</w:t>
            </w:r>
          </w:p>
        </w:tc>
      </w:tr>
      <w:tr w:rsidR="00EB3114" w14:paraId="652AA9E9" w14:textId="77777777">
        <w:tc>
          <w:tcPr>
            <w:tcW w:w="2185" w:type="dxa"/>
            <w:tcBorders>
              <w:bottom w:val="single" w:sz="4" w:space="0" w:color="D0D8E4"/>
            </w:tcBorders>
            <w:shd w:val="clear" w:color="auto" w:fill="FFFFFF"/>
          </w:tcPr>
          <w:p w14:paraId="503E5FDA" w14:textId="77777777" w:rsidR="00EB3114" w:rsidRDefault="00000000">
            <w:pPr>
              <w:spacing w:after="100"/>
              <w:rPr>
                <w:sz w:val="26"/>
                <w:szCs w:val="26"/>
              </w:rPr>
            </w:pPr>
            <w:r>
              <w:rPr>
                <w:sz w:val="21"/>
                <w:szCs w:val="21"/>
              </w:rPr>
              <w:t>Enterprise SaaS (Data Security)</w:t>
            </w:r>
          </w:p>
        </w:tc>
        <w:tc>
          <w:tcPr>
            <w:tcW w:w="1639" w:type="dxa"/>
            <w:tcBorders>
              <w:bottom w:val="single" w:sz="4" w:space="0" w:color="D0D8E4"/>
            </w:tcBorders>
            <w:shd w:val="clear" w:color="auto" w:fill="FFFFFF"/>
          </w:tcPr>
          <w:p w14:paraId="03F00B43" w14:textId="77777777" w:rsidR="00EB3114" w:rsidRDefault="00000000">
            <w:pPr>
              <w:spacing w:after="100"/>
              <w:rPr>
                <w:sz w:val="26"/>
                <w:szCs w:val="26"/>
              </w:rPr>
            </w:pPr>
            <w:r>
              <w:rPr>
                <w:sz w:val="21"/>
                <w:szCs w:val="21"/>
              </w:rPr>
              <w:t>Rubrik (NYSE: RBRK)</w:t>
            </w:r>
          </w:p>
        </w:tc>
        <w:tc>
          <w:tcPr>
            <w:tcW w:w="1230" w:type="dxa"/>
            <w:tcBorders>
              <w:bottom w:val="single" w:sz="4" w:space="0" w:color="D0D8E4"/>
            </w:tcBorders>
            <w:shd w:val="clear" w:color="auto" w:fill="FFFFFF"/>
          </w:tcPr>
          <w:p w14:paraId="2AECAD62" w14:textId="77777777" w:rsidR="00EB3114" w:rsidRDefault="00000000">
            <w:pPr>
              <w:spacing w:after="100"/>
              <w:rPr>
                <w:sz w:val="26"/>
                <w:szCs w:val="26"/>
              </w:rPr>
            </w:pPr>
            <w:r>
              <w:rPr>
                <w:sz w:val="21"/>
                <w:szCs w:val="21"/>
              </w:rPr>
              <w:t>NYSE-listed / post-IPO</w:t>
            </w:r>
          </w:p>
        </w:tc>
        <w:tc>
          <w:tcPr>
            <w:tcW w:w="3414" w:type="dxa"/>
            <w:tcBorders>
              <w:bottom w:val="single" w:sz="4" w:space="0" w:color="D0D8E4"/>
            </w:tcBorders>
            <w:shd w:val="clear" w:color="auto" w:fill="FFFFFF"/>
          </w:tcPr>
          <w:p w14:paraId="54C44A3D" w14:textId="77777777" w:rsidR="00EB3114" w:rsidRDefault="00000000">
            <w:pPr>
              <w:spacing w:after="100"/>
              <w:rPr>
                <w:sz w:val="26"/>
                <w:szCs w:val="26"/>
              </w:rPr>
            </w:pPr>
            <w:r>
              <w:rPr>
                <w:sz w:val="21"/>
                <w:szCs w:val="21"/>
              </w:rPr>
              <w:t>SOC 2, ISO suite, FedRAMP, HIPAA, HITRUST, FINRA 17a-4, BSI C5, IRAP, TISAX, DESC, OSFI, DPDP, ISMS-P</w:t>
            </w:r>
          </w:p>
        </w:tc>
        <w:tc>
          <w:tcPr>
            <w:tcW w:w="1612" w:type="dxa"/>
            <w:tcBorders>
              <w:bottom w:val="single" w:sz="4" w:space="0" w:color="D0D8E4"/>
            </w:tcBorders>
            <w:shd w:val="clear" w:color="auto" w:fill="FFFFFF"/>
          </w:tcPr>
          <w:p w14:paraId="0960E480" w14:textId="77777777" w:rsidR="00EB3114" w:rsidRDefault="00000000">
            <w:pPr>
              <w:spacing w:after="100"/>
              <w:rPr>
                <w:sz w:val="26"/>
                <w:szCs w:val="26"/>
              </w:rPr>
            </w:pPr>
            <w:r>
              <w:rPr>
                <w:color w:val="2E8B57"/>
                <w:sz w:val="21"/>
                <w:szCs w:val="21"/>
              </w:rPr>
              <w:t>$1B+ market access; 13 certs; IPO S-1 cited</w:t>
            </w:r>
          </w:p>
        </w:tc>
      </w:tr>
      <w:tr w:rsidR="00EB3114" w14:paraId="1BAF14CB" w14:textId="77777777">
        <w:tc>
          <w:tcPr>
            <w:tcW w:w="2185" w:type="dxa"/>
            <w:tcBorders>
              <w:bottom w:val="single" w:sz="4" w:space="0" w:color="D0D8E4"/>
            </w:tcBorders>
            <w:shd w:val="clear" w:color="auto" w:fill="FFFFFF"/>
          </w:tcPr>
          <w:p w14:paraId="30C53E51" w14:textId="77777777" w:rsidR="00EB3114" w:rsidRDefault="00000000">
            <w:pPr>
              <w:spacing w:after="100"/>
              <w:rPr>
                <w:sz w:val="26"/>
                <w:szCs w:val="26"/>
              </w:rPr>
            </w:pPr>
            <w:r>
              <w:rPr>
                <w:sz w:val="21"/>
                <w:szCs w:val="21"/>
              </w:rPr>
              <w:t>AI / Revenue Intelligence</w:t>
            </w:r>
          </w:p>
        </w:tc>
        <w:tc>
          <w:tcPr>
            <w:tcW w:w="1639" w:type="dxa"/>
            <w:tcBorders>
              <w:bottom w:val="single" w:sz="4" w:space="0" w:color="D0D8E4"/>
            </w:tcBorders>
            <w:shd w:val="clear" w:color="auto" w:fill="FFFFFF"/>
          </w:tcPr>
          <w:p w14:paraId="19F467C5" w14:textId="77777777" w:rsidR="00EB3114" w:rsidRDefault="00000000">
            <w:pPr>
              <w:spacing w:after="100"/>
              <w:rPr>
                <w:sz w:val="26"/>
                <w:szCs w:val="26"/>
              </w:rPr>
            </w:pPr>
            <w:r>
              <w:rPr>
                <w:sz w:val="21"/>
                <w:szCs w:val="21"/>
              </w:rPr>
              <w:t>People.ai ($1.1B unicorn)</w:t>
            </w:r>
          </w:p>
        </w:tc>
        <w:tc>
          <w:tcPr>
            <w:tcW w:w="1230" w:type="dxa"/>
            <w:tcBorders>
              <w:bottom w:val="single" w:sz="4" w:space="0" w:color="D0D8E4"/>
            </w:tcBorders>
            <w:shd w:val="clear" w:color="auto" w:fill="FFFFFF"/>
          </w:tcPr>
          <w:p w14:paraId="503DA8D6" w14:textId="77777777" w:rsidR="00EB3114" w:rsidRDefault="00000000">
            <w:pPr>
              <w:spacing w:after="100"/>
              <w:rPr>
                <w:sz w:val="26"/>
                <w:szCs w:val="26"/>
              </w:rPr>
            </w:pPr>
            <w:r>
              <w:rPr>
                <w:sz w:val="21"/>
                <w:szCs w:val="21"/>
              </w:rPr>
              <w:t>Series C / unicorn</w:t>
            </w:r>
          </w:p>
        </w:tc>
        <w:tc>
          <w:tcPr>
            <w:tcW w:w="3414" w:type="dxa"/>
            <w:tcBorders>
              <w:bottom w:val="single" w:sz="4" w:space="0" w:color="D0D8E4"/>
            </w:tcBorders>
            <w:shd w:val="clear" w:color="auto" w:fill="FFFFFF"/>
          </w:tcPr>
          <w:p w14:paraId="68830364" w14:textId="77777777" w:rsidR="00EB3114" w:rsidRDefault="00000000">
            <w:pPr>
              <w:spacing w:after="100"/>
              <w:rPr>
                <w:sz w:val="26"/>
                <w:szCs w:val="26"/>
              </w:rPr>
            </w:pPr>
            <w:r>
              <w:rPr>
                <w:sz w:val="21"/>
                <w:szCs w:val="21"/>
              </w:rPr>
              <w:t>SOC 2, ISO 27001/17/18/701, CSA STAR</w:t>
            </w:r>
          </w:p>
        </w:tc>
        <w:tc>
          <w:tcPr>
            <w:tcW w:w="1612" w:type="dxa"/>
            <w:tcBorders>
              <w:bottom w:val="single" w:sz="4" w:space="0" w:color="D0D8E4"/>
            </w:tcBorders>
            <w:shd w:val="clear" w:color="auto" w:fill="FFFFFF"/>
          </w:tcPr>
          <w:p w14:paraId="0525F184" w14:textId="77777777" w:rsidR="00EB3114" w:rsidRDefault="00000000">
            <w:pPr>
              <w:spacing w:after="100"/>
              <w:rPr>
                <w:sz w:val="26"/>
                <w:szCs w:val="26"/>
              </w:rPr>
            </w:pPr>
            <w:r>
              <w:rPr>
                <w:color w:val="2E8B57"/>
                <w:sz w:val="21"/>
                <w:szCs w:val="21"/>
              </w:rPr>
              <w:t>Zero-to-one; 6 certs; enterprise pipeline unblocked</w:t>
            </w:r>
          </w:p>
        </w:tc>
      </w:tr>
      <w:tr w:rsidR="00EB3114" w14:paraId="744A1479" w14:textId="77777777">
        <w:tc>
          <w:tcPr>
            <w:tcW w:w="2185" w:type="dxa"/>
            <w:tcBorders>
              <w:bottom w:val="single" w:sz="4" w:space="0" w:color="D0D8E4"/>
            </w:tcBorders>
            <w:shd w:val="clear" w:color="auto" w:fill="FFFFFF"/>
          </w:tcPr>
          <w:p w14:paraId="26BD804C" w14:textId="77777777" w:rsidR="00EB3114" w:rsidRDefault="00000000">
            <w:pPr>
              <w:spacing w:after="100"/>
              <w:rPr>
                <w:sz w:val="26"/>
                <w:szCs w:val="26"/>
              </w:rPr>
            </w:pPr>
            <w:r>
              <w:rPr>
                <w:sz w:val="21"/>
                <w:szCs w:val="21"/>
              </w:rPr>
              <w:t>Enterprise Search &amp; Obs.</w:t>
            </w:r>
          </w:p>
        </w:tc>
        <w:tc>
          <w:tcPr>
            <w:tcW w:w="1639" w:type="dxa"/>
            <w:tcBorders>
              <w:bottom w:val="single" w:sz="4" w:space="0" w:color="D0D8E4"/>
            </w:tcBorders>
            <w:shd w:val="clear" w:color="auto" w:fill="FFFFFF"/>
          </w:tcPr>
          <w:p w14:paraId="4EEFA133" w14:textId="77777777" w:rsidR="00EB3114" w:rsidRDefault="00000000">
            <w:pPr>
              <w:spacing w:after="100"/>
              <w:rPr>
                <w:sz w:val="26"/>
                <w:szCs w:val="26"/>
              </w:rPr>
            </w:pPr>
            <w:r>
              <w:rPr>
                <w:sz w:val="21"/>
                <w:szCs w:val="21"/>
              </w:rPr>
              <w:t>Elastic (NYSE: ESTC)</w:t>
            </w:r>
          </w:p>
        </w:tc>
        <w:tc>
          <w:tcPr>
            <w:tcW w:w="1230" w:type="dxa"/>
            <w:tcBorders>
              <w:bottom w:val="single" w:sz="4" w:space="0" w:color="D0D8E4"/>
            </w:tcBorders>
            <w:shd w:val="clear" w:color="auto" w:fill="FFFFFF"/>
          </w:tcPr>
          <w:p w14:paraId="5A080734" w14:textId="77777777" w:rsidR="00EB3114" w:rsidRDefault="00000000">
            <w:pPr>
              <w:spacing w:after="100"/>
              <w:rPr>
                <w:sz w:val="26"/>
                <w:szCs w:val="26"/>
              </w:rPr>
            </w:pPr>
            <w:r>
              <w:rPr>
                <w:sz w:val="21"/>
                <w:szCs w:val="21"/>
              </w:rPr>
              <w:t>NYSE-listed / scaling</w:t>
            </w:r>
          </w:p>
        </w:tc>
        <w:tc>
          <w:tcPr>
            <w:tcW w:w="3414" w:type="dxa"/>
            <w:tcBorders>
              <w:bottom w:val="single" w:sz="4" w:space="0" w:color="D0D8E4"/>
            </w:tcBorders>
            <w:shd w:val="clear" w:color="auto" w:fill="FFFFFF"/>
          </w:tcPr>
          <w:p w14:paraId="01094264" w14:textId="77777777" w:rsidR="00EB3114" w:rsidRDefault="00000000">
            <w:pPr>
              <w:spacing w:after="100"/>
              <w:rPr>
                <w:sz w:val="26"/>
                <w:szCs w:val="26"/>
              </w:rPr>
            </w:pPr>
            <w:r>
              <w:rPr>
                <w:sz w:val="21"/>
                <w:szCs w:val="21"/>
              </w:rPr>
              <w:t>ISO 27001/17/18, FedRAMP, SOC 2</w:t>
            </w:r>
          </w:p>
        </w:tc>
        <w:tc>
          <w:tcPr>
            <w:tcW w:w="1612" w:type="dxa"/>
            <w:tcBorders>
              <w:bottom w:val="single" w:sz="4" w:space="0" w:color="D0D8E4"/>
            </w:tcBorders>
            <w:shd w:val="clear" w:color="auto" w:fill="FFFFFF"/>
          </w:tcPr>
          <w:p w14:paraId="5B44AA67" w14:textId="77777777" w:rsidR="00EB3114" w:rsidRDefault="00000000">
            <w:pPr>
              <w:spacing w:after="100"/>
              <w:rPr>
                <w:sz w:val="26"/>
                <w:szCs w:val="26"/>
              </w:rPr>
            </w:pPr>
            <w:r>
              <w:rPr>
                <w:color w:val="2E8B57"/>
                <w:sz w:val="21"/>
                <w:szCs w:val="21"/>
              </w:rPr>
              <w:t>First ISO certs; $271.7M revenue cited in 10-K; first federal market</w:t>
            </w:r>
          </w:p>
        </w:tc>
      </w:tr>
      <w:tr w:rsidR="00EB3114" w14:paraId="736293E4" w14:textId="77777777">
        <w:tc>
          <w:tcPr>
            <w:tcW w:w="2185" w:type="dxa"/>
            <w:tcBorders>
              <w:bottom w:val="single" w:sz="4" w:space="0" w:color="D0D8E4"/>
            </w:tcBorders>
            <w:shd w:val="clear" w:color="auto" w:fill="FFFFFF"/>
          </w:tcPr>
          <w:p w14:paraId="59005034" w14:textId="77777777" w:rsidR="00EB3114" w:rsidRDefault="00000000">
            <w:pPr>
              <w:spacing w:after="100"/>
              <w:rPr>
                <w:sz w:val="26"/>
                <w:szCs w:val="26"/>
              </w:rPr>
            </w:pPr>
            <w:r>
              <w:rPr>
                <w:sz w:val="21"/>
                <w:szCs w:val="21"/>
              </w:rPr>
              <w:t>Managed Care / M&amp;A</w:t>
            </w:r>
          </w:p>
        </w:tc>
        <w:tc>
          <w:tcPr>
            <w:tcW w:w="1639" w:type="dxa"/>
            <w:tcBorders>
              <w:bottom w:val="single" w:sz="4" w:space="0" w:color="D0D8E4"/>
            </w:tcBorders>
            <w:shd w:val="clear" w:color="auto" w:fill="FFFFFF"/>
          </w:tcPr>
          <w:p w14:paraId="7C11CA9B" w14:textId="77777777" w:rsidR="00EB3114" w:rsidRDefault="00000000">
            <w:pPr>
              <w:spacing w:after="100"/>
              <w:rPr>
                <w:sz w:val="26"/>
                <w:szCs w:val="26"/>
              </w:rPr>
            </w:pPr>
            <w:r>
              <w:rPr>
                <w:sz w:val="21"/>
                <w:szCs w:val="21"/>
              </w:rPr>
              <w:t>Aetna / CVS Health (CVS)</w:t>
            </w:r>
          </w:p>
        </w:tc>
        <w:tc>
          <w:tcPr>
            <w:tcW w:w="1230" w:type="dxa"/>
            <w:tcBorders>
              <w:bottom w:val="single" w:sz="4" w:space="0" w:color="D0D8E4"/>
            </w:tcBorders>
            <w:shd w:val="clear" w:color="auto" w:fill="FFFFFF"/>
          </w:tcPr>
          <w:p w14:paraId="519695D7" w14:textId="77777777" w:rsidR="00EB3114" w:rsidRDefault="00000000">
            <w:pPr>
              <w:spacing w:after="100"/>
              <w:rPr>
                <w:sz w:val="26"/>
                <w:szCs w:val="26"/>
              </w:rPr>
            </w:pPr>
            <w:r>
              <w:rPr>
                <w:sz w:val="21"/>
                <w:szCs w:val="21"/>
              </w:rPr>
              <w:t>Fortune 5 / merger</w:t>
            </w:r>
          </w:p>
        </w:tc>
        <w:tc>
          <w:tcPr>
            <w:tcW w:w="3414" w:type="dxa"/>
            <w:tcBorders>
              <w:bottom w:val="single" w:sz="4" w:space="0" w:color="D0D8E4"/>
            </w:tcBorders>
            <w:shd w:val="clear" w:color="auto" w:fill="FFFFFF"/>
          </w:tcPr>
          <w:p w14:paraId="18FF4AED" w14:textId="77777777" w:rsidR="00EB3114" w:rsidRDefault="00000000">
            <w:pPr>
              <w:spacing w:after="100"/>
              <w:rPr>
                <w:sz w:val="26"/>
                <w:szCs w:val="26"/>
              </w:rPr>
            </w:pPr>
            <w:r>
              <w:rPr>
                <w:sz w:val="21"/>
                <w:szCs w:val="21"/>
              </w:rPr>
              <w:t>HIPAA, enterprise security architecture</w:t>
            </w:r>
          </w:p>
        </w:tc>
        <w:tc>
          <w:tcPr>
            <w:tcW w:w="1612" w:type="dxa"/>
            <w:tcBorders>
              <w:bottom w:val="single" w:sz="4" w:space="0" w:color="D0D8E4"/>
            </w:tcBorders>
            <w:shd w:val="clear" w:color="auto" w:fill="FFFFFF"/>
          </w:tcPr>
          <w:p w14:paraId="14EA1634" w14:textId="77777777" w:rsidR="00EB3114" w:rsidRDefault="00000000">
            <w:pPr>
              <w:spacing w:after="100"/>
              <w:rPr>
                <w:sz w:val="26"/>
                <w:szCs w:val="26"/>
              </w:rPr>
            </w:pPr>
            <w:r>
              <w:rPr>
                <w:color w:val="2E8B57"/>
                <w:sz w:val="21"/>
                <w:szCs w:val="21"/>
              </w:rPr>
              <w:t>Merger integration; PHI at Fortune 5 scale</w:t>
            </w:r>
          </w:p>
        </w:tc>
      </w:tr>
      <w:tr w:rsidR="00EB3114" w14:paraId="71CA1DCB" w14:textId="77777777">
        <w:tc>
          <w:tcPr>
            <w:tcW w:w="2185" w:type="dxa"/>
            <w:tcBorders>
              <w:bottom w:val="single" w:sz="4" w:space="0" w:color="D0D8E4"/>
            </w:tcBorders>
            <w:shd w:val="clear" w:color="auto" w:fill="FFFFFF"/>
          </w:tcPr>
          <w:p w14:paraId="27D08B37" w14:textId="77777777" w:rsidR="00EB3114" w:rsidRDefault="00000000">
            <w:pPr>
              <w:spacing w:after="100"/>
              <w:rPr>
                <w:sz w:val="26"/>
                <w:szCs w:val="26"/>
              </w:rPr>
            </w:pPr>
            <w:r>
              <w:rPr>
                <w:sz w:val="21"/>
                <w:szCs w:val="21"/>
              </w:rPr>
              <w:t>Healthcare Analytics SaaS</w:t>
            </w:r>
          </w:p>
        </w:tc>
        <w:tc>
          <w:tcPr>
            <w:tcW w:w="1639" w:type="dxa"/>
            <w:tcBorders>
              <w:bottom w:val="single" w:sz="4" w:space="0" w:color="D0D8E4"/>
            </w:tcBorders>
            <w:shd w:val="clear" w:color="auto" w:fill="FFFFFF"/>
          </w:tcPr>
          <w:p w14:paraId="06797A5A" w14:textId="77777777" w:rsidR="00EB3114" w:rsidRDefault="00000000">
            <w:pPr>
              <w:spacing w:after="100"/>
              <w:rPr>
                <w:sz w:val="26"/>
                <w:szCs w:val="26"/>
              </w:rPr>
            </w:pPr>
            <w:r>
              <w:rPr>
                <w:sz w:val="21"/>
                <w:szCs w:val="21"/>
              </w:rPr>
              <w:t>Evariant (Private)</w:t>
            </w:r>
          </w:p>
        </w:tc>
        <w:tc>
          <w:tcPr>
            <w:tcW w:w="1230" w:type="dxa"/>
            <w:tcBorders>
              <w:bottom w:val="single" w:sz="4" w:space="0" w:color="D0D8E4"/>
            </w:tcBorders>
            <w:shd w:val="clear" w:color="auto" w:fill="FFFFFF"/>
          </w:tcPr>
          <w:p w14:paraId="7D57791A" w14:textId="77777777" w:rsidR="00EB3114" w:rsidRDefault="00000000">
            <w:pPr>
              <w:spacing w:after="100"/>
              <w:rPr>
                <w:sz w:val="26"/>
                <w:szCs w:val="26"/>
              </w:rPr>
            </w:pPr>
            <w:r>
              <w:rPr>
                <w:sz w:val="21"/>
                <w:szCs w:val="21"/>
              </w:rPr>
              <w:t>Growth stage / SaaS</w:t>
            </w:r>
          </w:p>
        </w:tc>
        <w:tc>
          <w:tcPr>
            <w:tcW w:w="3414" w:type="dxa"/>
            <w:tcBorders>
              <w:bottom w:val="single" w:sz="4" w:space="0" w:color="D0D8E4"/>
            </w:tcBorders>
            <w:shd w:val="clear" w:color="auto" w:fill="FFFFFF"/>
          </w:tcPr>
          <w:p w14:paraId="1FCDD34F" w14:textId="77777777" w:rsidR="00EB3114" w:rsidRDefault="00000000">
            <w:pPr>
              <w:spacing w:after="100"/>
              <w:rPr>
                <w:sz w:val="26"/>
                <w:szCs w:val="26"/>
              </w:rPr>
            </w:pPr>
            <w:r>
              <w:rPr>
                <w:sz w:val="21"/>
                <w:szCs w:val="21"/>
              </w:rPr>
              <w:t>HIPAA Security + Privacy Rules</w:t>
            </w:r>
          </w:p>
        </w:tc>
        <w:tc>
          <w:tcPr>
            <w:tcW w:w="1612" w:type="dxa"/>
            <w:tcBorders>
              <w:bottom w:val="single" w:sz="4" w:space="0" w:color="D0D8E4"/>
            </w:tcBorders>
            <w:shd w:val="clear" w:color="auto" w:fill="FFFFFF"/>
          </w:tcPr>
          <w:p w14:paraId="363030BA" w14:textId="77777777" w:rsidR="00EB3114" w:rsidRDefault="00000000">
            <w:pPr>
              <w:spacing w:after="100"/>
              <w:rPr>
                <w:sz w:val="26"/>
                <w:szCs w:val="26"/>
              </w:rPr>
            </w:pPr>
            <w:r>
              <w:rPr>
                <w:color w:val="2E8B57"/>
                <w:sz w:val="21"/>
                <w:szCs w:val="21"/>
              </w:rPr>
              <w:t>50+ hospital networks; PHI on AWS/Hadoop/Salesforce</w:t>
            </w:r>
          </w:p>
        </w:tc>
      </w:tr>
      <w:tr w:rsidR="00EB3114" w14:paraId="3E203322" w14:textId="77777777">
        <w:tc>
          <w:tcPr>
            <w:tcW w:w="2185" w:type="dxa"/>
            <w:tcBorders>
              <w:bottom w:val="single" w:sz="4" w:space="0" w:color="D0D8E4"/>
            </w:tcBorders>
            <w:shd w:val="clear" w:color="auto" w:fill="FFFFFF"/>
          </w:tcPr>
          <w:p w14:paraId="71E5E6DC" w14:textId="77777777" w:rsidR="00EB3114" w:rsidRDefault="00000000">
            <w:pPr>
              <w:spacing w:after="100"/>
              <w:rPr>
                <w:sz w:val="26"/>
                <w:szCs w:val="26"/>
              </w:rPr>
            </w:pPr>
            <w:r>
              <w:rPr>
                <w:sz w:val="21"/>
                <w:szCs w:val="21"/>
              </w:rPr>
              <w:t>Non-profit Health System</w:t>
            </w:r>
          </w:p>
        </w:tc>
        <w:tc>
          <w:tcPr>
            <w:tcW w:w="1639" w:type="dxa"/>
            <w:tcBorders>
              <w:bottom w:val="single" w:sz="4" w:space="0" w:color="D0D8E4"/>
            </w:tcBorders>
            <w:shd w:val="clear" w:color="auto" w:fill="FFFFFF"/>
          </w:tcPr>
          <w:p w14:paraId="1BD67857" w14:textId="77777777" w:rsidR="00EB3114" w:rsidRDefault="00000000">
            <w:pPr>
              <w:spacing w:after="100"/>
              <w:rPr>
                <w:sz w:val="26"/>
                <w:szCs w:val="26"/>
              </w:rPr>
            </w:pPr>
            <w:r>
              <w:rPr>
                <w:sz w:val="21"/>
                <w:szCs w:val="21"/>
              </w:rPr>
              <w:t>Saint Mary's / Trinity Health</w:t>
            </w:r>
          </w:p>
        </w:tc>
        <w:tc>
          <w:tcPr>
            <w:tcW w:w="1230" w:type="dxa"/>
            <w:tcBorders>
              <w:bottom w:val="single" w:sz="4" w:space="0" w:color="D0D8E4"/>
            </w:tcBorders>
            <w:shd w:val="clear" w:color="auto" w:fill="FFFFFF"/>
          </w:tcPr>
          <w:p w14:paraId="0DD3632C" w14:textId="77777777" w:rsidR="00EB3114" w:rsidRDefault="00000000">
            <w:pPr>
              <w:spacing w:after="100"/>
              <w:rPr>
                <w:sz w:val="26"/>
                <w:szCs w:val="26"/>
              </w:rPr>
            </w:pPr>
            <w:r>
              <w:rPr>
                <w:sz w:val="21"/>
                <w:szCs w:val="21"/>
              </w:rPr>
              <w:t>Health system</w:t>
            </w:r>
          </w:p>
        </w:tc>
        <w:tc>
          <w:tcPr>
            <w:tcW w:w="3414" w:type="dxa"/>
            <w:tcBorders>
              <w:bottom w:val="single" w:sz="4" w:space="0" w:color="D0D8E4"/>
            </w:tcBorders>
            <w:shd w:val="clear" w:color="auto" w:fill="FFFFFF"/>
          </w:tcPr>
          <w:p w14:paraId="01903FFE" w14:textId="77777777" w:rsidR="00EB3114" w:rsidRDefault="00000000">
            <w:pPr>
              <w:spacing w:after="100"/>
              <w:rPr>
                <w:sz w:val="26"/>
                <w:szCs w:val="26"/>
              </w:rPr>
            </w:pPr>
            <w:r>
              <w:rPr>
                <w:sz w:val="21"/>
                <w:szCs w:val="21"/>
              </w:rPr>
              <w:t>HIPAA, CMS, federal audit readiness</w:t>
            </w:r>
          </w:p>
        </w:tc>
        <w:tc>
          <w:tcPr>
            <w:tcW w:w="1612" w:type="dxa"/>
            <w:tcBorders>
              <w:bottom w:val="single" w:sz="4" w:space="0" w:color="D0D8E4"/>
            </w:tcBorders>
            <w:shd w:val="clear" w:color="auto" w:fill="FFFFFF"/>
          </w:tcPr>
          <w:p w14:paraId="15F39ECF" w14:textId="77777777" w:rsidR="00EB3114" w:rsidRDefault="00000000">
            <w:pPr>
              <w:spacing w:after="100"/>
              <w:rPr>
                <w:sz w:val="26"/>
                <w:szCs w:val="26"/>
              </w:rPr>
            </w:pPr>
            <w:r>
              <w:rPr>
                <w:color w:val="2E8B57"/>
                <w:sz w:val="21"/>
                <w:szCs w:val="21"/>
              </w:rPr>
              <w:t>First CISO role; IAM, BCDR, federal readiness from zero</w:t>
            </w:r>
          </w:p>
        </w:tc>
      </w:tr>
      <w:tr w:rsidR="00EB3114" w14:paraId="561EAB89" w14:textId="77777777">
        <w:tc>
          <w:tcPr>
            <w:tcW w:w="2185" w:type="dxa"/>
            <w:tcBorders>
              <w:bottom w:val="single" w:sz="4" w:space="0" w:color="D0D8E4"/>
            </w:tcBorders>
            <w:shd w:val="clear" w:color="auto" w:fill="FFFFFF"/>
          </w:tcPr>
          <w:p w14:paraId="74566CB6" w14:textId="77777777" w:rsidR="00EB3114" w:rsidRDefault="00000000">
            <w:pPr>
              <w:spacing w:after="100"/>
              <w:rPr>
                <w:sz w:val="26"/>
                <w:szCs w:val="26"/>
              </w:rPr>
            </w:pPr>
            <w:r>
              <w:rPr>
                <w:sz w:val="21"/>
                <w:szCs w:val="21"/>
              </w:rPr>
              <w:t>Higher Education</w:t>
            </w:r>
          </w:p>
        </w:tc>
        <w:tc>
          <w:tcPr>
            <w:tcW w:w="1639" w:type="dxa"/>
            <w:tcBorders>
              <w:bottom w:val="single" w:sz="4" w:space="0" w:color="D0D8E4"/>
            </w:tcBorders>
            <w:shd w:val="clear" w:color="auto" w:fill="FFFFFF"/>
          </w:tcPr>
          <w:p w14:paraId="3295840B" w14:textId="77777777" w:rsidR="00EB3114" w:rsidRDefault="00000000">
            <w:pPr>
              <w:spacing w:after="100"/>
              <w:rPr>
                <w:sz w:val="26"/>
                <w:szCs w:val="26"/>
              </w:rPr>
            </w:pPr>
            <w:r>
              <w:rPr>
                <w:sz w:val="21"/>
                <w:szCs w:val="21"/>
              </w:rPr>
              <w:t>The Ohio State University</w:t>
            </w:r>
          </w:p>
        </w:tc>
        <w:tc>
          <w:tcPr>
            <w:tcW w:w="1230" w:type="dxa"/>
            <w:tcBorders>
              <w:bottom w:val="single" w:sz="4" w:space="0" w:color="D0D8E4"/>
            </w:tcBorders>
            <w:shd w:val="clear" w:color="auto" w:fill="FFFFFF"/>
          </w:tcPr>
          <w:p w14:paraId="2CF772A3" w14:textId="77777777" w:rsidR="00EB3114" w:rsidRDefault="00000000">
            <w:pPr>
              <w:spacing w:after="100"/>
              <w:rPr>
                <w:sz w:val="26"/>
                <w:szCs w:val="26"/>
              </w:rPr>
            </w:pPr>
            <w:r>
              <w:rPr>
                <w:sz w:val="21"/>
                <w:szCs w:val="21"/>
              </w:rPr>
              <w:t>Public university / research</w:t>
            </w:r>
          </w:p>
        </w:tc>
        <w:tc>
          <w:tcPr>
            <w:tcW w:w="3414" w:type="dxa"/>
            <w:tcBorders>
              <w:bottom w:val="single" w:sz="4" w:space="0" w:color="D0D8E4"/>
            </w:tcBorders>
            <w:shd w:val="clear" w:color="auto" w:fill="FFFFFF"/>
          </w:tcPr>
          <w:p w14:paraId="2BF5AC7C" w14:textId="77777777" w:rsidR="00EB3114" w:rsidRDefault="00000000">
            <w:pPr>
              <w:spacing w:after="100"/>
              <w:rPr>
                <w:sz w:val="26"/>
                <w:szCs w:val="26"/>
              </w:rPr>
            </w:pPr>
            <w:r>
              <w:rPr>
                <w:sz w:val="21"/>
                <w:szCs w:val="21"/>
              </w:rPr>
              <w:t>FERPA, federal research compliance, DLP</w:t>
            </w:r>
          </w:p>
        </w:tc>
        <w:tc>
          <w:tcPr>
            <w:tcW w:w="1612" w:type="dxa"/>
            <w:tcBorders>
              <w:bottom w:val="single" w:sz="4" w:space="0" w:color="D0D8E4"/>
            </w:tcBorders>
            <w:shd w:val="clear" w:color="auto" w:fill="FFFFFF"/>
          </w:tcPr>
          <w:p w14:paraId="0AE6DFA6" w14:textId="77777777" w:rsidR="00EB3114" w:rsidRDefault="00000000">
            <w:pPr>
              <w:spacing w:after="100"/>
              <w:rPr>
                <w:sz w:val="26"/>
                <w:szCs w:val="26"/>
              </w:rPr>
            </w:pPr>
            <w:r>
              <w:rPr>
                <w:color w:val="2E8B57"/>
                <w:sz w:val="21"/>
                <w:szCs w:val="21"/>
              </w:rPr>
              <w:t>$3M DLP; 100K+ incidents remediated</w:t>
            </w:r>
          </w:p>
        </w:tc>
      </w:tr>
      <w:tr w:rsidR="00EB3114" w14:paraId="5946CCF7" w14:textId="77777777">
        <w:tc>
          <w:tcPr>
            <w:tcW w:w="2185" w:type="dxa"/>
            <w:tcBorders>
              <w:bottom w:val="single" w:sz="4" w:space="0" w:color="D0D8E4"/>
            </w:tcBorders>
            <w:shd w:val="clear" w:color="auto" w:fill="FFFFFF"/>
          </w:tcPr>
          <w:p w14:paraId="71A78481" w14:textId="77777777" w:rsidR="00EB3114" w:rsidRDefault="00000000">
            <w:pPr>
              <w:spacing w:after="100"/>
              <w:rPr>
                <w:sz w:val="26"/>
                <w:szCs w:val="26"/>
              </w:rPr>
            </w:pPr>
            <w:r>
              <w:rPr>
                <w:sz w:val="21"/>
                <w:szCs w:val="21"/>
              </w:rPr>
              <w:t>Financial Services</w:t>
            </w:r>
          </w:p>
        </w:tc>
        <w:tc>
          <w:tcPr>
            <w:tcW w:w="1639" w:type="dxa"/>
            <w:tcBorders>
              <w:bottom w:val="single" w:sz="4" w:space="0" w:color="D0D8E4"/>
            </w:tcBorders>
            <w:shd w:val="clear" w:color="auto" w:fill="FFFFFF"/>
          </w:tcPr>
          <w:p w14:paraId="42932B9E" w14:textId="77777777" w:rsidR="00EB3114" w:rsidRDefault="00000000">
            <w:pPr>
              <w:spacing w:after="100"/>
              <w:rPr>
                <w:sz w:val="26"/>
                <w:szCs w:val="26"/>
              </w:rPr>
            </w:pPr>
            <w:r>
              <w:rPr>
                <w:sz w:val="21"/>
                <w:szCs w:val="21"/>
              </w:rPr>
              <w:t>Huntington National Bank</w:t>
            </w:r>
          </w:p>
        </w:tc>
        <w:tc>
          <w:tcPr>
            <w:tcW w:w="1230" w:type="dxa"/>
            <w:tcBorders>
              <w:bottom w:val="single" w:sz="4" w:space="0" w:color="D0D8E4"/>
            </w:tcBorders>
            <w:shd w:val="clear" w:color="auto" w:fill="FFFFFF"/>
          </w:tcPr>
          <w:p w14:paraId="22FD35D3" w14:textId="77777777" w:rsidR="00EB3114" w:rsidRDefault="00000000">
            <w:pPr>
              <w:spacing w:after="100"/>
              <w:rPr>
                <w:sz w:val="26"/>
                <w:szCs w:val="26"/>
              </w:rPr>
            </w:pPr>
            <w:r>
              <w:rPr>
                <w:sz w:val="21"/>
                <w:szCs w:val="21"/>
              </w:rPr>
              <w:t>Regional bank</w:t>
            </w:r>
          </w:p>
        </w:tc>
        <w:tc>
          <w:tcPr>
            <w:tcW w:w="3414" w:type="dxa"/>
            <w:tcBorders>
              <w:bottom w:val="single" w:sz="4" w:space="0" w:color="D0D8E4"/>
            </w:tcBorders>
            <w:shd w:val="clear" w:color="auto" w:fill="FFFFFF"/>
          </w:tcPr>
          <w:p w14:paraId="6706A8EE" w14:textId="77777777" w:rsidR="00EB3114" w:rsidRDefault="00000000">
            <w:pPr>
              <w:spacing w:after="100"/>
              <w:rPr>
                <w:sz w:val="26"/>
                <w:szCs w:val="26"/>
              </w:rPr>
            </w:pPr>
            <w:r>
              <w:rPr>
                <w:sz w:val="21"/>
                <w:szCs w:val="21"/>
              </w:rPr>
              <w:t>GLBA, SOX awareness, financial security</w:t>
            </w:r>
          </w:p>
        </w:tc>
        <w:tc>
          <w:tcPr>
            <w:tcW w:w="1612" w:type="dxa"/>
            <w:tcBorders>
              <w:bottom w:val="single" w:sz="4" w:space="0" w:color="D0D8E4"/>
            </w:tcBorders>
            <w:shd w:val="clear" w:color="auto" w:fill="FFFFFF"/>
          </w:tcPr>
          <w:p w14:paraId="058BA508" w14:textId="77777777" w:rsidR="00EB3114" w:rsidRDefault="00000000">
            <w:pPr>
              <w:spacing w:after="100"/>
              <w:rPr>
                <w:sz w:val="26"/>
                <w:szCs w:val="26"/>
              </w:rPr>
            </w:pPr>
            <w:r>
              <w:rPr>
                <w:color w:val="2E8B57"/>
                <w:sz w:val="21"/>
                <w:szCs w:val="21"/>
              </w:rPr>
              <w:t>Concurrent financial services security operations</w:t>
            </w:r>
          </w:p>
        </w:tc>
      </w:tr>
    </w:tbl>
    <w:p w14:paraId="0C320E41" w14:textId="77777777" w:rsidR="00EB3114" w:rsidRDefault="00EB3114">
      <w:pPr>
        <w:spacing w:after="100"/>
      </w:pPr>
    </w:p>
    <w:p w14:paraId="77598404" w14:textId="77777777" w:rsidR="00EB3114" w:rsidRDefault="00EB3114">
      <w:pPr>
        <w:spacing w:after="100"/>
      </w:pPr>
    </w:p>
    <w:p w14:paraId="402A7454" w14:textId="77777777" w:rsidR="00EB3114" w:rsidRDefault="00EB3114">
      <w:pPr>
        <w:spacing w:after="100"/>
      </w:pPr>
    </w:p>
    <w:p w14:paraId="37BDA37E" w14:textId="77777777" w:rsidR="00EB3114" w:rsidRDefault="00EB3114">
      <w:pPr>
        <w:spacing w:after="100"/>
      </w:pPr>
    </w:p>
    <w:p w14:paraId="0135DE9C" w14:textId="77777777" w:rsidR="00EB3114" w:rsidRDefault="00EB3114">
      <w:pPr>
        <w:spacing w:after="100"/>
      </w:pPr>
    </w:p>
    <w:p w14:paraId="0AA9C53E" w14:textId="77777777" w:rsidR="00EB3114" w:rsidRDefault="00EB3114">
      <w:pPr>
        <w:spacing w:after="100"/>
      </w:pPr>
    </w:p>
    <w:p w14:paraId="2E008257"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COORDINATED COMPLIANCE: FULL METHODOLOGY</w:t>
      </w:r>
    </w:p>
    <w:p w14:paraId="64950607"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44152880" w14:textId="77777777" w:rsidR="00EB3114" w:rsidRDefault="00000000">
      <w:pPr>
        <w:spacing w:after="100"/>
        <w:rPr>
          <w:rFonts w:ascii="Century Gothic" w:eastAsia="Century Gothic" w:hAnsi="Century Gothic" w:cs="Century Gothic"/>
          <w:sz w:val="18"/>
          <w:szCs w:val="18"/>
        </w:rPr>
      </w:pPr>
      <w:r>
        <w:rPr>
          <w:rFonts w:ascii="Century Gothic" w:eastAsia="Century Gothic" w:hAnsi="Century Gothic" w:cs="Century Gothic"/>
          <w:sz w:val="18"/>
          <w:szCs w:val="18"/>
        </w:rPr>
        <w:t>The methodology was developed through direct experience with what breaks standard compliance programs. The root cause is almost always the same: programs designed around audit artifacts rather than around the teams producing them.</w:t>
      </w:r>
    </w:p>
    <w:tbl>
      <w:tblPr>
        <w:tblStyle w:val="aff1"/>
        <w:tblW w:w="10079" w:type="dxa"/>
        <w:tblInd w:w="1" w:type="dxa"/>
        <w:tblLayout w:type="fixed"/>
        <w:tblLook w:val="0000" w:firstRow="0" w:lastRow="0" w:firstColumn="0" w:lastColumn="0" w:noHBand="0" w:noVBand="0"/>
      </w:tblPr>
      <w:tblGrid>
        <w:gridCol w:w="699"/>
        <w:gridCol w:w="9380"/>
      </w:tblGrid>
      <w:tr w:rsidR="00EB3114" w14:paraId="500BFB0D" w14:textId="77777777">
        <w:tc>
          <w:tcPr>
            <w:tcW w:w="699" w:type="dxa"/>
            <w:tcBorders>
              <w:left w:val="single" w:sz="4" w:space="0" w:color="2A9DB8"/>
            </w:tcBorders>
            <w:shd w:val="clear" w:color="auto" w:fill="FFFFFF"/>
            <w:tcMar>
              <w:left w:w="100" w:type="dxa"/>
              <w:right w:w="80" w:type="dxa"/>
            </w:tcMar>
            <w:vAlign w:val="center"/>
          </w:tcPr>
          <w:p w14:paraId="7ABF9282" w14:textId="77777777" w:rsidR="00EB3114" w:rsidRDefault="00000000">
            <w:pPr>
              <w:spacing w:after="100"/>
              <w:jc w:val="center"/>
            </w:pPr>
            <w:r>
              <w:rPr>
                <w:rFonts w:ascii="Cardo" w:eastAsia="Cardo" w:hAnsi="Cardo" w:cs="Cardo"/>
                <w:b/>
                <w:bCs/>
                <w:color w:val="2A9DB8"/>
                <w:sz w:val="32"/>
                <w:szCs w:val="32"/>
              </w:rPr>
              <w:t>α</w:t>
            </w:r>
          </w:p>
        </w:tc>
        <w:tc>
          <w:tcPr>
            <w:tcW w:w="9380" w:type="dxa"/>
            <w:shd w:val="clear" w:color="auto" w:fill="FFFFFF"/>
          </w:tcPr>
          <w:p w14:paraId="22648787"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2A9DB8"/>
                <w:sz w:val="22"/>
                <w:szCs w:val="22"/>
              </w:rPr>
              <w:t>Controls Consolidation</w:t>
            </w:r>
          </w:p>
          <w:p w14:paraId="05B01B17" w14:textId="77777777" w:rsidR="00EB3114" w:rsidRDefault="00000000">
            <w:pPr>
              <w:spacing w:after="80"/>
            </w:pPr>
            <w:r>
              <w:rPr>
                <w:rFonts w:ascii="Century Gothic" w:eastAsia="Century Gothic" w:hAnsi="Century Gothic" w:cs="Century Gothic"/>
                <w:sz w:val="17"/>
                <w:szCs w:val="17"/>
              </w:rPr>
              <w:t>Multiple frameworks are mapped into one simplified structure aligned to internal processes and policies. Evidence collected once, routed to every framework that needs it. Ask the team once. The answer travels. SOC 2, ISO 27001, HIPAA, NIST CSF, and CSA STAR share approximately 70–80% of their underlying requirements.</w:t>
            </w:r>
          </w:p>
        </w:tc>
      </w:tr>
      <w:tr w:rsidR="00EB3114" w14:paraId="6CDEB737" w14:textId="77777777">
        <w:tc>
          <w:tcPr>
            <w:tcW w:w="699" w:type="dxa"/>
            <w:tcBorders>
              <w:left w:val="single" w:sz="4" w:space="0" w:color="1A4A7A"/>
            </w:tcBorders>
            <w:shd w:val="clear" w:color="auto" w:fill="FFFFFF"/>
            <w:tcMar>
              <w:left w:w="100" w:type="dxa"/>
              <w:right w:w="80" w:type="dxa"/>
            </w:tcMar>
            <w:vAlign w:val="center"/>
          </w:tcPr>
          <w:p w14:paraId="76AAF650" w14:textId="77777777" w:rsidR="00EB3114" w:rsidRDefault="00000000">
            <w:pPr>
              <w:spacing w:after="100"/>
              <w:jc w:val="center"/>
            </w:pPr>
            <w:r>
              <w:rPr>
                <w:rFonts w:ascii="Cardo" w:eastAsia="Cardo" w:hAnsi="Cardo" w:cs="Cardo"/>
                <w:b/>
                <w:bCs/>
                <w:color w:val="1A4A7A"/>
                <w:sz w:val="32"/>
                <w:szCs w:val="32"/>
              </w:rPr>
              <w:t>β</w:t>
            </w:r>
          </w:p>
        </w:tc>
        <w:tc>
          <w:tcPr>
            <w:tcW w:w="9380" w:type="dxa"/>
            <w:shd w:val="clear" w:color="auto" w:fill="FFFFFF"/>
          </w:tcPr>
          <w:p w14:paraId="17B85E0A"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1A4A7A"/>
                <w:sz w:val="22"/>
                <w:szCs w:val="22"/>
              </w:rPr>
              <w:t>Cycle Synchronization</w:t>
            </w:r>
          </w:p>
          <w:p w14:paraId="16FC6C98" w14:textId="77777777" w:rsidR="00EB3114" w:rsidRDefault="00000000">
            <w:pPr>
              <w:spacing w:after="80"/>
            </w:pPr>
            <w:r>
              <w:rPr>
                <w:rFonts w:ascii="Century Gothic" w:eastAsia="Century Gothic" w:hAnsi="Century Gothic" w:cs="Century Gothic"/>
                <w:sz w:val="17"/>
                <w:szCs w:val="17"/>
              </w:rPr>
              <w:t>Audit windows are negotiated with all active auditors before field work begins. Multiple auditors from different firms run in parallel from the same evidence package. Year-round compliance burden compresses into a single focused sprint, 75% reduction in total cycle duration versus sequential audits.</w:t>
            </w:r>
          </w:p>
        </w:tc>
      </w:tr>
      <w:tr w:rsidR="00EB3114" w14:paraId="1995617F" w14:textId="77777777">
        <w:tc>
          <w:tcPr>
            <w:tcW w:w="699" w:type="dxa"/>
            <w:tcBorders>
              <w:left w:val="single" w:sz="4" w:space="0" w:color="8C5C0A"/>
            </w:tcBorders>
            <w:shd w:val="clear" w:color="auto" w:fill="FFFFFF"/>
            <w:tcMar>
              <w:left w:w="100" w:type="dxa"/>
              <w:right w:w="80" w:type="dxa"/>
            </w:tcMar>
            <w:vAlign w:val="center"/>
          </w:tcPr>
          <w:p w14:paraId="3727BB6E" w14:textId="77777777" w:rsidR="00EB3114" w:rsidRDefault="00000000">
            <w:pPr>
              <w:spacing w:after="100"/>
              <w:jc w:val="center"/>
            </w:pPr>
            <w:r>
              <w:rPr>
                <w:rFonts w:ascii="Cardo" w:eastAsia="Cardo" w:hAnsi="Cardo" w:cs="Cardo"/>
                <w:b/>
                <w:bCs/>
                <w:color w:val="8C5C0A"/>
                <w:sz w:val="32"/>
                <w:szCs w:val="32"/>
              </w:rPr>
              <w:t>γ</w:t>
            </w:r>
          </w:p>
        </w:tc>
        <w:tc>
          <w:tcPr>
            <w:tcW w:w="9380" w:type="dxa"/>
            <w:shd w:val="clear" w:color="auto" w:fill="FFFFFF"/>
          </w:tcPr>
          <w:p w14:paraId="0A4E4DF2"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8C5C0A"/>
                <w:sz w:val="22"/>
                <w:szCs w:val="22"/>
              </w:rPr>
              <w:t>Automated Evidence</w:t>
            </w:r>
          </w:p>
          <w:p w14:paraId="7910EE5D" w14:textId="77777777" w:rsidR="00EB3114" w:rsidRDefault="00000000">
            <w:pPr>
              <w:spacing w:after="80"/>
            </w:pPr>
            <w:r>
              <w:rPr>
                <w:rFonts w:ascii="Century Gothic" w:eastAsia="Century Gothic" w:hAnsi="Century Gothic" w:cs="Century Gothic"/>
                <w:sz w:val="17"/>
                <w:szCs w:val="17"/>
              </w:rPr>
              <w:t>Ask once, use it everywhere. JIRA workflows and Slack integrations route requests to control operators automatically. No spreadsheets. No chasing engineers mid-sprint. Average engineering time per control operator drops from 40 hours per cycle to 2 hours.</w:t>
            </w:r>
          </w:p>
        </w:tc>
      </w:tr>
      <w:tr w:rsidR="00EB3114" w14:paraId="0B0F3351" w14:textId="77777777">
        <w:tc>
          <w:tcPr>
            <w:tcW w:w="699" w:type="dxa"/>
            <w:tcBorders>
              <w:left w:val="single" w:sz="4" w:space="0" w:color="2E8B57"/>
            </w:tcBorders>
            <w:shd w:val="clear" w:color="auto" w:fill="FFFFFF"/>
            <w:tcMar>
              <w:left w:w="100" w:type="dxa"/>
              <w:right w:w="80" w:type="dxa"/>
            </w:tcMar>
            <w:vAlign w:val="center"/>
          </w:tcPr>
          <w:p w14:paraId="12C9F46B" w14:textId="77777777" w:rsidR="00EB3114" w:rsidRDefault="00000000">
            <w:pPr>
              <w:spacing w:after="100"/>
              <w:jc w:val="center"/>
            </w:pPr>
            <w:r>
              <w:rPr>
                <w:rFonts w:ascii="Cardo" w:eastAsia="Cardo" w:hAnsi="Cardo" w:cs="Cardo"/>
                <w:b/>
                <w:bCs/>
                <w:color w:val="2E8B57"/>
                <w:sz w:val="32"/>
                <w:szCs w:val="32"/>
              </w:rPr>
              <w:t>δ</w:t>
            </w:r>
          </w:p>
        </w:tc>
        <w:tc>
          <w:tcPr>
            <w:tcW w:w="9380" w:type="dxa"/>
            <w:shd w:val="clear" w:color="auto" w:fill="FFFFFF"/>
          </w:tcPr>
          <w:p w14:paraId="68B277F2"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2E8B57"/>
                <w:sz w:val="22"/>
                <w:szCs w:val="22"/>
              </w:rPr>
              <w:t>Revenue Alignment</w:t>
            </w:r>
          </w:p>
          <w:p w14:paraId="21B07F45" w14:textId="77777777" w:rsidR="00EB3114" w:rsidRDefault="00000000">
            <w:pPr>
              <w:spacing w:after="80"/>
            </w:pPr>
            <w:r>
              <w:rPr>
                <w:rFonts w:ascii="Century Gothic" w:eastAsia="Century Gothic" w:hAnsi="Century Gothic" w:cs="Century Gothic"/>
                <w:sz w:val="17"/>
                <w:szCs w:val="17"/>
              </w:rPr>
              <w:t>Every certification and regulatory decision maps to a specific deal pipeline entry or market segment, not to a security calendar. ISO 42001 was pursued because AI governance requirements were visible 18 months before customers started asking for it.</w:t>
            </w:r>
          </w:p>
        </w:tc>
      </w:tr>
      <w:tr w:rsidR="00EB3114" w14:paraId="404C3197" w14:textId="77777777">
        <w:tc>
          <w:tcPr>
            <w:tcW w:w="699" w:type="dxa"/>
            <w:tcBorders>
              <w:left w:val="single" w:sz="4" w:space="0" w:color="1A4A7A"/>
            </w:tcBorders>
            <w:shd w:val="clear" w:color="auto" w:fill="FFFFFF"/>
            <w:tcMar>
              <w:left w:w="100" w:type="dxa"/>
              <w:right w:w="80" w:type="dxa"/>
            </w:tcMar>
            <w:vAlign w:val="center"/>
          </w:tcPr>
          <w:p w14:paraId="61305535" w14:textId="77777777" w:rsidR="00EB3114" w:rsidRDefault="00000000">
            <w:pPr>
              <w:spacing w:after="100"/>
              <w:jc w:val="center"/>
            </w:pPr>
            <w:r>
              <w:rPr>
                <w:rFonts w:ascii="Cardo" w:eastAsia="Cardo" w:hAnsi="Cardo" w:cs="Cardo"/>
                <w:b/>
                <w:bCs/>
                <w:color w:val="1A4A7A"/>
                <w:sz w:val="32"/>
                <w:szCs w:val="32"/>
              </w:rPr>
              <w:t>ε</w:t>
            </w:r>
          </w:p>
        </w:tc>
        <w:tc>
          <w:tcPr>
            <w:tcW w:w="9380" w:type="dxa"/>
            <w:shd w:val="clear" w:color="auto" w:fill="FFFFFF"/>
          </w:tcPr>
          <w:p w14:paraId="1641C798" w14:textId="77777777" w:rsidR="00EB3114" w:rsidRDefault="00000000">
            <w:pPr>
              <w:spacing w:after="40"/>
              <w:rPr>
                <w:rFonts w:ascii="Century Gothic" w:eastAsia="Century Gothic" w:hAnsi="Century Gothic" w:cs="Century Gothic"/>
              </w:rPr>
            </w:pPr>
            <w:r>
              <w:rPr>
                <w:rFonts w:ascii="Century Gothic" w:eastAsia="Century Gothic" w:hAnsi="Century Gothic" w:cs="Century Gothic"/>
                <w:b/>
                <w:bCs/>
                <w:color w:val="1A4A7A"/>
                <w:sz w:val="22"/>
                <w:szCs w:val="22"/>
              </w:rPr>
              <w:t>Continuous Monitoring</w:t>
            </w:r>
          </w:p>
          <w:p w14:paraId="7492D6ED" w14:textId="77777777" w:rsidR="00EB3114" w:rsidRDefault="00000000">
            <w:pPr>
              <w:spacing w:after="80"/>
            </w:pPr>
            <w:r>
              <w:rPr>
                <w:rFonts w:ascii="Century Gothic" w:eastAsia="Century Gothic" w:hAnsi="Century Gothic" w:cs="Century Gothic"/>
                <w:sz w:val="17"/>
                <w:szCs w:val="17"/>
              </w:rPr>
              <w:t>Controls are checked continuously between audit cycles. By audit time, evidence is retrieved, not collected. Certification becomes an announcement, not a burden. This is how 13 active certifications are maintained by a team of 5.</w:t>
            </w:r>
          </w:p>
        </w:tc>
      </w:tr>
    </w:tbl>
    <w:p w14:paraId="4617527C" w14:textId="77777777" w:rsidR="00EB3114" w:rsidRDefault="00EB3114">
      <w:pPr>
        <w:spacing w:before="160" w:after="60"/>
        <w:rPr>
          <w:rFonts w:ascii="Century Gothic" w:eastAsia="Century Gothic" w:hAnsi="Century Gothic" w:cs="Century Gothic"/>
          <w:color w:val="2A9DB8"/>
          <w:sz w:val="28"/>
          <w:szCs w:val="28"/>
        </w:rPr>
      </w:pPr>
    </w:p>
    <w:p w14:paraId="07C436B7"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AI-ACCELERATED DELIVERY</w:t>
      </w:r>
    </w:p>
    <w:p w14:paraId="0D73D1E4" w14:textId="77777777" w:rsidR="00EB3114" w:rsidRDefault="00000000">
      <w:pPr>
        <w:spacing w:after="80"/>
        <w:rPr>
          <w:rFonts w:ascii="Century Gothic" w:eastAsia="Century Gothic" w:hAnsi="Century Gothic" w:cs="Century Gothic"/>
          <w:sz w:val="14"/>
          <w:szCs w:val="14"/>
        </w:rPr>
      </w:pPr>
      <w:r>
        <w:rPr>
          <w:rFonts w:ascii="Century Gothic" w:eastAsia="Century Gothic" w:hAnsi="Century Gothic" w:cs="Century Gothic"/>
          <w:sz w:val="14"/>
          <w:szCs w:val="14"/>
        </w:rPr>
        <w:t>AI tooling directed across every phase of the compliance program lifecycle, compressing timelines that used to take months into days or weeks:</w:t>
      </w:r>
    </w:p>
    <w:tbl>
      <w:tblPr>
        <w:tblStyle w:val="aff2"/>
        <w:tblW w:w="10079" w:type="dxa"/>
        <w:tblInd w:w="0" w:type="dxa"/>
        <w:tblLayout w:type="fixed"/>
        <w:tblLook w:val="0000" w:firstRow="0" w:lastRow="0" w:firstColumn="0" w:lastColumn="0" w:noHBand="0" w:noVBand="0"/>
      </w:tblPr>
      <w:tblGrid>
        <w:gridCol w:w="2520"/>
        <w:gridCol w:w="2520"/>
        <w:gridCol w:w="2520"/>
        <w:gridCol w:w="2519"/>
      </w:tblGrid>
      <w:tr w:rsidR="00EB3114" w14:paraId="52228E7B" w14:textId="77777777">
        <w:tc>
          <w:tcPr>
            <w:tcW w:w="2520" w:type="dxa"/>
            <w:tcBorders>
              <w:top w:val="single" w:sz="4" w:space="0" w:color="2A9DB8"/>
              <w:bottom w:val="single" w:sz="4" w:space="0" w:color="2A9DB8"/>
            </w:tcBorders>
            <w:shd w:val="clear" w:color="auto" w:fill="E4F5FA"/>
          </w:tcPr>
          <w:p w14:paraId="2F47CF47" w14:textId="77777777" w:rsidR="00EB3114" w:rsidRDefault="00000000">
            <w:pPr>
              <w:spacing w:after="40"/>
              <w:jc w:val="center"/>
              <w:rPr>
                <w:color w:val="2A9DB8"/>
              </w:rPr>
            </w:pPr>
            <w:r>
              <w:rPr>
                <w:rFonts w:ascii="Century Gothic" w:eastAsia="Century Gothic" w:hAnsi="Century Gothic" w:cs="Century Gothic"/>
                <w:b/>
                <w:bCs/>
                <w:color w:val="2A9DB8"/>
              </w:rPr>
              <w:t>GAP ASSESSMENT</w:t>
            </w:r>
          </w:p>
          <w:p w14:paraId="70E79A27" w14:textId="77777777" w:rsidR="00EB3114" w:rsidRDefault="00000000">
            <w:pPr>
              <w:spacing w:after="100"/>
              <w:jc w:val="center"/>
            </w:pPr>
            <w:r>
              <w:rPr>
                <w:rFonts w:ascii="Nova Mono" w:eastAsia="Nova Mono" w:hAnsi="Nova Mono" w:cs="Nova Mono"/>
                <w:b/>
                <w:bCs/>
                <w:color w:val="2A9DB8"/>
              </w:rPr>
              <w:t>3 months → 3 weeks</w:t>
            </w:r>
          </w:p>
        </w:tc>
        <w:tc>
          <w:tcPr>
            <w:tcW w:w="2520" w:type="dxa"/>
            <w:tcBorders>
              <w:top w:val="single" w:sz="4" w:space="0" w:color="1A4A7A"/>
              <w:bottom w:val="single" w:sz="4" w:space="0" w:color="1A4A7A"/>
            </w:tcBorders>
            <w:shd w:val="clear" w:color="auto" w:fill="E8F0F8"/>
          </w:tcPr>
          <w:p w14:paraId="0011AF53" w14:textId="77777777" w:rsidR="00EB3114" w:rsidRDefault="00000000">
            <w:pPr>
              <w:spacing w:after="40"/>
              <w:jc w:val="center"/>
              <w:rPr>
                <w:color w:val="1A4A7A"/>
              </w:rPr>
            </w:pPr>
            <w:r>
              <w:rPr>
                <w:rFonts w:ascii="Century Gothic" w:eastAsia="Century Gothic" w:hAnsi="Century Gothic" w:cs="Century Gothic"/>
                <w:b/>
                <w:bCs/>
                <w:color w:val="1A4A7A"/>
              </w:rPr>
              <w:t>FRAMEWORK MAPPING</w:t>
            </w:r>
          </w:p>
          <w:p w14:paraId="417FBF05" w14:textId="77777777" w:rsidR="00EB3114" w:rsidRDefault="00000000">
            <w:pPr>
              <w:spacing w:after="100"/>
              <w:jc w:val="center"/>
            </w:pPr>
            <w:r>
              <w:rPr>
                <w:rFonts w:ascii="Nova Mono" w:eastAsia="Nova Mono" w:hAnsi="Nova Mono" w:cs="Nova Mono"/>
                <w:b/>
                <w:bCs/>
                <w:color w:val="1A4A7A"/>
              </w:rPr>
              <w:t>2 weeks → 1 day</w:t>
            </w:r>
          </w:p>
        </w:tc>
        <w:tc>
          <w:tcPr>
            <w:tcW w:w="2520" w:type="dxa"/>
            <w:tcBorders>
              <w:top w:val="single" w:sz="4" w:space="0" w:color="2E8B57"/>
              <w:bottom w:val="single" w:sz="4" w:space="0" w:color="2E8B57"/>
            </w:tcBorders>
            <w:shd w:val="clear" w:color="auto" w:fill="E0F5EB"/>
          </w:tcPr>
          <w:p w14:paraId="5CD001AD" w14:textId="77777777" w:rsidR="00EB3114" w:rsidRDefault="00000000">
            <w:pPr>
              <w:spacing w:after="40"/>
              <w:jc w:val="center"/>
              <w:rPr>
                <w:color w:val="2E8B57"/>
              </w:rPr>
            </w:pPr>
            <w:r>
              <w:rPr>
                <w:rFonts w:ascii="Century Gothic" w:eastAsia="Century Gothic" w:hAnsi="Century Gothic" w:cs="Century Gothic"/>
                <w:b/>
                <w:bCs/>
                <w:color w:val="2E8B57"/>
              </w:rPr>
              <w:t>DOCUMENTATION</w:t>
            </w:r>
          </w:p>
          <w:p w14:paraId="32DD2FAD" w14:textId="77777777" w:rsidR="00EB3114" w:rsidRDefault="00000000">
            <w:pPr>
              <w:spacing w:after="100"/>
              <w:jc w:val="center"/>
            </w:pPr>
            <w:r>
              <w:rPr>
                <w:rFonts w:ascii="Nova Mono" w:eastAsia="Nova Mono" w:hAnsi="Nova Mono" w:cs="Nova Mono"/>
                <w:b/>
                <w:bCs/>
                <w:color w:val="2E8B57"/>
              </w:rPr>
              <w:t>2 months → 2 weeks</w:t>
            </w:r>
          </w:p>
        </w:tc>
        <w:tc>
          <w:tcPr>
            <w:tcW w:w="2519" w:type="dxa"/>
            <w:tcBorders>
              <w:top w:val="single" w:sz="4" w:space="0" w:color="8C5C0A"/>
              <w:bottom w:val="single" w:sz="4" w:space="0" w:color="8C5C0A"/>
            </w:tcBorders>
            <w:shd w:val="clear" w:color="auto" w:fill="FDF2DC"/>
          </w:tcPr>
          <w:p w14:paraId="6A7AD3EA" w14:textId="77777777" w:rsidR="00EB3114" w:rsidRDefault="00000000">
            <w:pPr>
              <w:spacing w:after="40"/>
              <w:jc w:val="center"/>
              <w:rPr>
                <w:color w:val="8C5C0A"/>
              </w:rPr>
            </w:pPr>
            <w:r>
              <w:rPr>
                <w:rFonts w:ascii="Century Gothic" w:eastAsia="Century Gothic" w:hAnsi="Century Gothic" w:cs="Century Gothic"/>
                <w:b/>
                <w:bCs/>
                <w:color w:val="8C5C0A"/>
              </w:rPr>
              <w:t>EVIDENCE REVIEW</w:t>
            </w:r>
          </w:p>
          <w:p w14:paraId="0520B092" w14:textId="77777777" w:rsidR="00EB3114" w:rsidRDefault="00000000">
            <w:pPr>
              <w:spacing w:after="100"/>
              <w:jc w:val="center"/>
            </w:pPr>
            <w:r>
              <w:rPr>
                <w:rFonts w:ascii="Nova Mono" w:eastAsia="Nova Mono" w:hAnsi="Nova Mono" w:cs="Nova Mono"/>
                <w:b/>
                <w:bCs/>
                <w:color w:val="8C5C0A"/>
              </w:rPr>
              <w:t>Days → Hours</w:t>
            </w:r>
          </w:p>
        </w:tc>
      </w:tr>
    </w:tbl>
    <w:p w14:paraId="12C0DC6D" w14:textId="77777777" w:rsidR="00EB3114" w:rsidRDefault="00EB3114">
      <w:pPr>
        <w:pageBreakBefore/>
        <w:spacing w:after="100"/>
      </w:pPr>
    </w:p>
    <w:p w14:paraId="0BD50FFA" w14:textId="77777777" w:rsidR="00EB3114" w:rsidRDefault="00000000">
      <w:pPr>
        <w:spacing w:before="160" w:after="60"/>
        <w:rPr>
          <w:sz w:val="28"/>
          <w:szCs w:val="28"/>
        </w:rPr>
      </w:pPr>
      <w:r>
        <w:rPr>
          <w:rFonts w:ascii="Century Gothic" w:eastAsia="Century Gothic" w:hAnsi="Century Gothic" w:cs="Century Gothic"/>
          <w:b/>
          <w:bCs/>
          <w:color w:val="8C5C0A"/>
          <w:sz w:val="28"/>
          <w:szCs w:val="28"/>
        </w:rPr>
        <w:t>GLOBAL MARKET ACCESS, CERTIFICATION TO REVENUE MAPPING</w:t>
      </w:r>
    </w:p>
    <w:p w14:paraId="07D29D26" w14:textId="77777777" w:rsidR="00EB3114" w:rsidRDefault="00EB3114">
      <w:pPr>
        <w:pBdr>
          <w:top w:val="none" w:sz="0" w:space="0" w:color="000000"/>
          <w:left w:val="none" w:sz="0" w:space="0" w:color="000000"/>
          <w:bottom w:val="single" w:sz="4" w:space="1" w:color="8C5C0A"/>
          <w:right w:val="none" w:sz="0" w:space="0" w:color="000000"/>
        </w:pBdr>
        <w:spacing w:after="100"/>
      </w:pPr>
    </w:p>
    <w:tbl>
      <w:tblPr>
        <w:tblStyle w:val="aff3"/>
        <w:tblW w:w="10080" w:type="dxa"/>
        <w:tblInd w:w="1" w:type="dxa"/>
        <w:tblLayout w:type="fixed"/>
        <w:tblLook w:val="0000" w:firstRow="0" w:lastRow="0" w:firstColumn="0" w:lastColumn="0" w:noHBand="0" w:noVBand="0"/>
      </w:tblPr>
      <w:tblGrid>
        <w:gridCol w:w="10080"/>
      </w:tblGrid>
      <w:tr w:rsidR="00EB3114" w14:paraId="6BBC9E4A" w14:textId="77777777">
        <w:tc>
          <w:tcPr>
            <w:tcW w:w="10080" w:type="dxa"/>
            <w:tcBorders>
              <w:left w:val="single" w:sz="4" w:space="0" w:color="2A9DB8"/>
            </w:tcBorders>
            <w:shd w:val="clear" w:color="auto" w:fill="FFFFFF"/>
          </w:tcPr>
          <w:p w14:paraId="737A55C3" w14:textId="77777777" w:rsidR="00EB3114" w:rsidRDefault="00000000">
            <w:pPr>
              <w:spacing w:after="30"/>
              <w:rPr>
                <w:rFonts w:ascii="Century Gothic" w:eastAsia="Century Gothic" w:hAnsi="Century Gothic" w:cs="Century Gothic"/>
                <w:color w:val="2A9DB8"/>
                <w:sz w:val="22"/>
                <w:szCs w:val="22"/>
              </w:rPr>
            </w:pPr>
            <w:r>
              <w:rPr>
                <w:rFonts w:ascii="Century Gothic" w:eastAsia="Century Gothic" w:hAnsi="Century Gothic" w:cs="Century Gothic"/>
                <w:b/>
                <w:bCs/>
                <w:color w:val="2A9DB8"/>
                <w:sz w:val="22"/>
                <w:szCs w:val="22"/>
              </w:rPr>
              <w:t>United States, Federal Government</w:t>
            </w:r>
          </w:p>
          <w:p w14:paraId="37390DAE"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FedRAMP Moderate (FY2025)  ·  EO 14028 / SSDF  ·  NIST CSF 2.0</w:t>
            </w:r>
          </w:p>
          <w:p w14:paraId="22CE9F29" w14:textId="77777777" w:rsidR="00EB3114" w:rsidRDefault="00000000">
            <w:pPr>
              <w:spacing w:after="80"/>
            </w:pPr>
            <w:r>
              <w:rPr>
                <w:rFonts w:ascii="Century Gothic" w:eastAsia="Century Gothic" w:hAnsi="Century Gothic" w:cs="Century Gothic"/>
                <w:sz w:val="17"/>
                <w:szCs w:val="17"/>
              </w:rPr>
              <w:t>Opens $100B+ annual federal IT procurement. Without FedRAMP, no federal agency can procure a cloud service. EO 14028 covers software supply chain security for federal vendors.</w:t>
            </w:r>
          </w:p>
        </w:tc>
      </w:tr>
    </w:tbl>
    <w:tbl>
      <w:tblPr>
        <w:tblStyle w:val="aff4"/>
        <w:tblW w:w="10080" w:type="dxa"/>
        <w:tblInd w:w="1" w:type="dxa"/>
        <w:tblLayout w:type="fixed"/>
        <w:tblLook w:val="0000" w:firstRow="0" w:lastRow="0" w:firstColumn="0" w:lastColumn="0" w:noHBand="0" w:noVBand="0"/>
      </w:tblPr>
      <w:tblGrid>
        <w:gridCol w:w="10080"/>
      </w:tblGrid>
      <w:tr w:rsidR="00EB3114" w14:paraId="61841182" w14:textId="77777777">
        <w:tc>
          <w:tcPr>
            <w:tcW w:w="10080" w:type="dxa"/>
            <w:tcBorders>
              <w:left w:val="single" w:sz="4" w:space="0" w:color="2E8B57"/>
            </w:tcBorders>
            <w:shd w:val="clear" w:color="auto" w:fill="FFFFFF"/>
          </w:tcPr>
          <w:p w14:paraId="3F3ACF46" w14:textId="77777777" w:rsidR="00EB3114" w:rsidRDefault="00000000">
            <w:pPr>
              <w:spacing w:after="30"/>
              <w:rPr>
                <w:rFonts w:ascii="Century Gothic" w:eastAsia="Century Gothic" w:hAnsi="Century Gothic" w:cs="Century Gothic"/>
                <w:color w:val="2E8B57"/>
                <w:sz w:val="22"/>
                <w:szCs w:val="22"/>
              </w:rPr>
            </w:pPr>
            <w:r>
              <w:rPr>
                <w:rFonts w:ascii="Century Gothic" w:eastAsia="Century Gothic" w:hAnsi="Century Gothic" w:cs="Century Gothic"/>
                <w:b/>
                <w:bCs/>
                <w:color w:val="2E8B57"/>
                <w:sz w:val="22"/>
                <w:szCs w:val="22"/>
              </w:rPr>
              <w:t>United States, Healthcare</w:t>
            </w:r>
          </w:p>
          <w:p w14:paraId="4E2E943C"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HIPAA Security Rule + Privacy Rule  ·  HITRUST CSF r2</w:t>
            </w:r>
          </w:p>
          <w:p w14:paraId="6BF99989" w14:textId="77777777" w:rsidR="00EB3114" w:rsidRDefault="00000000">
            <w:pPr>
              <w:spacing w:after="80"/>
            </w:pPr>
            <w:r>
              <w:rPr>
                <w:rFonts w:ascii="Century Gothic" w:eastAsia="Century Gothic" w:hAnsi="Century Gothic" w:cs="Century Gothic"/>
                <w:sz w:val="17"/>
                <w:szCs w:val="17"/>
              </w:rPr>
              <w:t>Non-negotiable for any vendor touching Protected Health Information. HITRUST preferred by major hospital networks over HIPAA alone. Unlocks hospital systems, payers, health tech, and life sciences.</w:t>
            </w:r>
          </w:p>
        </w:tc>
      </w:tr>
    </w:tbl>
    <w:tbl>
      <w:tblPr>
        <w:tblStyle w:val="aff5"/>
        <w:tblW w:w="10080" w:type="dxa"/>
        <w:tblInd w:w="1" w:type="dxa"/>
        <w:tblLayout w:type="fixed"/>
        <w:tblLook w:val="0000" w:firstRow="0" w:lastRow="0" w:firstColumn="0" w:lastColumn="0" w:noHBand="0" w:noVBand="0"/>
      </w:tblPr>
      <w:tblGrid>
        <w:gridCol w:w="10080"/>
      </w:tblGrid>
      <w:tr w:rsidR="00EB3114" w14:paraId="5C536C94" w14:textId="77777777">
        <w:tc>
          <w:tcPr>
            <w:tcW w:w="10080" w:type="dxa"/>
            <w:tcBorders>
              <w:left w:val="single" w:sz="4" w:space="0" w:color="1A4A7A"/>
            </w:tcBorders>
            <w:shd w:val="clear" w:color="auto" w:fill="FFFFFF"/>
          </w:tcPr>
          <w:p w14:paraId="02AA97DA" w14:textId="77777777" w:rsidR="00EB3114" w:rsidRDefault="00000000">
            <w:pPr>
              <w:spacing w:after="30"/>
              <w:rPr>
                <w:rFonts w:ascii="Century Gothic" w:eastAsia="Century Gothic" w:hAnsi="Century Gothic" w:cs="Century Gothic"/>
                <w:color w:val="1A4A7A"/>
                <w:sz w:val="22"/>
                <w:szCs w:val="22"/>
              </w:rPr>
            </w:pPr>
            <w:r>
              <w:rPr>
                <w:rFonts w:ascii="Century Gothic" w:eastAsia="Century Gothic" w:hAnsi="Century Gothic" w:cs="Century Gothic"/>
                <w:b/>
                <w:bCs/>
                <w:color w:val="1A4A7A"/>
                <w:sz w:val="22"/>
                <w:szCs w:val="22"/>
              </w:rPr>
              <w:t>United States, Financial Services</w:t>
            </w:r>
          </w:p>
          <w:p w14:paraId="65903938"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FINRA SEC 17a-4 (4 evaluations)  ·  SOC 1 Type 2</w:t>
            </w:r>
          </w:p>
          <w:p w14:paraId="68F00DEF" w14:textId="77777777" w:rsidR="00EB3114" w:rsidRDefault="00000000">
            <w:pPr>
              <w:spacing w:after="80"/>
            </w:pPr>
            <w:r>
              <w:rPr>
                <w:rFonts w:ascii="Century Gothic" w:eastAsia="Century Gothic" w:hAnsi="Century Gothic" w:cs="Century Gothic"/>
                <w:sz w:val="17"/>
                <w:szCs w:val="17"/>
              </w:rPr>
              <w:t>FINRA 17a-4 is mandatory for any vendor storing broker-dealer electronic records. Four separate evaluations managed at Rubrik. SOC 1 covers internal controls for financial reporting.</w:t>
            </w:r>
          </w:p>
        </w:tc>
      </w:tr>
    </w:tbl>
    <w:tbl>
      <w:tblPr>
        <w:tblStyle w:val="aff6"/>
        <w:tblW w:w="10080" w:type="dxa"/>
        <w:tblInd w:w="1" w:type="dxa"/>
        <w:tblLayout w:type="fixed"/>
        <w:tblLook w:val="0000" w:firstRow="0" w:lastRow="0" w:firstColumn="0" w:lastColumn="0" w:noHBand="0" w:noVBand="0"/>
      </w:tblPr>
      <w:tblGrid>
        <w:gridCol w:w="10080"/>
      </w:tblGrid>
      <w:tr w:rsidR="00EB3114" w14:paraId="22D52B68" w14:textId="77777777">
        <w:tc>
          <w:tcPr>
            <w:tcW w:w="10080" w:type="dxa"/>
            <w:tcBorders>
              <w:left w:val="single" w:sz="4" w:space="0" w:color="8C5C0A"/>
            </w:tcBorders>
            <w:shd w:val="clear" w:color="auto" w:fill="FFFFFF"/>
          </w:tcPr>
          <w:p w14:paraId="54738857" w14:textId="77777777" w:rsidR="00EB3114" w:rsidRDefault="00000000">
            <w:pPr>
              <w:spacing w:after="30"/>
              <w:rPr>
                <w:rFonts w:ascii="Century Gothic" w:eastAsia="Century Gothic" w:hAnsi="Century Gothic" w:cs="Century Gothic"/>
                <w:color w:val="8C5C0A"/>
                <w:sz w:val="22"/>
                <w:szCs w:val="22"/>
              </w:rPr>
            </w:pPr>
            <w:r>
              <w:rPr>
                <w:rFonts w:ascii="Century Gothic" w:eastAsia="Century Gothic" w:hAnsi="Century Gothic" w:cs="Century Gothic"/>
                <w:b/>
                <w:bCs/>
                <w:color w:val="8C5C0A"/>
                <w:sz w:val="22"/>
                <w:szCs w:val="22"/>
              </w:rPr>
              <w:t>Germany</w:t>
            </w:r>
          </w:p>
          <w:p w14:paraId="6F42460C"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BSI C5 attestation</w:t>
            </w:r>
          </w:p>
          <w:p w14:paraId="5C862F65" w14:textId="77777777" w:rsidR="00EB3114" w:rsidRDefault="00000000">
            <w:pPr>
              <w:spacing w:after="80"/>
            </w:pPr>
            <w:r>
              <w:rPr>
                <w:rFonts w:ascii="Century Gothic" w:eastAsia="Century Gothic" w:hAnsi="Century Gothic" w:cs="Century Gothic"/>
                <w:sz w:val="17"/>
                <w:szCs w:val="17"/>
              </w:rPr>
              <w:t>Required by German financial institutions and government agencies for cloud service vendors. Non-negotiable gate for the German enterprise market, often required alongside ISO 27001.</w:t>
            </w:r>
          </w:p>
        </w:tc>
      </w:tr>
    </w:tbl>
    <w:tbl>
      <w:tblPr>
        <w:tblStyle w:val="aff7"/>
        <w:tblW w:w="10080" w:type="dxa"/>
        <w:tblInd w:w="1" w:type="dxa"/>
        <w:tblLayout w:type="fixed"/>
        <w:tblLook w:val="0000" w:firstRow="0" w:lastRow="0" w:firstColumn="0" w:lastColumn="0" w:noHBand="0" w:noVBand="0"/>
      </w:tblPr>
      <w:tblGrid>
        <w:gridCol w:w="10080"/>
      </w:tblGrid>
      <w:tr w:rsidR="00EB3114" w14:paraId="5F0C6F2E" w14:textId="77777777">
        <w:tc>
          <w:tcPr>
            <w:tcW w:w="10080" w:type="dxa"/>
            <w:tcBorders>
              <w:left w:val="single" w:sz="4" w:space="0" w:color="2A3A52"/>
            </w:tcBorders>
            <w:shd w:val="clear" w:color="auto" w:fill="FFFFFF"/>
          </w:tcPr>
          <w:p w14:paraId="785F05FB" w14:textId="77777777" w:rsidR="00EB3114" w:rsidRDefault="00000000">
            <w:pPr>
              <w:spacing w:after="30"/>
              <w:rPr>
                <w:rFonts w:ascii="Century Gothic" w:eastAsia="Century Gothic" w:hAnsi="Century Gothic" w:cs="Century Gothic"/>
                <w:color w:val="2A3A52"/>
                <w:sz w:val="22"/>
                <w:szCs w:val="22"/>
              </w:rPr>
            </w:pPr>
            <w:r>
              <w:rPr>
                <w:rFonts w:ascii="Century Gothic" w:eastAsia="Century Gothic" w:hAnsi="Century Gothic" w:cs="Century Gothic"/>
                <w:b/>
                <w:bCs/>
                <w:color w:val="2A3A52"/>
                <w:sz w:val="22"/>
                <w:szCs w:val="22"/>
              </w:rPr>
              <w:t>Australia</w:t>
            </w:r>
          </w:p>
          <w:p w14:paraId="707554AF"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IRAP (Info Security Registered Assessors Program)</w:t>
            </w:r>
          </w:p>
          <w:p w14:paraId="603EA9FE" w14:textId="77777777" w:rsidR="00EB3114" w:rsidRDefault="00000000">
            <w:pPr>
              <w:spacing w:after="80"/>
            </w:pPr>
            <w:r>
              <w:rPr>
                <w:rFonts w:ascii="Century Gothic" w:eastAsia="Century Gothic" w:hAnsi="Century Gothic" w:cs="Century Gothic"/>
                <w:sz w:val="17"/>
                <w:szCs w:val="17"/>
              </w:rPr>
              <w:t>Required for any technology vendor selling cloud services to Australian federal and state government agencies. Opens the entire Australian government procurement channel.</w:t>
            </w:r>
          </w:p>
        </w:tc>
      </w:tr>
    </w:tbl>
    <w:tbl>
      <w:tblPr>
        <w:tblStyle w:val="aff8"/>
        <w:tblW w:w="10080" w:type="dxa"/>
        <w:tblInd w:w="1" w:type="dxa"/>
        <w:tblLayout w:type="fixed"/>
        <w:tblLook w:val="0000" w:firstRow="0" w:lastRow="0" w:firstColumn="0" w:lastColumn="0" w:noHBand="0" w:noVBand="0"/>
      </w:tblPr>
      <w:tblGrid>
        <w:gridCol w:w="10080"/>
      </w:tblGrid>
      <w:tr w:rsidR="00EB3114" w14:paraId="77CF5CD5" w14:textId="77777777">
        <w:tc>
          <w:tcPr>
            <w:tcW w:w="10080" w:type="dxa"/>
            <w:tcBorders>
              <w:left w:val="single" w:sz="4" w:space="0" w:color="2A3A52"/>
            </w:tcBorders>
            <w:shd w:val="clear" w:color="auto" w:fill="FFFFFF"/>
          </w:tcPr>
          <w:p w14:paraId="63B68606" w14:textId="77777777" w:rsidR="00EB3114" w:rsidRDefault="00000000">
            <w:pPr>
              <w:spacing w:after="30"/>
              <w:rPr>
                <w:rFonts w:ascii="Century Gothic" w:eastAsia="Century Gothic" w:hAnsi="Century Gothic" w:cs="Century Gothic"/>
                <w:color w:val="2A3A52"/>
                <w:sz w:val="22"/>
                <w:szCs w:val="22"/>
              </w:rPr>
            </w:pPr>
            <w:r>
              <w:rPr>
                <w:rFonts w:ascii="Century Gothic" w:eastAsia="Century Gothic" w:hAnsi="Century Gothic" w:cs="Century Gothic"/>
                <w:b/>
                <w:bCs/>
                <w:color w:val="2A3A52"/>
                <w:sz w:val="22"/>
                <w:szCs w:val="22"/>
              </w:rPr>
              <w:t>UAE / Dubai (MENA)</w:t>
            </w:r>
          </w:p>
          <w:p w14:paraId="6C40822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DESC (Dubai Electronic Security Center)</w:t>
            </w:r>
          </w:p>
          <w:p w14:paraId="01CEDBB5" w14:textId="77777777" w:rsidR="00EB3114" w:rsidRDefault="00000000">
            <w:pPr>
              <w:spacing w:after="80"/>
            </w:pPr>
            <w:r>
              <w:rPr>
                <w:rFonts w:ascii="Century Gothic" w:eastAsia="Century Gothic" w:hAnsi="Century Gothic" w:cs="Century Gothic"/>
                <w:sz w:val="17"/>
                <w:szCs w:val="17"/>
              </w:rPr>
              <w:t>Required for cloud service vendors operating with UAE government and enterprise entities. Certification → Middle East government market → enterprise revenue in the Gulf region.</w:t>
            </w:r>
          </w:p>
        </w:tc>
      </w:tr>
    </w:tbl>
    <w:tbl>
      <w:tblPr>
        <w:tblStyle w:val="aff9"/>
        <w:tblW w:w="10080" w:type="dxa"/>
        <w:tblInd w:w="1" w:type="dxa"/>
        <w:tblLayout w:type="fixed"/>
        <w:tblLook w:val="0000" w:firstRow="0" w:lastRow="0" w:firstColumn="0" w:lastColumn="0" w:noHBand="0" w:noVBand="0"/>
      </w:tblPr>
      <w:tblGrid>
        <w:gridCol w:w="10080"/>
      </w:tblGrid>
      <w:tr w:rsidR="00EB3114" w14:paraId="6EA4E6D0" w14:textId="77777777">
        <w:tc>
          <w:tcPr>
            <w:tcW w:w="10080" w:type="dxa"/>
            <w:tcBorders>
              <w:left w:val="single" w:sz="4" w:space="0" w:color="1A4A7A"/>
            </w:tcBorders>
            <w:shd w:val="clear" w:color="auto" w:fill="FFFFFF"/>
          </w:tcPr>
          <w:p w14:paraId="70658B25" w14:textId="77777777" w:rsidR="00EB3114" w:rsidRDefault="00000000">
            <w:pPr>
              <w:spacing w:after="30"/>
              <w:rPr>
                <w:rFonts w:ascii="Century Gothic" w:eastAsia="Century Gothic" w:hAnsi="Century Gothic" w:cs="Century Gothic"/>
                <w:color w:val="1A4A7A"/>
                <w:sz w:val="22"/>
                <w:szCs w:val="22"/>
              </w:rPr>
            </w:pPr>
            <w:r>
              <w:rPr>
                <w:rFonts w:ascii="Century Gothic" w:eastAsia="Century Gothic" w:hAnsi="Century Gothic" w:cs="Century Gothic"/>
                <w:b/>
                <w:bCs/>
                <w:color w:val="1A4A7A"/>
                <w:sz w:val="22"/>
                <w:szCs w:val="22"/>
              </w:rPr>
              <w:t>Automotive, Global OEM Supply Chain</w:t>
            </w:r>
          </w:p>
          <w:p w14:paraId="02980853"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TISAX (Trusted Information Security Assessment Exchange)</w:t>
            </w:r>
          </w:p>
          <w:p w14:paraId="1D8411A0" w14:textId="77777777" w:rsidR="00EB3114" w:rsidRDefault="00000000">
            <w:pPr>
              <w:spacing w:after="80"/>
            </w:pPr>
            <w:r>
              <w:rPr>
                <w:rFonts w:ascii="Century Gothic" w:eastAsia="Century Gothic" w:hAnsi="Century Gothic" w:cs="Century Gothic"/>
                <w:sz w:val="17"/>
                <w:szCs w:val="17"/>
              </w:rPr>
              <w:t>Mandatory for all suppliers to BMW, Volkswagen, Mercedes-Benz, Audi, and other OEMs. Results restricted to ENX members. Unlocks the global automotive OEM supply chain market.</w:t>
            </w:r>
          </w:p>
        </w:tc>
      </w:tr>
    </w:tbl>
    <w:tbl>
      <w:tblPr>
        <w:tblStyle w:val="affa"/>
        <w:tblW w:w="10080" w:type="dxa"/>
        <w:tblInd w:w="1" w:type="dxa"/>
        <w:tblLayout w:type="fixed"/>
        <w:tblLook w:val="0000" w:firstRow="0" w:lastRow="0" w:firstColumn="0" w:lastColumn="0" w:noHBand="0" w:noVBand="0"/>
      </w:tblPr>
      <w:tblGrid>
        <w:gridCol w:w="10080"/>
      </w:tblGrid>
      <w:tr w:rsidR="00EB3114" w14:paraId="172E4D9C" w14:textId="77777777">
        <w:tc>
          <w:tcPr>
            <w:tcW w:w="10080" w:type="dxa"/>
            <w:tcBorders>
              <w:left w:val="single" w:sz="4" w:space="0" w:color="2A9DB8"/>
            </w:tcBorders>
            <w:shd w:val="clear" w:color="auto" w:fill="FFFFFF"/>
          </w:tcPr>
          <w:p w14:paraId="3FD5C643" w14:textId="77777777" w:rsidR="00EB3114" w:rsidRDefault="00000000">
            <w:pPr>
              <w:spacing w:after="30"/>
              <w:rPr>
                <w:rFonts w:ascii="Century Gothic" w:eastAsia="Century Gothic" w:hAnsi="Century Gothic" w:cs="Century Gothic"/>
                <w:color w:val="2A9DB8"/>
                <w:sz w:val="22"/>
                <w:szCs w:val="22"/>
              </w:rPr>
            </w:pPr>
            <w:r>
              <w:rPr>
                <w:rFonts w:ascii="Century Gothic" w:eastAsia="Century Gothic" w:hAnsi="Century Gothic" w:cs="Century Gothic"/>
                <w:b/>
                <w:bCs/>
                <w:color w:val="2A9DB8"/>
                <w:sz w:val="22"/>
                <w:szCs w:val="22"/>
              </w:rPr>
              <w:t>South Korea + India</w:t>
            </w:r>
          </w:p>
          <w:p w14:paraId="0723DE19"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ISMS-P / PIPA  ·  DPDP</w:t>
            </w:r>
          </w:p>
          <w:p w14:paraId="060C0BD3" w14:textId="77777777" w:rsidR="00EB3114" w:rsidRDefault="00000000">
            <w:pPr>
              <w:spacing w:after="80"/>
            </w:pPr>
            <w:r>
              <w:rPr>
                <w:rFonts w:ascii="Century Gothic" w:eastAsia="Century Gothic" w:hAnsi="Century Gothic" w:cs="Century Gothic"/>
                <w:sz w:val="17"/>
                <w:szCs w:val="17"/>
              </w:rPr>
              <w:t>ISMS-P covers combined InfoSec and privacy for Korean market access. DPDP covers India's Digital Personal Data Protection Act obligations. Both maintained alongside BCDR programs.</w:t>
            </w:r>
          </w:p>
        </w:tc>
      </w:tr>
    </w:tbl>
    <w:p w14:paraId="666416BD" w14:textId="77777777" w:rsidR="00EB3114" w:rsidRDefault="00EB3114">
      <w:pPr>
        <w:spacing w:after="100"/>
      </w:pPr>
    </w:p>
    <w:p w14:paraId="28C92BED" w14:textId="77777777" w:rsidR="00EB3114" w:rsidRDefault="00EB3114"/>
    <w:p w14:paraId="48A6DFB7" w14:textId="77777777" w:rsidR="00EB3114" w:rsidRDefault="00EB3114">
      <w:pPr>
        <w:pageBreakBefore/>
        <w:spacing w:after="100"/>
      </w:pPr>
    </w:p>
    <w:p w14:paraId="44E1474C" w14:textId="77777777" w:rsidR="00EB3114" w:rsidRDefault="00000000">
      <w:pPr>
        <w:spacing w:before="160" w:after="60"/>
        <w:rPr>
          <w:sz w:val="28"/>
          <w:szCs w:val="28"/>
        </w:rPr>
      </w:pPr>
      <w:r>
        <w:rPr>
          <w:rFonts w:ascii="Century Gothic" w:eastAsia="Century Gothic" w:hAnsi="Century Gothic" w:cs="Century Gothic"/>
          <w:b/>
          <w:bCs/>
          <w:color w:val="1A4A7A"/>
          <w:sz w:val="28"/>
          <w:szCs w:val="28"/>
        </w:rPr>
        <w:t>TECHNOLOGY &amp; TOOL PROFICIENCY</w:t>
      </w:r>
    </w:p>
    <w:p w14:paraId="117903F5" w14:textId="77777777" w:rsidR="00EB3114" w:rsidRDefault="00EB3114">
      <w:pPr>
        <w:pBdr>
          <w:top w:val="none" w:sz="0" w:space="0" w:color="000000"/>
          <w:left w:val="none" w:sz="0" w:space="0" w:color="000000"/>
          <w:bottom w:val="single" w:sz="4" w:space="1" w:color="1A4A7A"/>
          <w:right w:val="none" w:sz="0" w:space="0" w:color="000000"/>
        </w:pBdr>
        <w:spacing w:after="100"/>
      </w:pPr>
    </w:p>
    <w:p w14:paraId="6A997D35" w14:textId="77777777" w:rsidR="00EB3114" w:rsidRDefault="00EB3114">
      <w:pPr>
        <w:spacing w:after="100"/>
      </w:pPr>
    </w:p>
    <w:tbl>
      <w:tblPr>
        <w:tblStyle w:val="affb"/>
        <w:tblW w:w="10079" w:type="dxa"/>
        <w:tblInd w:w="1" w:type="dxa"/>
        <w:tblLayout w:type="fixed"/>
        <w:tblLook w:val="0000" w:firstRow="0" w:lastRow="0" w:firstColumn="0" w:lastColumn="0" w:noHBand="0" w:noVBand="0"/>
      </w:tblPr>
      <w:tblGrid>
        <w:gridCol w:w="4960"/>
        <w:gridCol w:w="5119"/>
      </w:tblGrid>
      <w:tr w:rsidR="00EB3114" w14:paraId="6D4824A4" w14:textId="77777777">
        <w:tc>
          <w:tcPr>
            <w:tcW w:w="4960" w:type="dxa"/>
            <w:tcBorders>
              <w:left w:val="single" w:sz="4" w:space="0" w:color="2A9DB8"/>
            </w:tcBorders>
            <w:shd w:val="clear" w:color="auto" w:fill="FFFFFF"/>
          </w:tcPr>
          <w:p w14:paraId="1D6544BB"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9DB8"/>
                <w:sz w:val="22"/>
                <w:szCs w:val="22"/>
              </w:rPr>
              <w:t>GRC Platforms</w:t>
            </w:r>
          </w:p>
          <w:p w14:paraId="510A71AE"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Drata (advanced, workflow customization, API integration)</w:t>
            </w:r>
          </w:p>
          <w:p w14:paraId="18B7FF73"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ZenGRC</w:t>
            </w:r>
          </w:p>
          <w:p w14:paraId="65CF8D15"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ServiceNow GRC</w:t>
            </w:r>
          </w:p>
          <w:p w14:paraId="66644235"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OneTrust</w:t>
            </w:r>
          </w:p>
          <w:p w14:paraId="2F4CD47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Hyperproof</w:t>
            </w:r>
          </w:p>
          <w:p w14:paraId="317F40E1" w14:textId="77777777" w:rsidR="00EB3114" w:rsidRDefault="00000000">
            <w:pPr>
              <w:spacing w:after="40"/>
            </w:pPr>
            <w:r>
              <w:rPr>
                <w:rFonts w:ascii="Century Gothic" w:eastAsia="Century Gothic" w:hAnsi="Century Gothic" w:cs="Century Gothic"/>
                <w:sz w:val="16"/>
                <w:szCs w:val="16"/>
              </w:rPr>
              <w:t>• AuditBoard</w:t>
            </w:r>
          </w:p>
        </w:tc>
        <w:tc>
          <w:tcPr>
            <w:tcW w:w="5119" w:type="dxa"/>
            <w:tcBorders>
              <w:left w:val="single" w:sz="4" w:space="0" w:color="1A4A7A"/>
            </w:tcBorders>
            <w:shd w:val="clear" w:color="auto" w:fill="FFFFFF"/>
          </w:tcPr>
          <w:p w14:paraId="79E8D04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Cloud Infrastructure</w:t>
            </w:r>
          </w:p>
          <w:p w14:paraId="738C0EA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Amazon Web Services (AWS), primary operating environment</w:t>
            </w:r>
          </w:p>
          <w:p w14:paraId="5F1A560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Microsoft Azure</w:t>
            </w:r>
          </w:p>
          <w:p w14:paraId="10627FFE"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Google Cloud Platform (GCP)</w:t>
            </w:r>
          </w:p>
          <w:p w14:paraId="2DD4F10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Cloudflare</w:t>
            </w:r>
          </w:p>
          <w:p w14:paraId="5D2EF3B4" w14:textId="77777777" w:rsidR="00EB3114" w:rsidRDefault="00000000">
            <w:pPr>
              <w:spacing w:after="40"/>
            </w:pPr>
            <w:r>
              <w:rPr>
                <w:rFonts w:ascii="Century Gothic" w:eastAsia="Century Gothic" w:hAnsi="Century Gothic" w:cs="Century Gothic"/>
                <w:sz w:val="16"/>
                <w:szCs w:val="16"/>
              </w:rPr>
              <w:t>• Akamai</w:t>
            </w:r>
          </w:p>
        </w:tc>
      </w:tr>
    </w:tbl>
    <w:p w14:paraId="03B2A922" w14:textId="77777777" w:rsidR="00EB3114" w:rsidRDefault="00EB3114">
      <w:pPr>
        <w:spacing w:after="100"/>
      </w:pPr>
    </w:p>
    <w:tbl>
      <w:tblPr>
        <w:tblStyle w:val="affc"/>
        <w:tblW w:w="10079" w:type="dxa"/>
        <w:tblInd w:w="1" w:type="dxa"/>
        <w:tblLayout w:type="fixed"/>
        <w:tblLook w:val="0000" w:firstRow="0" w:lastRow="0" w:firstColumn="0" w:lastColumn="0" w:noHBand="0" w:noVBand="0"/>
      </w:tblPr>
      <w:tblGrid>
        <w:gridCol w:w="4960"/>
        <w:gridCol w:w="5119"/>
      </w:tblGrid>
      <w:tr w:rsidR="00EB3114" w14:paraId="6A524B14" w14:textId="77777777">
        <w:tc>
          <w:tcPr>
            <w:tcW w:w="4960" w:type="dxa"/>
            <w:tcBorders>
              <w:left w:val="single" w:sz="4" w:space="0" w:color="1A4A7A"/>
            </w:tcBorders>
            <w:shd w:val="clear" w:color="auto" w:fill="FFFFFF"/>
          </w:tcPr>
          <w:p w14:paraId="780F3312"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1A4A7A"/>
                <w:sz w:val="22"/>
                <w:szCs w:val="22"/>
              </w:rPr>
              <w:t>Identity &amp; Access Management</w:t>
            </w:r>
          </w:p>
          <w:p w14:paraId="7A2742CE"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Okta (SAML, SCIM, Workflows, advanced)</w:t>
            </w:r>
          </w:p>
          <w:p w14:paraId="4F3AD00C"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Microsoft Azure Active Directory</w:t>
            </w:r>
          </w:p>
          <w:p w14:paraId="1E4C35E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Google Workspace</w:t>
            </w:r>
          </w:p>
          <w:p w14:paraId="6CBC94B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CyberArk</w:t>
            </w:r>
          </w:p>
          <w:p w14:paraId="19A21A5B" w14:textId="77777777" w:rsidR="00EB3114" w:rsidRDefault="00000000">
            <w:pPr>
              <w:spacing w:after="40"/>
            </w:pPr>
            <w:r>
              <w:rPr>
                <w:rFonts w:ascii="Century Gothic" w:eastAsia="Century Gothic" w:hAnsi="Century Gothic" w:cs="Century Gothic"/>
                <w:sz w:val="16"/>
                <w:szCs w:val="16"/>
              </w:rPr>
              <w:t>• SailPoint</w:t>
            </w:r>
          </w:p>
        </w:tc>
        <w:tc>
          <w:tcPr>
            <w:tcW w:w="5119" w:type="dxa"/>
            <w:tcBorders>
              <w:left w:val="single" w:sz="4" w:space="0" w:color="2E8B57"/>
            </w:tcBorders>
            <w:shd w:val="clear" w:color="auto" w:fill="FFFFFF"/>
          </w:tcPr>
          <w:p w14:paraId="7AD9E1DB"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E8B57"/>
                <w:sz w:val="22"/>
                <w:szCs w:val="22"/>
              </w:rPr>
              <w:t>Security Operations</w:t>
            </w:r>
          </w:p>
          <w:p w14:paraId="13BA95BB"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CrowdStrike Falcon</w:t>
            </w:r>
          </w:p>
          <w:p w14:paraId="780EF47B"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SentinelOne</w:t>
            </w:r>
          </w:p>
          <w:p w14:paraId="70C612CF"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Qualys</w:t>
            </w:r>
          </w:p>
          <w:p w14:paraId="79CC806A"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Tenable.io</w:t>
            </w:r>
          </w:p>
          <w:p w14:paraId="35674E08"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Wiz (cloud security posture)</w:t>
            </w:r>
          </w:p>
          <w:p w14:paraId="5729558F"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Lacework</w:t>
            </w:r>
          </w:p>
          <w:p w14:paraId="67C421D1" w14:textId="77777777" w:rsidR="00EB3114" w:rsidRDefault="00000000">
            <w:pPr>
              <w:spacing w:after="40"/>
            </w:pPr>
            <w:r>
              <w:rPr>
                <w:rFonts w:ascii="Century Gothic" w:eastAsia="Century Gothic" w:hAnsi="Century Gothic" w:cs="Century Gothic"/>
                <w:sz w:val="16"/>
                <w:szCs w:val="16"/>
              </w:rPr>
              <w:t>• Rapid7</w:t>
            </w:r>
          </w:p>
        </w:tc>
      </w:tr>
    </w:tbl>
    <w:p w14:paraId="72173DA4" w14:textId="77777777" w:rsidR="00EB3114" w:rsidRDefault="00EB3114">
      <w:pPr>
        <w:spacing w:after="100"/>
      </w:pPr>
    </w:p>
    <w:tbl>
      <w:tblPr>
        <w:tblStyle w:val="affd"/>
        <w:tblW w:w="10079" w:type="dxa"/>
        <w:tblInd w:w="1" w:type="dxa"/>
        <w:tblLayout w:type="fixed"/>
        <w:tblLook w:val="0000" w:firstRow="0" w:lastRow="0" w:firstColumn="0" w:lastColumn="0" w:noHBand="0" w:noVBand="0"/>
      </w:tblPr>
      <w:tblGrid>
        <w:gridCol w:w="4960"/>
        <w:gridCol w:w="5119"/>
      </w:tblGrid>
      <w:tr w:rsidR="00EB3114" w14:paraId="3916712A" w14:textId="77777777">
        <w:tc>
          <w:tcPr>
            <w:tcW w:w="4960" w:type="dxa"/>
            <w:tcBorders>
              <w:left w:val="single" w:sz="4" w:space="0" w:color="8C5C0A"/>
            </w:tcBorders>
            <w:shd w:val="clear" w:color="auto" w:fill="FFFFFF"/>
          </w:tcPr>
          <w:p w14:paraId="00A4B4B1"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8C5C0A"/>
                <w:sz w:val="22"/>
                <w:szCs w:val="22"/>
              </w:rPr>
              <w:t>Evidence &amp; Workflow Automation</w:t>
            </w:r>
          </w:p>
          <w:p w14:paraId="49B4A45F"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Jira (advanced, custom workflows, API integrations for evidence routing)</w:t>
            </w:r>
          </w:p>
          <w:p w14:paraId="3212A196"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Confluence</w:t>
            </w:r>
          </w:p>
          <w:p w14:paraId="0FCDCAF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Slack API integrations</w:t>
            </w:r>
          </w:p>
          <w:p w14:paraId="64F0268B"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GitHub</w:t>
            </w:r>
          </w:p>
          <w:p w14:paraId="6C0380E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Notion</w:t>
            </w:r>
          </w:p>
          <w:p w14:paraId="5D751906" w14:textId="77777777" w:rsidR="00EB3114" w:rsidRDefault="00000000">
            <w:pPr>
              <w:spacing w:after="40"/>
            </w:pPr>
            <w:r>
              <w:rPr>
                <w:rFonts w:ascii="Century Gothic" w:eastAsia="Century Gothic" w:hAnsi="Century Gothic" w:cs="Century Gothic"/>
                <w:sz w:val="16"/>
                <w:szCs w:val="16"/>
              </w:rPr>
              <w:t>• Linear</w:t>
            </w:r>
          </w:p>
        </w:tc>
        <w:tc>
          <w:tcPr>
            <w:tcW w:w="5119" w:type="dxa"/>
            <w:tcBorders>
              <w:left w:val="single" w:sz="4" w:space="0" w:color="2A3A52"/>
            </w:tcBorders>
            <w:shd w:val="clear" w:color="auto" w:fill="FFFFFF"/>
          </w:tcPr>
          <w:p w14:paraId="704DE5C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Control Frameworks</w:t>
            </w:r>
          </w:p>
          <w:p w14:paraId="7775D58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NIST SP 800-53 Rev 5</w:t>
            </w:r>
          </w:p>
          <w:p w14:paraId="7E8D2674"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NIST SP 800-171</w:t>
            </w:r>
          </w:p>
          <w:p w14:paraId="080939F0"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NIST CSF 2.0</w:t>
            </w:r>
          </w:p>
          <w:p w14:paraId="65006129"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CIS Controls v8</w:t>
            </w:r>
          </w:p>
          <w:p w14:paraId="5A9C4BD8" w14:textId="77777777" w:rsidR="00EB3114" w:rsidRDefault="00000000">
            <w:pPr>
              <w:spacing w:after="40"/>
            </w:pPr>
            <w:r>
              <w:rPr>
                <w:rFonts w:ascii="Century Gothic" w:eastAsia="Century Gothic" w:hAnsi="Century Gothic" w:cs="Century Gothic"/>
                <w:sz w:val="16"/>
                <w:szCs w:val="16"/>
              </w:rPr>
              <w:t>• SCF (Secure Controls Framework)</w:t>
            </w:r>
          </w:p>
        </w:tc>
      </w:tr>
    </w:tbl>
    <w:p w14:paraId="2D002DFA" w14:textId="77777777" w:rsidR="00EB3114" w:rsidRDefault="00EB3114">
      <w:pPr>
        <w:spacing w:after="100"/>
      </w:pPr>
    </w:p>
    <w:tbl>
      <w:tblPr>
        <w:tblStyle w:val="affe"/>
        <w:tblW w:w="10080" w:type="dxa"/>
        <w:tblInd w:w="1" w:type="dxa"/>
        <w:tblLayout w:type="fixed"/>
        <w:tblLook w:val="0000" w:firstRow="0" w:lastRow="0" w:firstColumn="0" w:lastColumn="0" w:noHBand="0" w:noVBand="0"/>
      </w:tblPr>
      <w:tblGrid>
        <w:gridCol w:w="10080"/>
      </w:tblGrid>
      <w:tr w:rsidR="00EB3114" w14:paraId="1819D8A1" w14:textId="77777777">
        <w:tc>
          <w:tcPr>
            <w:tcW w:w="10080" w:type="dxa"/>
            <w:tcBorders>
              <w:left w:val="single" w:sz="4" w:space="0" w:color="2A3A52"/>
            </w:tcBorders>
            <w:shd w:val="clear" w:color="auto" w:fill="FFFFFF"/>
          </w:tcPr>
          <w:p w14:paraId="7AF0A1DD" w14:textId="77777777" w:rsidR="00EB3114" w:rsidRDefault="00000000">
            <w:pPr>
              <w:spacing w:after="60"/>
              <w:rPr>
                <w:rFonts w:ascii="Century Gothic" w:eastAsia="Century Gothic" w:hAnsi="Century Gothic" w:cs="Century Gothic"/>
                <w:sz w:val="22"/>
                <w:szCs w:val="22"/>
              </w:rPr>
            </w:pPr>
            <w:r>
              <w:rPr>
                <w:rFonts w:ascii="Century Gothic" w:eastAsia="Century Gothic" w:hAnsi="Century Gothic" w:cs="Century Gothic"/>
                <w:b/>
                <w:bCs/>
                <w:color w:val="2A3A52"/>
                <w:sz w:val="22"/>
                <w:szCs w:val="22"/>
              </w:rPr>
              <w:t>Privacy &amp; Legal Tech</w:t>
            </w:r>
          </w:p>
          <w:p w14:paraId="7C7E9783"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OneTrust Privacy</w:t>
            </w:r>
          </w:p>
          <w:p w14:paraId="1F878317"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TrustArc</w:t>
            </w:r>
          </w:p>
          <w:p w14:paraId="2CBCBEA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Osano</w:t>
            </w:r>
          </w:p>
          <w:p w14:paraId="5FEA05F2" w14:textId="77777777" w:rsidR="00EB3114" w:rsidRDefault="00000000">
            <w:pPr>
              <w:spacing w:after="40"/>
              <w:rPr>
                <w:rFonts w:ascii="Century Gothic" w:eastAsia="Century Gothic" w:hAnsi="Century Gothic" w:cs="Century Gothic"/>
                <w:sz w:val="16"/>
                <w:szCs w:val="16"/>
              </w:rPr>
            </w:pPr>
            <w:r>
              <w:rPr>
                <w:rFonts w:ascii="Century Gothic" w:eastAsia="Century Gothic" w:hAnsi="Century Gothic" w:cs="Century Gothic"/>
                <w:sz w:val="16"/>
                <w:szCs w:val="16"/>
              </w:rPr>
              <w:t>• BigID</w:t>
            </w:r>
          </w:p>
          <w:p w14:paraId="2FF2FE7D" w14:textId="77777777" w:rsidR="00EB3114" w:rsidRDefault="00000000">
            <w:pPr>
              <w:spacing w:after="40"/>
            </w:pPr>
            <w:r>
              <w:rPr>
                <w:rFonts w:ascii="Century Gothic" w:eastAsia="Century Gothic" w:hAnsi="Century Gothic" w:cs="Century Gothic"/>
                <w:sz w:val="16"/>
                <w:szCs w:val="16"/>
              </w:rPr>
              <w:t>• DataGrail</w:t>
            </w:r>
          </w:p>
        </w:tc>
      </w:tr>
    </w:tbl>
    <w:p w14:paraId="32985C73" w14:textId="77777777" w:rsidR="00EB3114" w:rsidRDefault="00EB3114">
      <w:pPr>
        <w:spacing w:after="100"/>
      </w:pPr>
    </w:p>
    <w:p w14:paraId="1A1F77F4" w14:textId="77777777" w:rsidR="00EB3114" w:rsidRDefault="00EB3114"/>
    <w:p w14:paraId="44498CC1" w14:textId="77777777" w:rsidR="00EB3114" w:rsidRDefault="00EB3114">
      <w:pPr>
        <w:pageBreakBefore/>
        <w:spacing w:after="100"/>
      </w:pPr>
    </w:p>
    <w:p w14:paraId="54A99C08" w14:textId="77777777" w:rsidR="00EB3114" w:rsidRDefault="00000000">
      <w:pPr>
        <w:spacing w:before="160" w:after="60"/>
        <w:rPr>
          <w:sz w:val="28"/>
          <w:szCs w:val="28"/>
        </w:rPr>
      </w:pPr>
      <w:r>
        <w:rPr>
          <w:rFonts w:ascii="Century Gothic" w:eastAsia="Century Gothic" w:hAnsi="Century Gothic" w:cs="Century Gothic"/>
          <w:b/>
          <w:bCs/>
          <w:color w:val="2A9DB8"/>
          <w:sz w:val="28"/>
          <w:szCs w:val="28"/>
        </w:rPr>
        <w:t>PROFESSIONAL MEMBERSHIPS &amp; AFFILIATIONS</w:t>
      </w:r>
    </w:p>
    <w:p w14:paraId="09D3C988" w14:textId="77777777" w:rsidR="00EB3114" w:rsidRDefault="00EB3114">
      <w:pPr>
        <w:pBdr>
          <w:top w:val="none" w:sz="0" w:space="0" w:color="000000"/>
          <w:left w:val="none" w:sz="0" w:space="0" w:color="000000"/>
          <w:bottom w:val="single" w:sz="4" w:space="1" w:color="2A9DB8"/>
          <w:right w:val="none" w:sz="0" w:space="0" w:color="000000"/>
        </w:pBdr>
        <w:spacing w:after="100"/>
      </w:pPr>
    </w:p>
    <w:p w14:paraId="1CE72C18" w14:textId="77777777" w:rsidR="00EB3114" w:rsidRDefault="00000000">
      <w:pPr>
        <w:spacing w:after="100"/>
        <w:rPr>
          <w:rFonts w:ascii="Century Gothic" w:eastAsia="Century Gothic" w:hAnsi="Century Gothic" w:cs="Century Gothic"/>
          <w:sz w:val="18"/>
          <w:szCs w:val="18"/>
        </w:rPr>
      </w:pPr>
      <w:r>
        <w:rPr>
          <w:rFonts w:ascii="Century Gothic" w:eastAsia="Century Gothic" w:hAnsi="Century Gothic" w:cs="Century Gothic"/>
          <w:sz w:val="18"/>
          <w:szCs w:val="18"/>
        </w:rPr>
        <w:t>Each membership reflects active engagement: continuing education, framework participation, and peer community investment across compliance, security governance, and audit methodology.</w:t>
      </w:r>
    </w:p>
    <w:p w14:paraId="6B934558" w14:textId="77777777" w:rsidR="00EB3114" w:rsidRDefault="00EB3114">
      <w:pPr>
        <w:spacing w:after="100"/>
        <w:rPr>
          <w:rFonts w:ascii="Century Gothic" w:eastAsia="Century Gothic" w:hAnsi="Century Gothic" w:cs="Century Gothic"/>
          <w:color w:val="2A9DB8"/>
          <w:sz w:val="16"/>
          <w:szCs w:val="16"/>
        </w:rPr>
      </w:pPr>
    </w:p>
    <w:tbl>
      <w:tblPr>
        <w:tblStyle w:val="afff"/>
        <w:tblW w:w="10079" w:type="dxa"/>
        <w:tblInd w:w="0" w:type="dxa"/>
        <w:tblLayout w:type="fixed"/>
        <w:tblLook w:val="0000" w:firstRow="0" w:lastRow="0" w:firstColumn="0" w:lastColumn="0" w:noHBand="0" w:noVBand="0"/>
      </w:tblPr>
      <w:tblGrid>
        <w:gridCol w:w="2200"/>
        <w:gridCol w:w="7879"/>
      </w:tblGrid>
      <w:tr w:rsidR="00EB3114" w14:paraId="5C56CCDF" w14:textId="77777777">
        <w:tc>
          <w:tcPr>
            <w:tcW w:w="2200" w:type="dxa"/>
            <w:tcBorders>
              <w:bottom w:val="single" w:sz="4" w:space="0" w:color="D0D8E4"/>
            </w:tcBorders>
            <w:tcMar>
              <w:left w:w="0" w:type="dxa"/>
              <w:right w:w="100" w:type="dxa"/>
            </w:tcMar>
          </w:tcPr>
          <w:p w14:paraId="0BD83CC1" w14:textId="77777777" w:rsidR="00EB3114" w:rsidRDefault="00000000">
            <w:pPr>
              <w:spacing w:after="100"/>
              <w:rPr>
                <w:sz w:val="22"/>
                <w:szCs w:val="22"/>
              </w:rPr>
            </w:pPr>
            <w:r>
              <w:rPr>
                <w:rFonts w:ascii="Century Gothic" w:eastAsia="Century Gothic" w:hAnsi="Century Gothic" w:cs="Century Gothic"/>
                <w:b/>
                <w:bCs/>
                <w:color w:val="2A9DB8"/>
                <w:sz w:val="22"/>
                <w:szCs w:val="22"/>
              </w:rPr>
              <w:t>ISACA</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Information Systems Audit and Control Association</w:t>
            </w:r>
          </w:p>
        </w:tc>
        <w:tc>
          <w:tcPr>
            <w:tcW w:w="7879" w:type="dxa"/>
            <w:tcBorders>
              <w:bottom w:val="single" w:sz="4" w:space="0" w:color="D0D8E4"/>
            </w:tcBorders>
          </w:tcPr>
          <w:p w14:paraId="019F6E4A" w14:textId="77777777" w:rsidR="00EB3114" w:rsidRPr="002972D5" w:rsidRDefault="00000000">
            <w:pPr>
              <w:spacing w:after="100"/>
              <w:rPr>
                <w:sz w:val="24"/>
                <w:szCs w:val="24"/>
              </w:rPr>
            </w:pPr>
            <w:r w:rsidRPr="002972D5">
              <w:rPr>
                <w:sz w:val="24"/>
                <w:szCs w:val="24"/>
              </w:rPr>
              <w:t>Active CPE participant in the GRC and cybersecurity governance track. ISACA certifications (CISM, CRISC) represent the global standard for information security management and enterprise risk. Engagement includes the State of Cybersecurity benchmark research and continuing education in AI governance and emerging compliance frameworks.</w:t>
            </w:r>
          </w:p>
        </w:tc>
      </w:tr>
      <w:tr w:rsidR="00EB3114" w14:paraId="6E7AFB78" w14:textId="77777777">
        <w:tc>
          <w:tcPr>
            <w:tcW w:w="2200" w:type="dxa"/>
            <w:tcBorders>
              <w:bottom w:val="single" w:sz="4" w:space="0" w:color="D0D8E4"/>
            </w:tcBorders>
            <w:tcMar>
              <w:left w:w="0" w:type="dxa"/>
              <w:right w:w="100" w:type="dxa"/>
            </w:tcMar>
          </w:tcPr>
          <w:p w14:paraId="08FE6580" w14:textId="77777777" w:rsidR="00EB3114" w:rsidRDefault="00000000">
            <w:pPr>
              <w:spacing w:after="100"/>
              <w:rPr>
                <w:sz w:val="22"/>
                <w:szCs w:val="22"/>
              </w:rPr>
            </w:pPr>
            <w:r>
              <w:rPr>
                <w:rFonts w:ascii="Century Gothic" w:eastAsia="Century Gothic" w:hAnsi="Century Gothic" w:cs="Century Gothic"/>
                <w:b/>
                <w:bCs/>
                <w:color w:val="2A9DB8"/>
                <w:sz w:val="22"/>
                <w:szCs w:val="22"/>
              </w:rPr>
              <w:t>ISC2</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International Information System Security Certification Consortium</w:t>
            </w:r>
          </w:p>
        </w:tc>
        <w:tc>
          <w:tcPr>
            <w:tcW w:w="7879" w:type="dxa"/>
            <w:tcBorders>
              <w:bottom w:val="single" w:sz="4" w:space="0" w:color="D0D8E4"/>
            </w:tcBorders>
          </w:tcPr>
          <w:p w14:paraId="2288A051" w14:textId="77777777" w:rsidR="00EB3114" w:rsidRPr="002972D5" w:rsidRDefault="00000000">
            <w:pPr>
              <w:spacing w:after="100"/>
              <w:rPr>
                <w:sz w:val="24"/>
                <w:szCs w:val="24"/>
              </w:rPr>
            </w:pPr>
            <w:r w:rsidRPr="002972D5">
              <w:rPr>
                <w:sz w:val="24"/>
                <w:szCs w:val="24"/>
              </w:rPr>
              <w:t>Member of the world's largest cybersecurity professional organization. ISC2 provides the framework for CISSP and CCSP certifications, representing board-level recognition of security governance expertise. Engagement supports cross-industry security posture research and professional development in cloud security and privacy.</w:t>
            </w:r>
          </w:p>
        </w:tc>
      </w:tr>
      <w:tr w:rsidR="00EB3114" w14:paraId="2D0F826D" w14:textId="77777777">
        <w:tc>
          <w:tcPr>
            <w:tcW w:w="2200" w:type="dxa"/>
            <w:tcBorders>
              <w:bottom w:val="single" w:sz="4" w:space="0" w:color="D0D8E4"/>
            </w:tcBorders>
            <w:tcMar>
              <w:left w:w="0" w:type="dxa"/>
              <w:right w:w="100" w:type="dxa"/>
            </w:tcMar>
          </w:tcPr>
          <w:p w14:paraId="7F0E25B3" w14:textId="77777777" w:rsidR="00EB3114" w:rsidRDefault="00000000">
            <w:pPr>
              <w:spacing w:after="100"/>
              <w:rPr>
                <w:sz w:val="22"/>
                <w:szCs w:val="22"/>
              </w:rPr>
            </w:pPr>
            <w:r>
              <w:rPr>
                <w:rFonts w:ascii="Century Gothic" w:eastAsia="Century Gothic" w:hAnsi="Century Gothic" w:cs="Century Gothic"/>
                <w:b/>
                <w:bCs/>
                <w:color w:val="2A9DB8"/>
                <w:sz w:val="22"/>
                <w:szCs w:val="22"/>
              </w:rPr>
              <w:t>CSA</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Cloud Security Alliance</w:t>
            </w:r>
          </w:p>
        </w:tc>
        <w:tc>
          <w:tcPr>
            <w:tcW w:w="7879" w:type="dxa"/>
            <w:tcBorders>
              <w:bottom w:val="single" w:sz="4" w:space="0" w:color="D0D8E4"/>
            </w:tcBorders>
          </w:tcPr>
          <w:p w14:paraId="5CC92EA6" w14:textId="77777777" w:rsidR="00EB3114" w:rsidRPr="002972D5" w:rsidRDefault="00000000">
            <w:pPr>
              <w:spacing w:after="100"/>
              <w:rPr>
                <w:sz w:val="24"/>
                <w:szCs w:val="24"/>
              </w:rPr>
            </w:pPr>
            <w:r w:rsidRPr="002972D5">
              <w:rPr>
                <w:sz w:val="24"/>
                <w:szCs w:val="24"/>
              </w:rPr>
              <w:t>Active STAR program member. CSA defines the CSA STAR standard (SOC 2 plus cloud-specific controls) held at Rubrik, People.ai, and Elastic. Participation includes engagement with the Cloud Controls Matrix and CAIQ framework, both used directly in customer security reviews and enterprise sales cycles.</w:t>
            </w:r>
          </w:p>
        </w:tc>
      </w:tr>
      <w:tr w:rsidR="00EB3114" w14:paraId="1652C5CD" w14:textId="77777777">
        <w:tc>
          <w:tcPr>
            <w:tcW w:w="2200" w:type="dxa"/>
            <w:tcBorders>
              <w:bottom w:val="single" w:sz="4" w:space="0" w:color="D0D8E4"/>
            </w:tcBorders>
            <w:tcMar>
              <w:left w:w="0" w:type="dxa"/>
              <w:right w:w="100" w:type="dxa"/>
            </w:tcMar>
          </w:tcPr>
          <w:p w14:paraId="470B6D8F" w14:textId="77777777" w:rsidR="00EB3114" w:rsidRDefault="00000000">
            <w:pPr>
              <w:spacing w:after="100"/>
              <w:rPr>
                <w:sz w:val="22"/>
                <w:szCs w:val="22"/>
              </w:rPr>
            </w:pPr>
            <w:r>
              <w:rPr>
                <w:rFonts w:ascii="Century Gothic" w:eastAsia="Century Gothic" w:hAnsi="Century Gothic" w:cs="Century Gothic"/>
                <w:b/>
                <w:bCs/>
                <w:color w:val="2A9DB8"/>
                <w:sz w:val="22"/>
                <w:szCs w:val="22"/>
              </w:rPr>
              <w:t>HITRUST Community</w:t>
            </w:r>
          </w:p>
        </w:tc>
        <w:tc>
          <w:tcPr>
            <w:tcW w:w="7879" w:type="dxa"/>
            <w:tcBorders>
              <w:bottom w:val="single" w:sz="4" w:space="0" w:color="D0D8E4"/>
            </w:tcBorders>
          </w:tcPr>
          <w:p w14:paraId="1C76D840" w14:textId="77777777" w:rsidR="00EB3114" w:rsidRPr="002972D5" w:rsidRDefault="00000000">
            <w:pPr>
              <w:spacing w:after="100"/>
              <w:rPr>
                <w:sz w:val="24"/>
                <w:szCs w:val="24"/>
              </w:rPr>
            </w:pPr>
            <w:r w:rsidRPr="002972D5">
              <w:rPr>
                <w:sz w:val="24"/>
                <w:szCs w:val="24"/>
              </w:rPr>
              <w:t>Active participant in framework development feedback processes. HITRUST CSF r2 is the preferred certification of major US hospital networks. Community participation informs implementation methodology, auditor engagement, and the bridge between HIPAA and HITRUST control frameworks.</w:t>
            </w:r>
          </w:p>
        </w:tc>
      </w:tr>
      <w:tr w:rsidR="00EB3114" w14:paraId="2C73318D" w14:textId="77777777">
        <w:tc>
          <w:tcPr>
            <w:tcW w:w="2200" w:type="dxa"/>
            <w:tcBorders>
              <w:bottom w:val="single" w:sz="4" w:space="0" w:color="D0D8E4"/>
            </w:tcBorders>
            <w:tcMar>
              <w:left w:w="0" w:type="dxa"/>
              <w:right w:w="100" w:type="dxa"/>
            </w:tcMar>
          </w:tcPr>
          <w:p w14:paraId="007B05F2" w14:textId="77777777" w:rsidR="00EB3114" w:rsidRDefault="00000000">
            <w:pPr>
              <w:spacing w:after="100"/>
              <w:rPr>
                <w:sz w:val="22"/>
                <w:szCs w:val="22"/>
              </w:rPr>
            </w:pPr>
            <w:r>
              <w:rPr>
                <w:rFonts w:ascii="Century Gothic" w:eastAsia="Century Gothic" w:hAnsi="Century Gothic" w:cs="Century Gothic"/>
                <w:b/>
                <w:bCs/>
                <w:color w:val="2A9DB8"/>
                <w:sz w:val="22"/>
                <w:szCs w:val="22"/>
              </w:rPr>
              <w:t>AICPA</w:t>
            </w:r>
            <w:r>
              <w:rPr>
                <w:rFonts w:ascii="Century Gothic" w:eastAsia="Century Gothic" w:hAnsi="Century Gothic" w:cs="Century Gothic"/>
                <w:b/>
                <w:bCs/>
                <w:color w:val="2A9DB8"/>
                <w:sz w:val="22"/>
                <w:szCs w:val="22"/>
              </w:rPr>
              <w:br/>
            </w:r>
            <w:r>
              <w:rPr>
                <w:rFonts w:ascii="Century Gothic" w:eastAsia="Century Gothic" w:hAnsi="Century Gothic" w:cs="Century Gothic"/>
                <w:b/>
                <w:bCs/>
                <w:i/>
                <w:iCs/>
                <w:color w:val="2A9DB8"/>
                <w:sz w:val="22"/>
                <w:szCs w:val="22"/>
              </w:rPr>
              <w:t>American Institute of Certified Public Accountants</w:t>
            </w:r>
          </w:p>
        </w:tc>
        <w:tc>
          <w:tcPr>
            <w:tcW w:w="7879" w:type="dxa"/>
            <w:tcBorders>
              <w:bottom w:val="single" w:sz="4" w:space="0" w:color="D0D8E4"/>
            </w:tcBorders>
          </w:tcPr>
          <w:p w14:paraId="0A9FB86F" w14:textId="77777777" w:rsidR="00EB3114" w:rsidRPr="002972D5" w:rsidRDefault="00000000">
            <w:pPr>
              <w:spacing w:after="100"/>
              <w:rPr>
                <w:sz w:val="24"/>
                <w:szCs w:val="24"/>
              </w:rPr>
            </w:pPr>
            <w:r w:rsidRPr="002972D5">
              <w:rPr>
                <w:sz w:val="24"/>
                <w:szCs w:val="24"/>
              </w:rPr>
              <w:t>Continuing education participant in the SOC 2 Trust Services Criteria program. AICPA defines and updates the TSC governing every SOC 2 audit globally. Engagement ensures audit-readiness methodology remains current with criteria changes, common deficiency patterns, and evolving assessor expectations.</w:t>
            </w:r>
          </w:p>
        </w:tc>
      </w:tr>
    </w:tbl>
    <w:p w14:paraId="5A40A82E" w14:textId="77777777" w:rsidR="00EB3114" w:rsidRDefault="00EB3114"/>
    <w:p w14:paraId="7D80C682" w14:textId="77777777" w:rsidR="00EB3114" w:rsidRDefault="00EB3114"/>
    <w:p w14:paraId="504C70FF" w14:textId="77777777" w:rsidR="00EB3114" w:rsidRDefault="00EB3114">
      <w:pPr>
        <w:pageBreakBefore/>
        <w:spacing w:after="100"/>
      </w:pPr>
    </w:p>
    <w:p w14:paraId="1F97C593" w14:textId="77777777" w:rsidR="00EB3114" w:rsidRDefault="00000000">
      <w:pPr>
        <w:spacing w:before="160" w:after="60"/>
        <w:rPr>
          <w:sz w:val="28"/>
          <w:szCs w:val="28"/>
        </w:rPr>
      </w:pPr>
      <w:r>
        <w:rPr>
          <w:rFonts w:ascii="Century Gothic" w:eastAsia="Century Gothic" w:hAnsi="Century Gothic" w:cs="Century Gothic"/>
          <w:b/>
          <w:bCs/>
          <w:color w:val="4A5568"/>
          <w:sz w:val="28"/>
          <w:szCs w:val="28"/>
        </w:rPr>
        <w:t>APPENDIX A: PROGRAM PERFORMANCE METRICS</w:t>
      </w:r>
    </w:p>
    <w:p w14:paraId="1C835133" w14:textId="77777777" w:rsidR="00EB3114" w:rsidRDefault="00EB3114">
      <w:pPr>
        <w:pBdr>
          <w:top w:val="none" w:sz="0" w:space="0" w:color="000000"/>
          <w:left w:val="none" w:sz="0" w:space="0" w:color="000000"/>
          <w:bottom w:val="single" w:sz="4" w:space="1" w:color="4A5568"/>
          <w:right w:val="none" w:sz="0" w:space="0" w:color="000000"/>
        </w:pBdr>
        <w:spacing w:after="100"/>
      </w:pPr>
    </w:p>
    <w:p w14:paraId="74CEDF3A" w14:textId="77777777" w:rsidR="00EB3114" w:rsidRDefault="00000000">
      <w:pPr>
        <w:spacing w:after="80"/>
        <w:rPr>
          <w:rFonts w:ascii="Century Gothic" w:eastAsia="Century Gothic" w:hAnsi="Century Gothic" w:cs="Century Gothic"/>
          <w:sz w:val="16"/>
          <w:szCs w:val="16"/>
        </w:rPr>
      </w:pPr>
      <w:r>
        <w:rPr>
          <w:rFonts w:ascii="Century Gothic" w:eastAsia="Century Gothic" w:hAnsi="Century Gothic" w:cs="Century Gothic"/>
          <w:sz w:val="16"/>
          <w:szCs w:val="16"/>
        </w:rPr>
        <w:t>All metrics drawn from program records, company filings, and auditor reports. Revenue figures from SEC/NYSE public filings. Program-level measurements recorded during active compliance management.</w:t>
      </w:r>
    </w:p>
    <w:p w14:paraId="3F569BC5" w14:textId="77777777" w:rsidR="00EB3114" w:rsidRDefault="00EB3114">
      <w:pPr>
        <w:spacing w:after="80"/>
        <w:rPr>
          <w:rFonts w:ascii="Century Gothic" w:eastAsia="Century Gothic" w:hAnsi="Century Gothic" w:cs="Century Gothic"/>
          <w:color w:val="FFFFFF"/>
          <w:sz w:val="14"/>
          <w:szCs w:val="14"/>
        </w:rPr>
      </w:pPr>
    </w:p>
    <w:tbl>
      <w:tblPr>
        <w:tblStyle w:val="afff0"/>
        <w:tblW w:w="10079" w:type="dxa"/>
        <w:tblInd w:w="0" w:type="dxa"/>
        <w:tblLayout w:type="fixed"/>
        <w:tblLook w:val="0000" w:firstRow="0" w:lastRow="0" w:firstColumn="0" w:lastColumn="0" w:noHBand="0" w:noVBand="0"/>
      </w:tblPr>
      <w:tblGrid>
        <w:gridCol w:w="2419"/>
        <w:gridCol w:w="1774"/>
        <w:gridCol w:w="2338"/>
        <w:gridCol w:w="1129"/>
        <w:gridCol w:w="1452"/>
        <w:gridCol w:w="967"/>
      </w:tblGrid>
      <w:tr w:rsidR="00EB3114" w14:paraId="2F7A11AF" w14:textId="77777777">
        <w:trPr>
          <w:tblHeader/>
        </w:trPr>
        <w:tc>
          <w:tcPr>
            <w:tcW w:w="2419" w:type="dxa"/>
            <w:tcBorders>
              <w:bottom w:val="single" w:sz="4" w:space="0" w:color="D0D8E4"/>
            </w:tcBorders>
            <w:shd w:val="clear" w:color="auto" w:fill="1A2A40"/>
          </w:tcPr>
          <w:p w14:paraId="78A2BD63" w14:textId="77777777" w:rsidR="00EB3114" w:rsidRDefault="00000000">
            <w:pPr>
              <w:spacing w:after="100"/>
              <w:rPr>
                <w:sz w:val="22"/>
                <w:szCs w:val="22"/>
              </w:rPr>
            </w:pPr>
            <w:r>
              <w:rPr>
                <w:rFonts w:ascii="Century Gothic" w:eastAsia="Century Gothic" w:hAnsi="Century Gothic" w:cs="Century Gothic"/>
                <w:b/>
                <w:bCs/>
                <w:color w:val="FFFFFF"/>
                <w:sz w:val="22"/>
                <w:szCs w:val="22"/>
              </w:rPr>
              <w:t>Metric</w:t>
            </w:r>
          </w:p>
        </w:tc>
        <w:tc>
          <w:tcPr>
            <w:tcW w:w="1774" w:type="dxa"/>
            <w:tcBorders>
              <w:bottom w:val="single" w:sz="4" w:space="0" w:color="D0D8E4"/>
            </w:tcBorders>
            <w:shd w:val="clear" w:color="auto" w:fill="1A2A40"/>
          </w:tcPr>
          <w:p w14:paraId="16488397" w14:textId="77777777" w:rsidR="00EB3114" w:rsidRDefault="00000000">
            <w:pPr>
              <w:spacing w:after="100"/>
              <w:rPr>
                <w:sz w:val="22"/>
                <w:szCs w:val="22"/>
              </w:rPr>
            </w:pPr>
            <w:r>
              <w:rPr>
                <w:rFonts w:ascii="Century Gothic" w:eastAsia="Century Gothic" w:hAnsi="Century Gothic" w:cs="Century Gothic"/>
                <w:b/>
                <w:bCs/>
                <w:color w:val="FFFFFF"/>
                <w:sz w:val="22"/>
                <w:szCs w:val="22"/>
              </w:rPr>
              <w:t>Baseline</w:t>
            </w:r>
          </w:p>
        </w:tc>
        <w:tc>
          <w:tcPr>
            <w:tcW w:w="2338" w:type="dxa"/>
            <w:tcBorders>
              <w:bottom w:val="single" w:sz="4" w:space="0" w:color="D0D8E4"/>
            </w:tcBorders>
            <w:shd w:val="clear" w:color="auto" w:fill="1A2A40"/>
          </w:tcPr>
          <w:p w14:paraId="76ECFECF" w14:textId="77777777" w:rsidR="00EB3114" w:rsidRDefault="00000000">
            <w:pPr>
              <w:spacing w:after="100"/>
              <w:rPr>
                <w:sz w:val="22"/>
                <w:szCs w:val="22"/>
              </w:rPr>
            </w:pPr>
            <w:r>
              <w:rPr>
                <w:rFonts w:ascii="Century Gothic" w:eastAsia="Century Gothic" w:hAnsi="Century Gothic" w:cs="Century Gothic"/>
                <w:b/>
                <w:bCs/>
                <w:color w:val="FFFFFF"/>
                <w:sz w:val="22"/>
                <w:szCs w:val="22"/>
              </w:rPr>
              <w:t>Result</w:t>
            </w:r>
          </w:p>
        </w:tc>
        <w:tc>
          <w:tcPr>
            <w:tcW w:w="1129" w:type="dxa"/>
            <w:tcBorders>
              <w:bottom w:val="single" w:sz="4" w:space="0" w:color="D0D8E4"/>
            </w:tcBorders>
            <w:shd w:val="clear" w:color="auto" w:fill="1A2A40"/>
          </w:tcPr>
          <w:p w14:paraId="7CF84BEC" w14:textId="77777777" w:rsidR="00EB3114" w:rsidRDefault="00000000">
            <w:pPr>
              <w:spacing w:after="100"/>
            </w:pPr>
            <w:r>
              <w:rPr>
                <w:rFonts w:ascii="Century Gothic" w:eastAsia="Century Gothic" w:hAnsi="Century Gothic" w:cs="Century Gothic"/>
                <w:b/>
                <w:bCs/>
                <w:color w:val="FFFFFF"/>
              </w:rPr>
              <w:t>Reduction</w:t>
            </w:r>
          </w:p>
        </w:tc>
        <w:tc>
          <w:tcPr>
            <w:tcW w:w="1452" w:type="dxa"/>
            <w:tcBorders>
              <w:bottom w:val="single" w:sz="4" w:space="0" w:color="D0D8E4"/>
            </w:tcBorders>
            <w:shd w:val="clear" w:color="auto" w:fill="1A2A40"/>
          </w:tcPr>
          <w:p w14:paraId="5C859F55" w14:textId="77777777" w:rsidR="00EB3114" w:rsidRDefault="00000000">
            <w:pPr>
              <w:spacing w:after="100"/>
              <w:rPr>
                <w:sz w:val="22"/>
                <w:szCs w:val="22"/>
              </w:rPr>
            </w:pPr>
            <w:r>
              <w:rPr>
                <w:rFonts w:ascii="Century Gothic" w:eastAsia="Century Gothic" w:hAnsi="Century Gothic" w:cs="Century Gothic"/>
                <w:b/>
                <w:bCs/>
                <w:color w:val="FFFFFF"/>
                <w:sz w:val="22"/>
                <w:szCs w:val="22"/>
              </w:rPr>
              <w:t>Company</w:t>
            </w:r>
          </w:p>
        </w:tc>
        <w:tc>
          <w:tcPr>
            <w:tcW w:w="967" w:type="dxa"/>
            <w:tcBorders>
              <w:bottom w:val="single" w:sz="4" w:space="0" w:color="D0D8E4"/>
            </w:tcBorders>
            <w:shd w:val="clear" w:color="auto" w:fill="1A2A40"/>
          </w:tcPr>
          <w:p w14:paraId="0D3E70CD" w14:textId="77777777" w:rsidR="00EB3114" w:rsidRDefault="00000000">
            <w:pPr>
              <w:spacing w:after="100"/>
              <w:rPr>
                <w:sz w:val="22"/>
                <w:szCs w:val="22"/>
              </w:rPr>
            </w:pPr>
            <w:r>
              <w:rPr>
                <w:rFonts w:ascii="Century Gothic" w:eastAsia="Century Gothic" w:hAnsi="Century Gothic" w:cs="Century Gothic"/>
                <w:b/>
                <w:bCs/>
                <w:color w:val="FFFFFF"/>
                <w:sz w:val="22"/>
                <w:szCs w:val="22"/>
              </w:rPr>
              <w:t>Period</w:t>
            </w:r>
          </w:p>
        </w:tc>
      </w:tr>
      <w:tr w:rsidR="00EB3114" w14:paraId="26B0EAE0" w14:textId="77777777">
        <w:tc>
          <w:tcPr>
            <w:tcW w:w="2419" w:type="dxa"/>
            <w:tcBorders>
              <w:bottom w:val="single" w:sz="4" w:space="0" w:color="D0D8E4"/>
            </w:tcBorders>
            <w:shd w:val="clear" w:color="auto" w:fill="FFFFFF"/>
          </w:tcPr>
          <w:p w14:paraId="79053CAA" w14:textId="77777777" w:rsidR="00EB3114" w:rsidRDefault="00000000">
            <w:pPr>
              <w:spacing w:after="100"/>
              <w:rPr>
                <w:sz w:val="28"/>
                <w:szCs w:val="28"/>
              </w:rPr>
            </w:pPr>
            <w:r>
              <w:rPr>
                <w:sz w:val="24"/>
                <w:szCs w:val="24"/>
              </w:rPr>
              <w:t>Audit requests / cycle</w:t>
            </w:r>
          </w:p>
        </w:tc>
        <w:tc>
          <w:tcPr>
            <w:tcW w:w="1774" w:type="dxa"/>
            <w:tcBorders>
              <w:bottom w:val="single" w:sz="4" w:space="0" w:color="D0D8E4"/>
            </w:tcBorders>
            <w:shd w:val="clear" w:color="auto" w:fill="FFFFFF"/>
          </w:tcPr>
          <w:p w14:paraId="58F53AA5" w14:textId="77777777" w:rsidR="00EB3114" w:rsidRDefault="00000000">
            <w:pPr>
              <w:spacing w:after="100"/>
              <w:rPr>
                <w:sz w:val="28"/>
                <w:szCs w:val="28"/>
              </w:rPr>
            </w:pPr>
            <w:r>
              <w:rPr>
                <w:sz w:val="24"/>
                <w:szCs w:val="24"/>
              </w:rPr>
              <w:t>1,000+</w:t>
            </w:r>
          </w:p>
        </w:tc>
        <w:tc>
          <w:tcPr>
            <w:tcW w:w="2338" w:type="dxa"/>
            <w:tcBorders>
              <w:bottom w:val="single" w:sz="4" w:space="0" w:color="D0D8E4"/>
            </w:tcBorders>
            <w:shd w:val="clear" w:color="auto" w:fill="FFFFFF"/>
          </w:tcPr>
          <w:p w14:paraId="52D7B391" w14:textId="77777777" w:rsidR="00EB3114" w:rsidRDefault="00000000">
            <w:pPr>
              <w:spacing w:after="100"/>
              <w:rPr>
                <w:sz w:val="28"/>
                <w:szCs w:val="28"/>
              </w:rPr>
            </w:pPr>
            <w:r>
              <w:rPr>
                <w:color w:val="2E8B57"/>
                <w:sz w:val="24"/>
                <w:szCs w:val="24"/>
              </w:rPr>
              <w:t>&lt;400</w:t>
            </w:r>
          </w:p>
        </w:tc>
        <w:tc>
          <w:tcPr>
            <w:tcW w:w="1129" w:type="dxa"/>
            <w:tcBorders>
              <w:bottom w:val="single" w:sz="4" w:space="0" w:color="D0D8E4"/>
            </w:tcBorders>
            <w:shd w:val="clear" w:color="auto" w:fill="FFFFFF"/>
          </w:tcPr>
          <w:p w14:paraId="3810A388" w14:textId="77777777" w:rsidR="00EB3114" w:rsidRDefault="00000000">
            <w:pPr>
              <w:spacing w:after="100"/>
              <w:rPr>
                <w:sz w:val="28"/>
                <w:szCs w:val="28"/>
              </w:rPr>
            </w:pPr>
            <w:r>
              <w:rPr>
                <w:color w:val="2A9DB8"/>
                <w:sz w:val="24"/>
                <w:szCs w:val="24"/>
              </w:rPr>
              <w:t>-60%</w:t>
            </w:r>
          </w:p>
        </w:tc>
        <w:tc>
          <w:tcPr>
            <w:tcW w:w="1452" w:type="dxa"/>
            <w:tcBorders>
              <w:bottom w:val="single" w:sz="4" w:space="0" w:color="D0D8E4"/>
            </w:tcBorders>
            <w:shd w:val="clear" w:color="auto" w:fill="FFFFFF"/>
          </w:tcPr>
          <w:p w14:paraId="715E7AC9"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50995DD1" w14:textId="77777777" w:rsidR="00EB3114" w:rsidRDefault="00000000">
            <w:pPr>
              <w:spacing w:after="100"/>
              <w:rPr>
                <w:sz w:val="28"/>
                <w:szCs w:val="28"/>
              </w:rPr>
            </w:pPr>
            <w:r>
              <w:rPr>
                <w:sz w:val="24"/>
                <w:szCs w:val="24"/>
              </w:rPr>
              <w:t>2023–26</w:t>
            </w:r>
          </w:p>
        </w:tc>
      </w:tr>
      <w:tr w:rsidR="00EB3114" w14:paraId="3DD4BB35" w14:textId="77777777">
        <w:tc>
          <w:tcPr>
            <w:tcW w:w="2419" w:type="dxa"/>
            <w:tcBorders>
              <w:bottom w:val="single" w:sz="4" w:space="0" w:color="D0D8E4"/>
            </w:tcBorders>
            <w:shd w:val="clear" w:color="auto" w:fill="FFFFFF"/>
          </w:tcPr>
          <w:p w14:paraId="6C2F65F2" w14:textId="77777777" w:rsidR="00EB3114" w:rsidRDefault="00000000">
            <w:pPr>
              <w:spacing w:after="100"/>
              <w:rPr>
                <w:sz w:val="28"/>
                <w:szCs w:val="28"/>
              </w:rPr>
            </w:pPr>
            <w:r>
              <w:rPr>
                <w:sz w:val="24"/>
                <w:szCs w:val="24"/>
              </w:rPr>
              <w:t>Engineering hrs / cert cycle</w:t>
            </w:r>
          </w:p>
        </w:tc>
        <w:tc>
          <w:tcPr>
            <w:tcW w:w="1774" w:type="dxa"/>
            <w:tcBorders>
              <w:bottom w:val="single" w:sz="4" w:space="0" w:color="D0D8E4"/>
            </w:tcBorders>
            <w:shd w:val="clear" w:color="auto" w:fill="FFFFFF"/>
          </w:tcPr>
          <w:p w14:paraId="7166D532" w14:textId="77777777" w:rsidR="00EB3114" w:rsidRDefault="00000000">
            <w:pPr>
              <w:spacing w:after="100"/>
              <w:rPr>
                <w:sz w:val="28"/>
                <w:szCs w:val="28"/>
              </w:rPr>
            </w:pPr>
            <w:r>
              <w:rPr>
                <w:sz w:val="24"/>
                <w:szCs w:val="24"/>
              </w:rPr>
              <w:t>40 hrs / owner</w:t>
            </w:r>
          </w:p>
        </w:tc>
        <w:tc>
          <w:tcPr>
            <w:tcW w:w="2338" w:type="dxa"/>
            <w:tcBorders>
              <w:bottom w:val="single" w:sz="4" w:space="0" w:color="D0D8E4"/>
            </w:tcBorders>
            <w:shd w:val="clear" w:color="auto" w:fill="FFFFFF"/>
          </w:tcPr>
          <w:p w14:paraId="110DC8BE" w14:textId="77777777" w:rsidR="00EB3114" w:rsidRDefault="00000000">
            <w:pPr>
              <w:spacing w:after="100"/>
              <w:rPr>
                <w:sz w:val="28"/>
                <w:szCs w:val="28"/>
              </w:rPr>
            </w:pPr>
            <w:r>
              <w:rPr>
                <w:color w:val="2E8B57"/>
                <w:sz w:val="24"/>
                <w:szCs w:val="24"/>
              </w:rPr>
              <w:t>2 hrs / owner</w:t>
            </w:r>
          </w:p>
        </w:tc>
        <w:tc>
          <w:tcPr>
            <w:tcW w:w="1129" w:type="dxa"/>
            <w:tcBorders>
              <w:bottom w:val="single" w:sz="4" w:space="0" w:color="D0D8E4"/>
            </w:tcBorders>
            <w:shd w:val="clear" w:color="auto" w:fill="FFFFFF"/>
          </w:tcPr>
          <w:p w14:paraId="58DAD1F3" w14:textId="77777777" w:rsidR="00EB3114" w:rsidRDefault="00000000">
            <w:pPr>
              <w:spacing w:after="100"/>
              <w:rPr>
                <w:sz w:val="28"/>
                <w:szCs w:val="28"/>
              </w:rPr>
            </w:pPr>
            <w:r>
              <w:rPr>
                <w:color w:val="2A9DB8"/>
                <w:sz w:val="24"/>
                <w:szCs w:val="24"/>
              </w:rPr>
              <w:t>-95%</w:t>
            </w:r>
          </w:p>
        </w:tc>
        <w:tc>
          <w:tcPr>
            <w:tcW w:w="1452" w:type="dxa"/>
            <w:tcBorders>
              <w:bottom w:val="single" w:sz="4" w:space="0" w:color="D0D8E4"/>
            </w:tcBorders>
            <w:shd w:val="clear" w:color="auto" w:fill="FFFFFF"/>
          </w:tcPr>
          <w:p w14:paraId="5DB54891"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0EADD518" w14:textId="77777777" w:rsidR="00EB3114" w:rsidRDefault="00000000">
            <w:pPr>
              <w:spacing w:after="100"/>
              <w:rPr>
                <w:sz w:val="28"/>
                <w:szCs w:val="28"/>
              </w:rPr>
            </w:pPr>
            <w:r>
              <w:rPr>
                <w:sz w:val="24"/>
                <w:szCs w:val="24"/>
              </w:rPr>
              <w:t>2023–26</w:t>
            </w:r>
          </w:p>
        </w:tc>
      </w:tr>
      <w:tr w:rsidR="00EB3114" w14:paraId="7D4B00FF" w14:textId="77777777">
        <w:tc>
          <w:tcPr>
            <w:tcW w:w="2419" w:type="dxa"/>
            <w:tcBorders>
              <w:bottom w:val="single" w:sz="4" w:space="0" w:color="D0D8E4"/>
            </w:tcBorders>
            <w:shd w:val="clear" w:color="auto" w:fill="FFFFFF"/>
          </w:tcPr>
          <w:p w14:paraId="251EB0A7" w14:textId="77777777" w:rsidR="00EB3114" w:rsidRDefault="00000000">
            <w:pPr>
              <w:spacing w:after="100"/>
              <w:rPr>
                <w:sz w:val="28"/>
                <w:szCs w:val="28"/>
              </w:rPr>
            </w:pPr>
            <w:r>
              <w:rPr>
                <w:sz w:val="24"/>
                <w:szCs w:val="24"/>
              </w:rPr>
              <w:t>Audit cycle duration</w:t>
            </w:r>
          </w:p>
        </w:tc>
        <w:tc>
          <w:tcPr>
            <w:tcW w:w="1774" w:type="dxa"/>
            <w:tcBorders>
              <w:bottom w:val="single" w:sz="4" w:space="0" w:color="D0D8E4"/>
            </w:tcBorders>
            <w:shd w:val="clear" w:color="auto" w:fill="FFFFFF"/>
          </w:tcPr>
          <w:p w14:paraId="256BCCB0" w14:textId="77777777" w:rsidR="00EB3114" w:rsidRDefault="00000000">
            <w:pPr>
              <w:spacing w:after="100"/>
              <w:rPr>
                <w:sz w:val="28"/>
                <w:szCs w:val="28"/>
              </w:rPr>
            </w:pPr>
            <w:r>
              <w:rPr>
                <w:sz w:val="24"/>
                <w:szCs w:val="24"/>
              </w:rPr>
              <w:t>9–12 mo / framework</w:t>
            </w:r>
          </w:p>
        </w:tc>
        <w:tc>
          <w:tcPr>
            <w:tcW w:w="2338" w:type="dxa"/>
            <w:tcBorders>
              <w:bottom w:val="single" w:sz="4" w:space="0" w:color="D0D8E4"/>
            </w:tcBorders>
            <w:shd w:val="clear" w:color="auto" w:fill="FFFFFF"/>
          </w:tcPr>
          <w:p w14:paraId="3398437F" w14:textId="77777777" w:rsidR="00EB3114" w:rsidRDefault="00000000">
            <w:pPr>
              <w:spacing w:after="100"/>
              <w:rPr>
                <w:sz w:val="28"/>
                <w:szCs w:val="28"/>
              </w:rPr>
            </w:pPr>
            <w:r>
              <w:rPr>
                <w:color w:val="2E8B57"/>
                <w:sz w:val="24"/>
                <w:szCs w:val="24"/>
              </w:rPr>
              <w:t>3 months all frameworks</w:t>
            </w:r>
          </w:p>
        </w:tc>
        <w:tc>
          <w:tcPr>
            <w:tcW w:w="1129" w:type="dxa"/>
            <w:tcBorders>
              <w:bottom w:val="single" w:sz="4" w:space="0" w:color="D0D8E4"/>
            </w:tcBorders>
            <w:shd w:val="clear" w:color="auto" w:fill="FFFFFF"/>
          </w:tcPr>
          <w:p w14:paraId="73622484" w14:textId="77777777" w:rsidR="00EB3114" w:rsidRDefault="00000000">
            <w:pPr>
              <w:spacing w:after="100"/>
              <w:rPr>
                <w:sz w:val="28"/>
                <w:szCs w:val="28"/>
              </w:rPr>
            </w:pPr>
            <w:r>
              <w:rPr>
                <w:color w:val="2A9DB8"/>
                <w:sz w:val="24"/>
                <w:szCs w:val="24"/>
              </w:rPr>
              <w:t>-75%</w:t>
            </w:r>
          </w:p>
        </w:tc>
        <w:tc>
          <w:tcPr>
            <w:tcW w:w="1452" w:type="dxa"/>
            <w:tcBorders>
              <w:bottom w:val="single" w:sz="4" w:space="0" w:color="D0D8E4"/>
            </w:tcBorders>
            <w:shd w:val="clear" w:color="auto" w:fill="FFFFFF"/>
          </w:tcPr>
          <w:p w14:paraId="171FE3CD" w14:textId="77777777" w:rsidR="00EB3114" w:rsidRDefault="00000000">
            <w:pPr>
              <w:spacing w:after="100"/>
              <w:rPr>
                <w:sz w:val="28"/>
                <w:szCs w:val="28"/>
              </w:rPr>
            </w:pPr>
            <w:r>
              <w:rPr>
                <w:color w:val="8C5C0A"/>
                <w:sz w:val="24"/>
                <w:szCs w:val="24"/>
              </w:rPr>
              <w:t>Rubrik / People.ai</w:t>
            </w:r>
          </w:p>
        </w:tc>
        <w:tc>
          <w:tcPr>
            <w:tcW w:w="967" w:type="dxa"/>
            <w:tcBorders>
              <w:bottom w:val="single" w:sz="4" w:space="0" w:color="D0D8E4"/>
            </w:tcBorders>
            <w:shd w:val="clear" w:color="auto" w:fill="FFFFFF"/>
          </w:tcPr>
          <w:p w14:paraId="3D72EF16" w14:textId="77777777" w:rsidR="00EB3114" w:rsidRDefault="00000000">
            <w:pPr>
              <w:spacing w:after="100"/>
              <w:rPr>
                <w:sz w:val="28"/>
                <w:szCs w:val="28"/>
              </w:rPr>
            </w:pPr>
            <w:r>
              <w:rPr>
                <w:sz w:val="24"/>
                <w:szCs w:val="24"/>
              </w:rPr>
              <w:t>2021–26</w:t>
            </w:r>
          </w:p>
        </w:tc>
      </w:tr>
      <w:tr w:rsidR="00EB3114" w14:paraId="0973357B" w14:textId="77777777">
        <w:tc>
          <w:tcPr>
            <w:tcW w:w="2419" w:type="dxa"/>
            <w:tcBorders>
              <w:bottom w:val="single" w:sz="4" w:space="0" w:color="D0D8E4"/>
            </w:tcBorders>
            <w:shd w:val="clear" w:color="auto" w:fill="FFFFFF"/>
          </w:tcPr>
          <w:p w14:paraId="417226F4" w14:textId="77777777" w:rsidR="00EB3114" w:rsidRDefault="00000000">
            <w:pPr>
              <w:spacing w:after="100"/>
              <w:rPr>
                <w:sz w:val="28"/>
                <w:szCs w:val="28"/>
              </w:rPr>
            </w:pPr>
            <w:r>
              <w:rPr>
                <w:sz w:val="24"/>
                <w:szCs w:val="24"/>
              </w:rPr>
              <w:t>Questionnaire TAT</w:t>
            </w:r>
          </w:p>
        </w:tc>
        <w:tc>
          <w:tcPr>
            <w:tcW w:w="1774" w:type="dxa"/>
            <w:tcBorders>
              <w:bottom w:val="single" w:sz="4" w:space="0" w:color="D0D8E4"/>
            </w:tcBorders>
            <w:shd w:val="clear" w:color="auto" w:fill="FFFFFF"/>
          </w:tcPr>
          <w:p w14:paraId="534D4345" w14:textId="77777777" w:rsidR="00EB3114" w:rsidRDefault="00000000">
            <w:pPr>
              <w:spacing w:after="100"/>
              <w:rPr>
                <w:sz w:val="28"/>
                <w:szCs w:val="28"/>
              </w:rPr>
            </w:pPr>
            <w:r>
              <w:rPr>
                <w:sz w:val="24"/>
                <w:szCs w:val="24"/>
              </w:rPr>
              <w:t>10 business days</w:t>
            </w:r>
          </w:p>
        </w:tc>
        <w:tc>
          <w:tcPr>
            <w:tcW w:w="2338" w:type="dxa"/>
            <w:tcBorders>
              <w:bottom w:val="single" w:sz="4" w:space="0" w:color="D0D8E4"/>
            </w:tcBorders>
            <w:shd w:val="clear" w:color="auto" w:fill="FFFFFF"/>
          </w:tcPr>
          <w:p w14:paraId="561A85BB" w14:textId="77777777" w:rsidR="00EB3114" w:rsidRDefault="00000000">
            <w:pPr>
              <w:spacing w:after="100"/>
              <w:rPr>
                <w:sz w:val="28"/>
                <w:szCs w:val="28"/>
              </w:rPr>
            </w:pPr>
            <w:r>
              <w:rPr>
                <w:color w:val="2E8B57"/>
                <w:sz w:val="24"/>
                <w:szCs w:val="24"/>
              </w:rPr>
              <w:t>2.5 business days</w:t>
            </w:r>
          </w:p>
        </w:tc>
        <w:tc>
          <w:tcPr>
            <w:tcW w:w="1129" w:type="dxa"/>
            <w:tcBorders>
              <w:bottom w:val="single" w:sz="4" w:space="0" w:color="D0D8E4"/>
            </w:tcBorders>
            <w:shd w:val="clear" w:color="auto" w:fill="FFFFFF"/>
          </w:tcPr>
          <w:p w14:paraId="528944B4" w14:textId="77777777" w:rsidR="00EB3114" w:rsidRDefault="00000000">
            <w:pPr>
              <w:spacing w:after="100"/>
              <w:rPr>
                <w:sz w:val="28"/>
                <w:szCs w:val="28"/>
              </w:rPr>
            </w:pPr>
            <w:r>
              <w:rPr>
                <w:color w:val="2A9DB8"/>
                <w:sz w:val="24"/>
                <w:szCs w:val="24"/>
              </w:rPr>
              <w:t>-75%</w:t>
            </w:r>
          </w:p>
        </w:tc>
        <w:tc>
          <w:tcPr>
            <w:tcW w:w="1452" w:type="dxa"/>
            <w:tcBorders>
              <w:bottom w:val="single" w:sz="4" w:space="0" w:color="D0D8E4"/>
            </w:tcBorders>
            <w:shd w:val="clear" w:color="auto" w:fill="FFFFFF"/>
          </w:tcPr>
          <w:p w14:paraId="771D8B33" w14:textId="77777777" w:rsidR="00EB3114" w:rsidRDefault="00000000">
            <w:pPr>
              <w:spacing w:after="100"/>
              <w:rPr>
                <w:sz w:val="28"/>
                <w:szCs w:val="28"/>
              </w:rPr>
            </w:pPr>
            <w:r>
              <w:rPr>
                <w:color w:val="8C5C0A"/>
                <w:sz w:val="24"/>
                <w:szCs w:val="24"/>
              </w:rPr>
              <w:t>Elastic</w:t>
            </w:r>
          </w:p>
        </w:tc>
        <w:tc>
          <w:tcPr>
            <w:tcW w:w="967" w:type="dxa"/>
            <w:tcBorders>
              <w:bottom w:val="single" w:sz="4" w:space="0" w:color="D0D8E4"/>
            </w:tcBorders>
            <w:shd w:val="clear" w:color="auto" w:fill="FFFFFF"/>
          </w:tcPr>
          <w:p w14:paraId="43720D40" w14:textId="77777777" w:rsidR="00EB3114" w:rsidRDefault="00000000">
            <w:pPr>
              <w:spacing w:after="100"/>
              <w:rPr>
                <w:sz w:val="28"/>
                <w:szCs w:val="28"/>
              </w:rPr>
            </w:pPr>
            <w:r>
              <w:rPr>
                <w:sz w:val="24"/>
                <w:szCs w:val="24"/>
              </w:rPr>
              <w:t>2019–21</w:t>
            </w:r>
          </w:p>
        </w:tc>
      </w:tr>
      <w:tr w:rsidR="00EB3114" w14:paraId="762E669A" w14:textId="77777777">
        <w:tc>
          <w:tcPr>
            <w:tcW w:w="2419" w:type="dxa"/>
            <w:tcBorders>
              <w:bottom w:val="single" w:sz="4" w:space="0" w:color="D0D8E4"/>
            </w:tcBorders>
            <w:shd w:val="clear" w:color="auto" w:fill="FFFFFF"/>
          </w:tcPr>
          <w:p w14:paraId="23D7725F" w14:textId="77777777" w:rsidR="00EB3114" w:rsidRDefault="00000000">
            <w:pPr>
              <w:spacing w:after="100"/>
              <w:rPr>
                <w:sz w:val="28"/>
                <w:szCs w:val="28"/>
              </w:rPr>
            </w:pPr>
            <w:r>
              <w:rPr>
                <w:sz w:val="24"/>
                <w:szCs w:val="24"/>
              </w:rPr>
              <w:t>Certification portfolio</w:t>
            </w:r>
          </w:p>
        </w:tc>
        <w:tc>
          <w:tcPr>
            <w:tcW w:w="1774" w:type="dxa"/>
            <w:tcBorders>
              <w:bottom w:val="single" w:sz="4" w:space="0" w:color="D0D8E4"/>
            </w:tcBorders>
            <w:shd w:val="clear" w:color="auto" w:fill="FFFFFF"/>
          </w:tcPr>
          <w:p w14:paraId="1B4B7351" w14:textId="77777777" w:rsidR="00EB3114" w:rsidRDefault="00000000">
            <w:pPr>
              <w:spacing w:after="100"/>
              <w:rPr>
                <w:sz w:val="28"/>
                <w:szCs w:val="28"/>
              </w:rPr>
            </w:pPr>
            <w:r>
              <w:rPr>
                <w:sz w:val="24"/>
                <w:szCs w:val="24"/>
              </w:rPr>
              <w:t>3 standards</w:t>
            </w:r>
          </w:p>
        </w:tc>
        <w:tc>
          <w:tcPr>
            <w:tcW w:w="2338" w:type="dxa"/>
            <w:tcBorders>
              <w:bottom w:val="single" w:sz="4" w:space="0" w:color="D0D8E4"/>
            </w:tcBorders>
            <w:shd w:val="clear" w:color="auto" w:fill="FFFFFF"/>
          </w:tcPr>
          <w:p w14:paraId="3893A4DF" w14:textId="77777777" w:rsidR="00EB3114" w:rsidRDefault="00000000">
            <w:pPr>
              <w:spacing w:after="100"/>
              <w:rPr>
                <w:sz w:val="28"/>
                <w:szCs w:val="28"/>
              </w:rPr>
            </w:pPr>
            <w:r>
              <w:rPr>
                <w:color w:val="2E8B57"/>
                <w:sz w:val="24"/>
                <w:szCs w:val="24"/>
              </w:rPr>
              <w:t>13 standards</w:t>
            </w:r>
          </w:p>
        </w:tc>
        <w:tc>
          <w:tcPr>
            <w:tcW w:w="1129" w:type="dxa"/>
            <w:tcBorders>
              <w:bottom w:val="single" w:sz="4" w:space="0" w:color="D0D8E4"/>
            </w:tcBorders>
            <w:shd w:val="clear" w:color="auto" w:fill="FFFFFF"/>
          </w:tcPr>
          <w:p w14:paraId="1328CC91" w14:textId="77777777" w:rsidR="00EB3114" w:rsidRDefault="00000000">
            <w:pPr>
              <w:spacing w:after="100"/>
              <w:rPr>
                <w:sz w:val="28"/>
                <w:szCs w:val="28"/>
              </w:rPr>
            </w:pPr>
            <w:r>
              <w:rPr>
                <w:color w:val="2A9DB8"/>
                <w:sz w:val="24"/>
                <w:szCs w:val="24"/>
              </w:rPr>
              <w:t>+333%</w:t>
            </w:r>
          </w:p>
        </w:tc>
        <w:tc>
          <w:tcPr>
            <w:tcW w:w="1452" w:type="dxa"/>
            <w:tcBorders>
              <w:bottom w:val="single" w:sz="4" w:space="0" w:color="D0D8E4"/>
            </w:tcBorders>
            <w:shd w:val="clear" w:color="auto" w:fill="FFFFFF"/>
          </w:tcPr>
          <w:p w14:paraId="1F3C8A14"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7089EBF7" w14:textId="77777777" w:rsidR="00EB3114" w:rsidRDefault="00000000">
            <w:pPr>
              <w:spacing w:after="100"/>
              <w:rPr>
                <w:sz w:val="28"/>
                <w:szCs w:val="28"/>
              </w:rPr>
            </w:pPr>
            <w:r>
              <w:rPr>
                <w:sz w:val="24"/>
                <w:szCs w:val="24"/>
              </w:rPr>
              <w:t>2023–26</w:t>
            </w:r>
          </w:p>
        </w:tc>
      </w:tr>
      <w:tr w:rsidR="00EB3114" w14:paraId="4B198FB9" w14:textId="77777777">
        <w:tc>
          <w:tcPr>
            <w:tcW w:w="2419" w:type="dxa"/>
            <w:tcBorders>
              <w:bottom w:val="single" w:sz="4" w:space="0" w:color="D0D8E4"/>
            </w:tcBorders>
            <w:shd w:val="clear" w:color="auto" w:fill="FFFFFF"/>
          </w:tcPr>
          <w:p w14:paraId="6D231628" w14:textId="77777777" w:rsidR="00EB3114" w:rsidRDefault="00000000">
            <w:pPr>
              <w:spacing w:after="100"/>
              <w:rPr>
                <w:sz w:val="28"/>
                <w:szCs w:val="28"/>
              </w:rPr>
            </w:pPr>
            <w:r>
              <w:rPr>
                <w:sz w:val="24"/>
                <w:szCs w:val="24"/>
              </w:rPr>
              <w:t>Team size (compliance)</w:t>
            </w:r>
          </w:p>
        </w:tc>
        <w:tc>
          <w:tcPr>
            <w:tcW w:w="1774" w:type="dxa"/>
            <w:tcBorders>
              <w:bottom w:val="single" w:sz="4" w:space="0" w:color="D0D8E4"/>
            </w:tcBorders>
            <w:shd w:val="clear" w:color="auto" w:fill="FFFFFF"/>
          </w:tcPr>
          <w:p w14:paraId="7615F23E" w14:textId="77777777" w:rsidR="00EB3114" w:rsidRDefault="00000000">
            <w:pPr>
              <w:spacing w:after="100"/>
              <w:rPr>
                <w:sz w:val="28"/>
                <w:szCs w:val="28"/>
              </w:rPr>
            </w:pPr>
            <w:r>
              <w:rPr>
                <w:sz w:val="24"/>
                <w:szCs w:val="24"/>
              </w:rPr>
              <w:t>1 FTE</w:t>
            </w:r>
          </w:p>
        </w:tc>
        <w:tc>
          <w:tcPr>
            <w:tcW w:w="2338" w:type="dxa"/>
            <w:tcBorders>
              <w:bottom w:val="single" w:sz="4" w:space="0" w:color="D0D8E4"/>
            </w:tcBorders>
            <w:shd w:val="clear" w:color="auto" w:fill="FFFFFF"/>
          </w:tcPr>
          <w:p w14:paraId="42FB1C26" w14:textId="77777777" w:rsidR="00EB3114" w:rsidRDefault="00000000">
            <w:pPr>
              <w:spacing w:after="100"/>
              <w:rPr>
                <w:sz w:val="28"/>
                <w:szCs w:val="28"/>
              </w:rPr>
            </w:pPr>
            <w:r>
              <w:rPr>
                <w:color w:val="2E8B57"/>
                <w:sz w:val="24"/>
                <w:szCs w:val="24"/>
              </w:rPr>
              <w:t>5 FTE</w:t>
            </w:r>
          </w:p>
        </w:tc>
        <w:tc>
          <w:tcPr>
            <w:tcW w:w="1129" w:type="dxa"/>
            <w:tcBorders>
              <w:bottom w:val="single" w:sz="4" w:space="0" w:color="D0D8E4"/>
            </w:tcBorders>
            <w:shd w:val="clear" w:color="auto" w:fill="FFFFFF"/>
          </w:tcPr>
          <w:p w14:paraId="3673BFBD" w14:textId="77777777" w:rsidR="00EB3114" w:rsidRDefault="00000000">
            <w:pPr>
              <w:spacing w:after="100"/>
              <w:rPr>
                <w:sz w:val="28"/>
                <w:szCs w:val="28"/>
              </w:rPr>
            </w:pPr>
            <w:r>
              <w:rPr>
                <w:color w:val="2A9DB8"/>
                <w:sz w:val="24"/>
                <w:szCs w:val="24"/>
              </w:rPr>
              <w:t>5x scaled</w:t>
            </w:r>
          </w:p>
        </w:tc>
        <w:tc>
          <w:tcPr>
            <w:tcW w:w="1452" w:type="dxa"/>
            <w:tcBorders>
              <w:bottom w:val="single" w:sz="4" w:space="0" w:color="D0D8E4"/>
            </w:tcBorders>
            <w:shd w:val="clear" w:color="auto" w:fill="FFFFFF"/>
          </w:tcPr>
          <w:p w14:paraId="118F78A6"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48143A9E" w14:textId="77777777" w:rsidR="00EB3114" w:rsidRDefault="00000000">
            <w:pPr>
              <w:spacing w:after="100"/>
              <w:rPr>
                <w:sz w:val="28"/>
                <w:szCs w:val="28"/>
              </w:rPr>
            </w:pPr>
            <w:r>
              <w:rPr>
                <w:sz w:val="24"/>
                <w:szCs w:val="24"/>
              </w:rPr>
              <w:t>2023–26</w:t>
            </w:r>
          </w:p>
        </w:tc>
      </w:tr>
      <w:tr w:rsidR="00EB3114" w14:paraId="100FA90D" w14:textId="77777777">
        <w:tc>
          <w:tcPr>
            <w:tcW w:w="2419" w:type="dxa"/>
            <w:tcBorders>
              <w:bottom w:val="single" w:sz="4" w:space="0" w:color="D0D8E4"/>
            </w:tcBorders>
            <w:shd w:val="clear" w:color="auto" w:fill="FFFFFF"/>
          </w:tcPr>
          <w:p w14:paraId="2EAB7B42" w14:textId="77777777" w:rsidR="00EB3114" w:rsidRDefault="00000000">
            <w:pPr>
              <w:spacing w:after="100"/>
              <w:rPr>
                <w:sz w:val="28"/>
                <w:szCs w:val="28"/>
              </w:rPr>
            </w:pPr>
            <w:r>
              <w:rPr>
                <w:sz w:val="24"/>
                <w:szCs w:val="24"/>
              </w:rPr>
              <w:t>M&amp;A integrations</w:t>
            </w:r>
          </w:p>
        </w:tc>
        <w:tc>
          <w:tcPr>
            <w:tcW w:w="1774" w:type="dxa"/>
            <w:tcBorders>
              <w:bottom w:val="single" w:sz="4" w:space="0" w:color="D0D8E4"/>
            </w:tcBorders>
            <w:shd w:val="clear" w:color="auto" w:fill="FFFFFF"/>
          </w:tcPr>
          <w:p w14:paraId="03A45EA8" w14:textId="77777777" w:rsidR="00EB3114" w:rsidRDefault="00000000">
            <w:pPr>
              <w:spacing w:after="100"/>
              <w:rPr>
                <w:sz w:val="28"/>
                <w:szCs w:val="28"/>
              </w:rPr>
            </w:pPr>
            <w:r>
              <w:rPr>
                <w:sz w:val="24"/>
                <w:szCs w:val="24"/>
              </w:rPr>
              <w:t>0</w:t>
            </w:r>
          </w:p>
        </w:tc>
        <w:tc>
          <w:tcPr>
            <w:tcW w:w="2338" w:type="dxa"/>
            <w:tcBorders>
              <w:bottom w:val="single" w:sz="4" w:space="0" w:color="D0D8E4"/>
            </w:tcBorders>
            <w:shd w:val="clear" w:color="auto" w:fill="FFFFFF"/>
          </w:tcPr>
          <w:p w14:paraId="53D0180A" w14:textId="77777777" w:rsidR="00EB3114" w:rsidRDefault="00000000">
            <w:pPr>
              <w:spacing w:after="100"/>
              <w:rPr>
                <w:sz w:val="28"/>
                <w:szCs w:val="28"/>
              </w:rPr>
            </w:pPr>
            <w:r>
              <w:rPr>
                <w:color w:val="2E8B57"/>
                <w:sz w:val="24"/>
                <w:szCs w:val="24"/>
              </w:rPr>
              <w:t>3 completed, zero gaps</w:t>
            </w:r>
          </w:p>
        </w:tc>
        <w:tc>
          <w:tcPr>
            <w:tcW w:w="1129" w:type="dxa"/>
            <w:tcBorders>
              <w:bottom w:val="single" w:sz="4" w:space="0" w:color="D0D8E4"/>
            </w:tcBorders>
            <w:shd w:val="clear" w:color="auto" w:fill="FFFFFF"/>
          </w:tcPr>
          <w:p w14:paraId="71371CA2" w14:textId="77777777" w:rsidR="00EB3114" w:rsidRDefault="00000000">
            <w:pPr>
              <w:spacing w:after="100"/>
              <w:rPr>
                <w:sz w:val="28"/>
                <w:szCs w:val="28"/>
              </w:rPr>
            </w:pPr>
            <w:r>
              <w:rPr>
                <w:color w:val="2A9DB8"/>
                <w:sz w:val="24"/>
                <w:szCs w:val="24"/>
              </w:rPr>
              <w:t>N/A</w:t>
            </w:r>
          </w:p>
        </w:tc>
        <w:tc>
          <w:tcPr>
            <w:tcW w:w="1452" w:type="dxa"/>
            <w:tcBorders>
              <w:bottom w:val="single" w:sz="4" w:space="0" w:color="D0D8E4"/>
            </w:tcBorders>
            <w:shd w:val="clear" w:color="auto" w:fill="FFFFFF"/>
          </w:tcPr>
          <w:p w14:paraId="6A526D5B"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773A3BA9" w14:textId="77777777" w:rsidR="00EB3114" w:rsidRDefault="00000000">
            <w:pPr>
              <w:spacing w:after="100"/>
              <w:rPr>
                <w:sz w:val="28"/>
                <w:szCs w:val="28"/>
              </w:rPr>
            </w:pPr>
            <w:r>
              <w:rPr>
                <w:sz w:val="24"/>
                <w:szCs w:val="24"/>
              </w:rPr>
              <w:t>2023–26</w:t>
            </w:r>
          </w:p>
        </w:tc>
      </w:tr>
      <w:tr w:rsidR="00EB3114" w14:paraId="5010847D" w14:textId="77777777">
        <w:tc>
          <w:tcPr>
            <w:tcW w:w="2419" w:type="dxa"/>
            <w:tcBorders>
              <w:bottom w:val="single" w:sz="4" w:space="0" w:color="D0D8E4"/>
            </w:tcBorders>
            <w:shd w:val="clear" w:color="auto" w:fill="FFFFFF"/>
          </w:tcPr>
          <w:p w14:paraId="43D50581" w14:textId="77777777" w:rsidR="00EB3114" w:rsidRDefault="00000000">
            <w:pPr>
              <w:spacing w:after="100"/>
              <w:rPr>
                <w:sz w:val="28"/>
                <w:szCs w:val="28"/>
              </w:rPr>
            </w:pPr>
            <w:r>
              <w:rPr>
                <w:sz w:val="24"/>
                <w:szCs w:val="24"/>
              </w:rPr>
              <w:t>Revenue (Elastic FY2019)</w:t>
            </w:r>
          </w:p>
        </w:tc>
        <w:tc>
          <w:tcPr>
            <w:tcW w:w="1774" w:type="dxa"/>
            <w:tcBorders>
              <w:bottom w:val="single" w:sz="4" w:space="0" w:color="D0D8E4"/>
            </w:tcBorders>
            <w:shd w:val="clear" w:color="auto" w:fill="FFFFFF"/>
          </w:tcPr>
          <w:p w14:paraId="5E40FF07" w14:textId="77777777" w:rsidR="00EB3114" w:rsidRDefault="00000000">
            <w:pPr>
              <w:spacing w:after="100"/>
              <w:rPr>
                <w:sz w:val="28"/>
                <w:szCs w:val="28"/>
              </w:rPr>
            </w:pPr>
            <w:r>
              <w:rPr>
                <w:sz w:val="24"/>
                <w:szCs w:val="24"/>
              </w:rPr>
              <w:t>$160M ARR</w:t>
            </w:r>
          </w:p>
        </w:tc>
        <w:tc>
          <w:tcPr>
            <w:tcW w:w="2338" w:type="dxa"/>
            <w:tcBorders>
              <w:bottom w:val="single" w:sz="4" w:space="0" w:color="D0D8E4"/>
            </w:tcBorders>
            <w:shd w:val="clear" w:color="auto" w:fill="FFFFFF"/>
          </w:tcPr>
          <w:p w14:paraId="7E848F39" w14:textId="77777777" w:rsidR="00EB3114" w:rsidRDefault="00000000">
            <w:pPr>
              <w:spacing w:after="100"/>
              <w:rPr>
                <w:sz w:val="28"/>
                <w:szCs w:val="28"/>
              </w:rPr>
            </w:pPr>
            <w:r>
              <w:rPr>
                <w:color w:val="2E8B57"/>
                <w:sz w:val="24"/>
                <w:szCs w:val="24"/>
              </w:rPr>
              <w:t>$271.7M annual</w:t>
            </w:r>
          </w:p>
        </w:tc>
        <w:tc>
          <w:tcPr>
            <w:tcW w:w="1129" w:type="dxa"/>
            <w:tcBorders>
              <w:bottom w:val="single" w:sz="4" w:space="0" w:color="D0D8E4"/>
            </w:tcBorders>
            <w:shd w:val="clear" w:color="auto" w:fill="FFFFFF"/>
          </w:tcPr>
          <w:p w14:paraId="3E777C30" w14:textId="77777777" w:rsidR="00EB3114" w:rsidRDefault="00000000">
            <w:pPr>
              <w:spacing w:after="100"/>
              <w:rPr>
                <w:sz w:val="28"/>
                <w:szCs w:val="28"/>
              </w:rPr>
            </w:pPr>
            <w:r>
              <w:rPr>
                <w:color w:val="2A9DB8"/>
                <w:sz w:val="24"/>
                <w:szCs w:val="24"/>
              </w:rPr>
              <w:t>+70% YoY</w:t>
            </w:r>
          </w:p>
        </w:tc>
        <w:tc>
          <w:tcPr>
            <w:tcW w:w="1452" w:type="dxa"/>
            <w:tcBorders>
              <w:bottom w:val="single" w:sz="4" w:space="0" w:color="D0D8E4"/>
            </w:tcBorders>
            <w:shd w:val="clear" w:color="auto" w:fill="FFFFFF"/>
          </w:tcPr>
          <w:p w14:paraId="08E4084B" w14:textId="77777777" w:rsidR="00EB3114" w:rsidRDefault="00000000">
            <w:pPr>
              <w:spacing w:after="100"/>
              <w:rPr>
                <w:sz w:val="28"/>
                <w:szCs w:val="28"/>
              </w:rPr>
            </w:pPr>
            <w:r>
              <w:rPr>
                <w:color w:val="8C5C0A"/>
                <w:sz w:val="24"/>
                <w:szCs w:val="24"/>
              </w:rPr>
              <w:t>Elastic</w:t>
            </w:r>
          </w:p>
        </w:tc>
        <w:tc>
          <w:tcPr>
            <w:tcW w:w="967" w:type="dxa"/>
            <w:tcBorders>
              <w:bottom w:val="single" w:sz="4" w:space="0" w:color="D0D8E4"/>
            </w:tcBorders>
            <w:shd w:val="clear" w:color="auto" w:fill="FFFFFF"/>
          </w:tcPr>
          <w:p w14:paraId="2F1EEA55" w14:textId="77777777" w:rsidR="00EB3114" w:rsidRDefault="00000000">
            <w:pPr>
              <w:spacing w:after="100"/>
              <w:rPr>
                <w:sz w:val="28"/>
                <w:szCs w:val="28"/>
              </w:rPr>
            </w:pPr>
            <w:r>
              <w:rPr>
                <w:sz w:val="24"/>
                <w:szCs w:val="24"/>
              </w:rPr>
              <w:t>FY2019</w:t>
            </w:r>
          </w:p>
        </w:tc>
      </w:tr>
      <w:tr w:rsidR="00EB3114" w14:paraId="33E51B43" w14:textId="77777777">
        <w:tc>
          <w:tcPr>
            <w:tcW w:w="2419" w:type="dxa"/>
            <w:tcBorders>
              <w:bottom w:val="single" w:sz="4" w:space="0" w:color="D0D8E4"/>
            </w:tcBorders>
            <w:shd w:val="clear" w:color="auto" w:fill="FFFFFF"/>
          </w:tcPr>
          <w:p w14:paraId="24B77F70" w14:textId="77777777" w:rsidR="00EB3114" w:rsidRDefault="00000000">
            <w:pPr>
              <w:spacing w:after="100"/>
              <w:rPr>
                <w:sz w:val="28"/>
                <w:szCs w:val="28"/>
              </w:rPr>
            </w:pPr>
            <w:r>
              <w:rPr>
                <w:sz w:val="24"/>
                <w:szCs w:val="24"/>
              </w:rPr>
              <w:t>Revenue (People.ai)</w:t>
            </w:r>
          </w:p>
        </w:tc>
        <w:tc>
          <w:tcPr>
            <w:tcW w:w="1774" w:type="dxa"/>
            <w:tcBorders>
              <w:bottom w:val="single" w:sz="4" w:space="0" w:color="D0D8E4"/>
            </w:tcBorders>
            <w:shd w:val="clear" w:color="auto" w:fill="FFFFFF"/>
          </w:tcPr>
          <w:p w14:paraId="2EA09EDD" w14:textId="77777777" w:rsidR="00EB3114" w:rsidRDefault="00000000">
            <w:pPr>
              <w:spacing w:after="100"/>
              <w:rPr>
                <w:sz w:val="28"/>
                <w:szCs w:val="28"/>
              </w:rPr>
            </w:pPr>
            <w:r>
              <w:rPr>
                <w:sz w:val="24"/>
                <w:szCs w:val="24"/>
              </w:rPr>
              <w:t>$38M ARR</w:t>
            </w:r>
          </w:p>
        </w:tc>
        <w:tc>
          <w:tcPr>
            <w:tcW w:w="2338" w:type="dxa"/>
            <w:tcBorders>
              <w:bottom w:val="single" w:sz="4" w:space="0" w:color="D0D8E4"/>
            </w:tcBorders>
            <w:shd w:val="clear" w:color="auto" w:fill="FFFFFF"/>
          </w:tcPr>
          <w:p w14:paraId="62FB6072" w14:textId="77777777" w:rsidR="00EB3114" w:rsidRDefault="00000000">
            <w:pPr>
              <w:spacing w:after="100"/>
              <w:rPr>
                <w:sz w:val="28"/>
                <w:szCs w:val="28"/>
              </w:rPr>
            </w:pPr>
            <w:r>
              <w:rPr>
                <w:color w:val="2E8B57"/>
                <w:sz w:val="24"/>
                <w:szCs w:val="24"/>
              </w:rPr>
              <w:t>$56M ARR</w:t>
            </w:r>
          </w:p>
        </w:tc>
        <w:tc>
          <w:tcPr>
            <w:tcW w:w="1129" w:type="dxa"/>
            <w:tcBorders>
              <w:bottom w:val="single" w:sz="4" w:space="0" w:color="D0D8E4"/>
            </w:tcBorders>
            <w:shd w:val="clear" w:color="auto" w:fill="FFFFFF"/>
          </w:tcPr>
          <w:p w14:paraId="60AFDF49" w14:textId="77777777" w:rsidR="00EB3114" w:rsidRDefault="00000000">
            <w:pPr>
              <w:spacing w:after="100"/>
              <w:rPr>
                <w:sz w:val="28"/>
                <w:szCs w:val="28"/>
              </w:rPr>
            </w:pPr>
            <w:r>
              <w:rPr>
                <w:color w:val="2A9DB8"/>
                <w:sz w:val="24"/>
                <w:szCs w:val="24"/>
              </w:rPr>
              <w:t>+47%</w:t>
            </w:r>
          </w:p>
        </w:tc>
        <w:tc>
          <w:tcPr>
            <w:tcW w:w="1452" w:type="dxa"/>
            <w:tcBorders>
              <w:bottom w:val="single" w:sz="4" w:space="0" w:color="D0D8E4"/>
            </w:tcBorders>
            <w:shd w:val="clear" w:color="auto" w:fill="FFFFFF"/>
          </w:tcPr>
          <w:p w14:paraId="5615E69C" w14:textId="77777777" w:rsidR="00EB3114" w:rsidRDefault="00000000">
            <w:pPr>
              <w:spacing w:after="100"/>
              <w:rPr>
                <w:sz w:val="28"/>
                <w:szCs w:val="28"/>
              </w:rPr>
            </w:pPr>
            <w:r>
              <w:rPr>
                <w:color w:val="8C5C0A"/>
                <w:sz w:val="24"/>
                <w:szCs w:val="24"/>
              </w:rPr>
              <w:t>People.ai</w:t>
            </w:r>
          </w:p>
        </w:tc>
        <w:tc>
          <w:tcPr>
            <w:tcW w:w="967" w:type="dxa"/>
            <w:tcBorders>
              <w:bottom w:val="single" w:sz="4" w:space="0" w:color="D0D8E4"/>
            </w:tcBorders>
            <w:shd w:val="clear" w:color="auto" w:fill="FFFFFF"/>
          </w:tcPr>
          <w:p w14:paraId="213CC883" w14:textId="77777777" w:rsidR="00EB3114" w:rsidRDefault="00000000">
            <w:pPr>
              <w:spacing w:after="100"/>
              <w:rPr>
                <w:sz w:val="28"/>
                <w:szCs w:val="28"/>
              </w:rPr>
            </w:pPr>
            <w:r>
              <w:rPr>
                <w:sz w:val="24"/>
                <w:szCs w:val="24"/>
              </w:rPr>
              <w:t>2021–23</w:t>
            </w:r>
          </w:p>
        </w:tc>
      </w:tr>
      <w:tr w:rsidR="00EB3114" w14:paraId="30FE66D0" w14:textId="77777777">
        <w:tc>
          <w:tcPr>
            <w:tcW w:w="2419" w:type="dxa"/>
            <w:tcBorders>
              <w:bottom w:val="single" w:sz="4" w:space="0" w:color="D0D8E4"/>
            </w:tcBorders>
            <w:shd w:val="clear" w:color="auto" w:fill="FFFFFF"/>
          </w:tcPr>
          <w:p w14:paraId="7753B2BA" w14:textId="77777777" w:rsidR="00EB3114" w:rsidRDefault="00000000">
            <w:pPr>
              <w:spacing w:after="100"/>
              <w:rPr>
                <w:sz w:val="28"/>
                <w:szCs w:val="28"/>
              </w:rPr>
            </w:pPr>
            <w:r>
              <w:rPr>
                <w:sz w:val="24"/>
                <w:szCs w:val="24"/>
              </w:rPr>
              <w:t>Revenue (Rubrik)</w:t>
            </w:r>
          </w:p>
        </w:tc>
        <w:tc>
          <w:tcPr>
            <w:tcW w:w="1774" w:type="dxa"/>
            <w:tcBorders>
              <w:bottom w:val="single" w:sz="4" w:space="0" w:color="D0D8E4"/>
            </w:tcBorders>
            <w:shd w:val="clear" w:color="auto" w:fill="FFFFFF"/>
          </w:tcPr>
          <w:p w14:paraId="60FC7E28" w14:textId="77777777" w:rsidR="00EB3114" w:rsidRDefault="00000000">
            <w:pPr>
              <w:spacing w:after="100"/>
              <w:rPr>
                <w:sz w:val="28"/>
                <w:szCs w:val="28"/>
              </w:rPr>
            </w:pPr>
            <w:r>
              <w:rPr>
                <w:sz w:val="24"/>
                <w:szCs w:val="24"/>
              </w:rPr>
              <w:t>$600M ARR</w:t>
            </w:r>
          </w:p>
        </w:tc>
        <w:tc>
          <w:tcPr>
            <w:tcW w:w="2338" w:type="dxa"/>
            <w:tcBorders>
              <w:bottom w:val="single" w:sz="4" w:space="0" w:color="D0D8E4"/>
            </w:tcBorders>
            <w:shd w:val="clear" w:color="auto" w:fill="FFFFFF"/>
          </w:tcPr>
          <w:p w14:paraId="5180B6A5" w14:textId="77777777" w:rsidR="00EB3114" w:rsidRDefault="00000000">
            <w:pPr>
              <w:spacing w:after="100"/>
              <w:rPr>
                <w:sz w:val="28"/>
                <w:szCs w:val="28"/>
              </w:rPr>
            </w:pPr>
            <w:r>
              <w:rPr>
                <w:color w:val="2E8B57"/>
                <w:sz w:val="24"/>
                <w:szCs w:val="24"/>
              </w:rPr>
              <w:t>$1.2B ARR</w:t>
            </w:r>
          </w:p>
        </w:tc>
        <w:tc>
          <w:tcPr>
            <w:tcW w:w="1129" w:type="dxa"/>
            <w:tcBorders>
              <w:bottom w:val="single" w:sz="4" w:space="0" w:color="D0D8E4"/>
            </w:tcBorders>
            <w:shd w:val="clear" w:color="auto" w:fill="FFFFFF"/>
          </w:tcPr>
          <w:p w14:paraId="51EBCA48" w14:textId="77777777" w:rsidR="00EB3114" w:rsidRDefault="00000000">
            <w:pPr>
              <w:spacing w:after="100"/>
              <w:rPr>
                <w:sz w:val="28"/>
                <w:szCs w:val="28"/>
              </w:rPr>
            </w:pPr>
            <w:r>
              <w:rPr>
                <w:color w:val="2A9DB8"/>
                <w:sz w:val="24"/>
                <w:szCs w:val="24"/>
              </w:rPr>
              <w:t>2x growth</w:t>
            </w:r>
          </w:p>
        </w:tc>
        <w:tc>
          <w:tcPr>
            <w:tcW w:w="1452" w:type="dxa"/>
            <w:tcBorders>
              <w:bottom w:val="single" w:sz="4" w:space="0" w:color="D0D8E4"/>
            </w:tcBorders>
            <w:shd w:val="clear" w:color="auto" w:fill="FFFFFF"/>
          </w:tcPr>
          <w:p w14:paraId="5DBC0D09"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124D0D28" w14:textId="77777777" w:rsidR="00EB3114" w:rsidRDefault="00000000">
            <w:pPr>
              <w:spacing w:after="100"/>
              <w:rPr>
                <w:sz w:val="28"/>
                <w:szCs w:val="28"/>
              </w:rPr>
            </w:pPr>
            <w:r>
              <w:rPr>
                <w:sz w:val="24"/>
                <w:szCs w:val="24"/>
              </w:rPr>
              <w:t>2023–26</w:t>
            </w:r>
          </w:p>
        </w:tc>
      </w:tr>
      <w:tr w:rsidR="00EB3114" w14:paraId="4966BEF3" w14:textId="77777777">
        <w:tc>
          <w:tcPr>
            <w:tcW w:w="2419" w:type="dxa"/>
            <w:tcBorders>
              <w:bottom w:val="single" w:sz="4" w:space="0" w:color="D0D8E4"/>
            </w:tcBorders>
            <w:shd w:val="clear" w:color="auto" w:fill="FFFFFF"/>
          </w:tcPr>
          <w:p w14:paraId="2ABB04A4" w14:textId="77777777" w:rsidR="00EB3114" w:rsidRDefault="00000000">
            <w:pPr>
              <w:spacing w:after="100"/>
              <w:rPr>
                <w:sz w:val="28"/>
                <w:szCs w:val="28"/>
              </w:rPr>
            </w:pPr>
            <w:r>
              <w:rPr>
                <w:sz w:val="24"/>
                <w:szCs w:val="24"/>
              </w:rPr>
              <w:t>Market segments unlocked</w:t>
            </w:r>
          </w:p>
        </w:tc>
        <w:tc>
          <w:tcPr>
            <w:tcW w:w="1774" w:type="dxa"/>
            <w:tcBorders>
              <w:bottom w:val="single" w:sz="4" w:space="0" w:color="D0D8E4"/>
            </w:tcBorders>
            <w:shd w:val="clear" w:color="auto" w:fill="FFFFFF"/>
          </w:tcPr>
          <w:p w14:paraId="63ADE191" w14:textId="77777777" w:rsidR="00EB3114" w:rsidRDefault="00000000">
            <w:pPr>
              <w:spacing w:after="100"/>
              <w:rPr>
                <w:sz w:val="28"/>
                <w:szCs w:val="28"/>
              </w:rPr>
            </w:pPr>
            <w:r>
              <w:rPr>
                <w:sz w:val="24"/>
                <w:szCs w:val="24"/>
              </w:rPr>
              <w:t>2 segments</w:t>
            </w:r>
          </w:p>
        </w:tc>
        <w:tc>
          <w:tcPr>
            <w:tcW w:w="2338" w:type="dxa"/>
            <w:tcBorders>
              <w:bottom w:val="single" w:sz="4" w:space="0" w:color="D0D8E4"/>
            </w:tcBorders>
            <w:shd w:val="clear" w:color="auto" w:fill="FFFFFF"/>
          </w:tcPr>
          <w:p w14:paraId="20B35749" w14:textId="77777777" w:rsidR="00EB3114" w:rsidRDefault="00000000">
            <w:pPr>
              <w:spacing w:after="100"/>
              <w:rPr>
                <w:sz w:val="28"/>
                <w:szCs w:val="28"/>
              </w:rPr>
            </w:pPr>
            <w:r>
              <w:rPr>
                <w:color w:val="2E8B57"/>
                <w:sz w:val="24"/>
                <w:szCs w:val="24"/>
              </w:rPr>
              <w:t>9+ segments</w:t>
            </w:r>
          </w:p>
        </w:tc>
        <w:tc>
          <w:tcPr>
            <w:tcW w:w="1129" w:type="dxa"/>
            <w:tcBorders>
              <w:bottom w:val="single" w:sz="4" w:space="0" w:color="D0D8E4"/>
            </w:tcBorders>
            <w:shd w:val="clear" w:color="auto" w:fill="FFFFFF"/>
          </w:tcPr>
          <w:p w14:paraId="1B285CAB" w14:textId="77777777" w:rsidR="00EB3114" w:rsidRDefault="00000000">
            <w:pPr>
              <w:spacing w:after="100"/>
              <w:rPr>
                <w:sz w:val="28"/>
                <w:szCs w:val="28"/>
              </w:rPr>
            </w:pPr>
            <w:r>
              <w:rPr>
                <w:color w:val="2A9DB8"/>
                <w:sz w:val="24"/>
                <w:szCs w:val="24"/>
              </w:rPr>
              <w:t>+350%</w:t>
            </w:r>
          </w:p>
        </w:tc>
        <w:tc>
          <w:tcPr>
            <w:tcW w:w="1452" w:type="dxa"/>
            <w:tcBorders>
              <w:bottom w:val="single" w:sz="4" w:space="0" w:color="D0D8E4"/>
            </w:tcBorders>
            <w:shd w:val="clear" w:color="auto" w:fill="FFFFFF"/>
          </w:tcPr>
          <w:p w14:paraId="7677DB18" w14:textId="77777777" w:rsidR="00EB3114" w:rsidRDefault="00000000">
            <w:pPr>
              <w:spacing w:after="100"/>
              <w:rPr>
                <w:sz w:val="28"/>
                <w:szCs w:val="28"/>
              </w:rPr>
            </w:pPr>
            <w:r>
              <w:rPr>
                <w:color w:val="8C5C0A"/>
                <w:sz w:val="24"/>
                <w:szCs w:val="24"/>
              </w:rPr>
              <w:t>Rubrik</w:t>
            </w:r>
          </w:p>
        </w:tc>
        <w:tc>
          <w:tcPr>
            <w:tcW w:w="967" w:type="dxa"/>
            <w:tcBorders>
              <w:bottom w:val="single" w:sz="4" w:space="0" w:color="D0D8E4"/>
            </w:tcBorders>
            <w:shd w:val="clear" w:color="auto" w:fill="FFFFFF"/>
          </w:tcPr>
          <w:p w14:paraId="6F1D12CA" w14:textId="77777777" w:rsidR="00EB3114" w:rsidRDefault="00000000">
            <w:pPr>
              <w:spacing w:after="100"/>
              <w:rPr>
                <w:sz w:val="28"/>
                <w:szCs w:val="28"/>
              </w:rPr>
            </w:pPr>
            <w:r>
              <w:rPr>
                <w:sz w:val="24"/>
                <w:szCs w:val="24"/>
              </w:rPr>
              <w:t>2023–26</w:t>
            </w:r>
          </w:p>
        </w:tc>
      </w:tr>
      <w:tr w:rsidR="00EB3114" w14:paraId="4DEE29CE" w14:textId="77777777">
        <w:tc>
          <w:tcPr>
            <w:tcW w:w="2419" w:type="dxa"/>
            <w:tcBorders>
              <w:bottom w:val="single" w:sz="4" w:space="0" w:color="D0D8E4"/>
            </w:tcBorders>
            <w:shd w:val="clear" w:color="auto" w:fill="FFFFFF"/>
          </w:tcPr>
          <w:p w14:paraId="05B85BF4" w14:textId="77777777" w:rsidR="00EB3114" w:rsidRDefault="00000000">
            <w:pPr>
              <w:spacing w:after="100"/>
              <w:rPr>
                <w:sz w:val="28"/>
                <w:szCs w:val="28"/>
              </w:rPr>
            </w:pPr>
            <w:r>
              <w:rPr>
                <w:sz w:val="24"/>
                <w:szCs w:val="24"/>
              </w:rPr>
              <w:t>Policy library at hire</w:t>
            </w:r>
          </w:p>
        </w:tc>
        <w:tc>
          <w:tcPr>
            <w:tcW w:w="1774" w:type="dxa"/>
            <w:tcBorders>
              <w:bottom w:val="single" w:sz="4" w:space="0" w:color="D0D8E4"/>
            </w:tcBorders>
            <w:shd w:val="clear" w:color="auto" w:fill="FFFFFF"/>
          </w:tcPr>
          <w:p w14:paraId="0CAC53CB" w14:textId="77777777" w:rsidR="00EB3114" w:rsidRDefault="00000000">
            <w:pPr>
              <w:spacing w:after="100"/>
              <w:rPr>
                <w:sz w:val="28"/>
                <w:szCs w:val="28"/>
              </w:rPr>
            </w:pPr>
            <w:r>
              <w:rPr>
                <w:sz w:val="24"/>
                <w:szCs w:val="24"/>
              </w:rPr>
              <w:t>0 policies</w:t>
            </w:r>
          </w:p>
        </w:tc>
        <w:tc>
          <w:tcPr>
            <w:tcW w:w="2338" w:type="dxa"/>
            <w:tcBorders>
              <w:bottom w:val="single" w:sz="4" w:space="0" w:color="D0D8E4"/>
            </w:tcBorders>
            <w:shd w:val="clear" w:color="auto" w:fill="FFFFFF"/>
          </w:tcPr>
          <w:p w14:paraId="4A175668" w14:textId="77777777" w:rsidR="00EB3114" w:rsidRDefault="00000000">
            <w:pPr>
              <w:spacing w:after="100"/>
              <w:rPr>
                <w:sz w:val="28"/>
                <w:szCs w:val="28"/>
              </w:rPr>
            </w:pPr>
            <w:r>
              <w:rPr>
                <w:color w:val="2E8B57"/>
                <w:sz w:val="24"/>
                <w:szCs w:val="24"/>
              </w:rPr>
              <w:t>40+ authored</w:t>
            </w:r>
          </w:p>
        </w:tc>
        <w:tc>
          <w:tcPr>
            <w:tcW w:w="1129" w:type="dxa"/>
            <w:tcBorders>
              <w:bottom w:val="single" w:sz="4" w:space="0" w:color="D0D8E4"/>
            </w:tcBorders>
            <w:shd w:val="clear" w:color="auto" w:fill="FFFFFF"/>
          </w:tcPr>
          <w:p w14:paraId="7C5AAE71" w14:textId="77777777" w:rsidR="00EB3114" w:rsidRDefault="00000000">
            <w:pPr>
              <w:spacing w:after="100"/>
              <w:rPr>
                <w:sz w:val="28"/>
                <w:szCs w:val="28"/>
              </w:rPr>
            </w:pPr>
            <w:r>
              <w:rPr>
                <w:rFonts w:ascii="Nova Mono" w:eastAsia="Nova Mono" w:hAnsi="Nova Mono" w:cs="Nova Mono"/>
                <w:color w:val="2A9DB8"/>
                <w:sz w:val="24"/>
                <w:szCs w:val="24"/>
              </w:rPr>
              <w:t>Zero → full</w:t>
            </w:r>
          </w:p>
        </w:tc>
        <w:tc>
          <w:tcPr>
            <w:tcW w:w="1452" w:type="dxa"/>
            <w:tcBorders>
              <w:bottom w:val="single" w:sz="4" w:space="0" w:color="D0D8E4"/>
            </w:tcBorders>
            <w:shd w:val="clear" w:color="auto" w:fill="FFFFFF"/>
          </w:tcPr>
          <w:p w14:paraId="3DE31D03" w14:textId="77777777" w:rsidR="00EB3114" w:rsidRDefault="00000000">
            <w:pPr>
              <w:spacing w:after="100"/>
              <w:rPr>
                <w:sz w:val="28"/>
                <w:szCs w:val="28"/>
              </w:rPr>
            </w:pPr>
            <w:r>
              <w:rPr>
                <w:color w:val="8C5C0A"/>
                <w:sz w:val="24"/>
                <w:szCs w:val="24"/>
              </w:rPr>
              <w:t>People.ai</w:t>
            </w:r>
          </w:p>
        </w:tc>
        <w:tc>
          <w:tcPr>
            <w:tcW w:w="967" w:type="dxa"/>
            <w:tcBorders>
              <w:bottom w:val="single" w:sz="4" w:space="0" w:color="D0D8E4"/>
            </w:tcBorders>
            <w:shd w:val="clear" w:color="auto" w:fill="FFFFFF"/>
          </w:tcPr>
          <w:p w14:paraId="4CDCCE96" w14:textId="77777777" w:rsidR="00EB3114" w:rsidRDefault="00000000">
            <w:pPr>
              <w:spacing w:after="100"/>
              <w:rPr>
                <w:sz w:val="28"/>
                <w:szCs w:val="28"/>
              </w:rPr>
            </w:pPr>
            <w:r>
              <w:rPr>
                <w:sz w:val="24"/>
                <w:szCs w:val="24"/>
              </w:rPr>
              <w:t>2021</w:t>
            </w:r>
          </w:p>
        </w:tc>
      </w:tr>
    </w:tbl>
    <w:p w14:paraId="44C6B175" w14:textId="77777777" w:rsidR="00EB3114" w:rsidRDefault="00EB3114">
      <w:pPr>
        <w:rPr>
          <w:sz w:val="24"/>
          <w:szCs w:val="24"/>
        </w:rPr>
      </w:pPr>
    </w:p>
    <w:p w14:paraId="1592A561" w14:textId="77777777" w:rsidR="00EB3114" w:rsidRDefault="00EB3114">
      <w:pPr>
        <w:spacing w:after="120"/>
      </w:pPr>
    </w:p>
    <w:tbl>
      <w:tblPr>
        <w:tblStyle w:val="afff1"/>
        <w:tblW w:w="10079" w:type="dxa"/>
        <w:tblInd w:w="0" w:type="dxa"/>
        <w:tblLayout w:type="fixed"/>
        <w:tblLook w:val="0000" w:firstRow="0" w:lastRow="0" w:firstColumn="0" w:lastColumn="0" w:noHBand="0" w:noVBand="0"/>
      </w:tblPr>
      <w:tblGrid>
        <w:gridCol w:w="4960"/>
        <w:gridCol w:w="5119"/>
      </w:tblGrid>
      <w:tr w:rsidR="00EB3114" w14:paraId="49E9BD5A" w14:textId="77777777">
        <w:tc>
          <w:tcPr>
            <w:tcW w:w="4960" w:type="dxa"/>
            <w:tcMar>
              <w:left w:w="0" w:type="dxa"/>
              <w:right w:w="120" w:type="dxa"/>
            </w:tcMar>
          </w:tcPr>
          <w:p w14:paraId="35DF45D8" w14:textId="77777777" w:rsidR="00EB3114" w:rsidRDefault="00EB3114"/>
        </w:tc>
        <w:tc>
          <w:tcPr>
            <w:tcW w:w="5119" w:type="dxa"/>
          </w:tcPr>
          <w:p w14:paraId="51872D82" w14:textId="77777777" w:rsidR="00EB3114" w:rsidRDefault="00EB3114"/>
        </w:tc>
      </w:tr>
    </w:tbl>
    <w:p w14:paraId="2711F978" w14:textId="77777777" w:rsidR="00EB3114" w:rsidRDefault="00000000">
      <w:pPr>
        <w:spacing w:after="100"/>
        <w:jc w:val="center"/>
        <w:rPr>
          <w:sz w:val="40"/>
          <w:szCs w:val="40"/>
        </w:rPr>
      </w:pPr>
      <w:r>
        <w:rPr>
          <w:i/>
          <w:iCs/>
          <w:sz w:val="40"/>
          <w:szCs w:val="40"/>
        </w:rPr>
        <w:br/>
      </w:r>
      <w:r>
        <w:rPr>
          <w:i/>
          <w:iCs/>
          <w:sz w:val="38"/>
          <w:szCs w:val="38"/>
        </w:rPr>
        <w:t>References Available Upon Request</w:t>
      </w:r>
    </w:p>
    <w:tbl>
      <w:tblPr>
        <w:tblStyle w:val="afff2"/>
        <w:tblW w:w="10079" w:type="dxa"/>
        <w:tblInd w:w="0" w:type="dxa"/>
        <w:tblLayout w:type="fixed"/>
        <w:tblLook w:val="0000" w:firstRow="0" w:lastRow="0" w:firstColumn="0" w:lastColumn="0" w:noHBand="0" w:noVBand="0"/>
      </w:tblPr>
      <w:tblGrid>
        <w:gridCol w:w="4960"/>
        <w:gridCol w:w="5119"/>
      </w:tblGrid>
      <w:tr w:rsidR="00EB3114" w14:paraId="27EFE0DB" w14:textId="77777777">
        <w:tc>
          <w:tcPr>
            <w:tcW w:w="4960" w:type="dxa"/>
            <w:tcMar>
              <w:left w:w="0" w:type="dxa"/>
              <w:right w:w="120" w:type="dxa"/>
            </w:tcMar>
          </w:tcPr>
          <w:p w14:paraId="779C26EA" w14:textId="77777777" w:rsidR="00EB3114" w:rsidRDefault="00EB3114">
            <w:pPr>
              <w:jc w:val="center"/>
              <w:rPr>
                <w:sz w:val="40"/>
                <w:szCs w:val="40"/>
              </w:rPr>
            </w:pPr>
          </w:p>
        </w:tc>
        <w:tc>
          <w:tcPr>
            <w:tcW w:w="5119" w:type="dxa"/>
          </w:tcPr>
          <w:p w14:paraId="3C8DD34C" w14:textId="77777777" w:rsidR="00EB3114" w:rsidRDefault="00EB3114">
            <w:pPr>
              <w:jc w:val="center"/>
              <w:rPr>
                <w:sz w:val="40"/>
                <w:szCs w:val="40"/>
              </w:rPr>
            </w:pPr>
          </w:p>
        </w:tc>
      </w:tr>
      <w:tr w:rsidR="00EB3114" w14:paraId="18D0801E" w14:textId="77777777">
        <w:tc>
          <w:tcPr>
            <w:tcW w:w="4960" w:type="dxa"/>
            <w:tcMar>
              <w:left w:w="0" w:type="dxa"/>
              <w:right w:w="120" w:type="dxa"/>
            </w:tcMar>
          </w:tcPr>
          <w:p w14:paraId="3891E7A8" w14:textId="77777777" w:rsidR="00EB3114" w:rsidRDefault="00EB3114"/>
        </w:tc>
        <w:tc>
          <w:tcPr>
            <w:tcW w:w="5119" w:type="dxa"/>
          </w:tcPr>
          <w:p w14:paraId="5070F76A" w14:textId="77777777" w:rsidR="00EB3114" w:rsidRDefault="00EB3114"/>
        </w:tc>
      </w:tr>
    </w:tbl>
    <w:p w14:paraId="11CFB3E0" w14:textId="77777777" w:rsidR="00EB3114" w:rsidRDefault="00EB3114"/>
    <w:sectPr w:rsidR="00EB3114">
      <w:headerReference w:type="default" r:id="rId10"/>
      <w:footerReference w:type="default" r:id="rId11"/>
      <w:headerReference w:type="first" r:id="rId12"/>
      <w:footerReference w:type="first" r:id="rId13"/>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E1866" w14:textId="77777777" w:rsidR="007730E0" w:rsidRDefault="007730E0">
      <w:r>
        <w:separator/>
      </w:r>
    </w:p>
  </w:endnote>
  <w:endnote w:type="continuationSeparator" w:id="0">
    <w:p w14:paraId="075172DF" w14:textId="77777777" w:rsidR="007730E0" w:rsidRDefault="00773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4B241384-94AE-4D67-BAFC-A3582C449D7C}"/>
    <w:embedBold r:id="rId2" w:fontKey="{51FABD7B-3F62-4861-A8FA-024F2527FDB5}"/>
    <w:embedItalic r:id="rId3" w:fontKey="{A6380E99-8388-4181-8FEB-38D321947341}"/>
    <w:embedBoldItalic r:id="rId4" w:fontKey="{05C46EBF-DC2A-48F8-BF99-871581F1F4C9}"/>
  </w:font>
  <w:font w:name="Times New Roman">
    <w:panose1 w:val="02020603050405020304"/>
    <w:charset w:val="00"/>
    <w:family w:val="roman"/>
    <w:pitch w:val="variable"/>
    <w:sig w:usb0="E0002EFF" w:usb1="C000785B" w:usb2="00000009" w:usb3="00000000" w:csb0="000001FF" w:csb1="00000000"/>
  </w:font>
  <w:font w:name="Cormorant Garamond">
    <w:charset w:val="00"/>
    <w:family w:val="auto"/>
    <w:pitch w:val="default"/>
    <w:embedRegular r:id="rId5" w:fontKey="{A3E18422-1520-432A-B2AA-1C57B9C5A3EF}"/>
    <w:embedBold r:id="rId6" w:fontKey="{4CDD900F-613E-4AC2-9B8C-5AC0BAA0DBCA}"/>
    <w:embedItalic r:id="rId7" w:fontKey="{0AF80413-CC79-47DD-83D2-35C964222865}"/>
    <w:embedBoldItalic r:id="rId8" w:fontKey="{EC91D452-BB49-4D78-B63E-FF2E2D58715C}"/>
  </w:font>
  <w:font w:name="Georgia">
    <w:panose1 w:val="02040502050405020303"/>
    <w:charset w:val="00"/>
    <w:family w:val="roman"/>
    <w:pitch w:val="variable"/>
    <w:sig w:usb0="00000287" w:usb1="00000000" w:usb2="00000000" w:usb3="00000000" w:csb0="0000009F" w:csb1="00000000"/>
    <w:embedItalic r:id="rId9" w:fontKey="{5F23D8AA-59F3-41C8-ADB8-F0FD4F029396}"/>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0" w:fontKey="{F6B57B38-3DB0-4EE5-964F-291A79F045C9}"/>
  </w:font>
  <w:font w:name="Nova Mono">
    <w:charset w:val="00"/>
    <w:family w:val="auto"/>
    <w:pitch w:val="default"/>
    <w:embedRegular r:id="rId11" w:fontKey="{D3051F6C-79AD-4D68-843D-15B56E58822B}"/>
    <w:embedBold r:id="rId12" w:fontKey="{BAB408DD-09E6-456F-99CE-DF853EB8CA10}"/>
  </w:font>
  <w:font w:name="Calibri">
    <w:panose1 w:val="020F0502020204030204"/>
    <w:charset w:val="00"/>
    <w:family w:val="swiss"/>
    <w:pitch w:val="variable"/>
    <w:sig w:usb0="E4002EFF" w:usb1="C200247B" w:usb2="00000009" w:usb3="00000000" w:csb0="000001FF" w:csb1="00000000"/>
    <w:embedRegular r:id="rId13" w:fontKey="{5A2CCE52-6247-45EA-8D26-9BC80CEAB629}"/>
  </w:font>
  <w:font w:name="Cambria">
    <w:panose1 w:val="02040503050406030204"/>
    <w:charset w:val="00"/>
    <w:family w:val="roman"/>
    <w:pitch w:val="variable"/>
    <w:sig w:usb0="E00006FF" w:usb1="420024FF" w:usb2="02000000" w:usb3="00000000" w:csb0="0000019F" w:csb1="00000000"/>
    <w:embedRegular r:id="rId14" w:fontKey="{5803B8DF-C908-423C-8CEE-3FEB65566F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6847" w14:textId="77777777" w:rsidR="00EB3114" w:rsidRDefault="00000000">
    <w:pPr>
      <w:spacing w:before="40" w:after="100"/>
      <w:jc w:val="center"/>
      <w:rPr>
        <w:sz w:val="26"/>
        <w:szCs w:val="26"/>
      </w:rPr>
    </w:pPr>
    <w:r>
      <w:rPr>
        <w:rFonts w:ascii="Century Gothic" w:eastAsia="Century Gothic" w:hAnsi="Century Gothic" w:cs="Century Gothic"/>
        <w:color w:val="4A5568"/>
        <w:sz w:val="18"/>
        <w:szCs w:val="18"/>
      </w:rPr>
      <w:t>(1)614-653-9066  ·  savanna.myer@gmail.com  ·  linkedin.com/in/savannamyer  ·  savanna.myersmiles.com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89D0" w14:textId="77777777" w:rsidR="00EB3114" w:rsidRDefault="00000000">
    <w:pPr>
      <w:spacing w:before="40" w:after="100"/>
      <w:jc w:val="center"/>
    </w:pPr>
    <w:r>
      <w:rPr>
        <w:rFonts w:ascii="Century Gothic" w:eastAsia="Century Gothic" w:hAnsi="Century Gothic" w:cs="Century Gothic"/>
        <w:color w:val="4A5568"/>
        <w:sz w:val="13"/>
        <w:szCs w:val="13"/>
      </w:rPr>
      <w:t>614-309-4272  ·  savanna.myer@gmail.com  ·  linkedin.com/in/savannamyer  ·  savanna.myersmiles.com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2704F" w14:textId="77777777" w:rsidR="007730E0" w:rsidRDefault="007730E0">
      <w:r>
        <w:separator/>
      </w:r>
    </w:p>
  </w:footnote>
  <w:footnote w:type="continuationSeparator" w:id="0">
    <w:p w14:paraId="502CEDC5" w14:textId="77777777" w:rsidR="007730E0" w:rsidRDefault="00773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36DB" w14:textId="77777777" w:rsidR="00EB3114" w:rsidRDefault="00000000">
    <w:pPr>
      <w:tabs>
        <w:tab w:val="center" w:pos="5040"/>
        <w:tab w:val="right" w:pos="10080"/>
      </w:tabs>
      <w:spacing w:before="120" w:after="120"/>
    </w:pPr>
    <w:r>
      <w:rPr>
        <w:b/>
        <w:bCs/>
        <w:i/>
        <w:iCs/>
        <w:color w:val="1A2A40"/>
      </w:rPr>
      <w:t>Savanna Myer</w:t>
    </w:r>
    <w:r>
      <w:rPr>
        <w:rFonts w:ascii="Century Gothic" w:eastAsia="Century Gothic" w:hAnsi="Century Gothic" w:cs="Century Gothic"/>
        <w:color w:val="4A5568"/>
        <w:sz w:val="16"/>
        <w:szCs w:val="16"/>
      </w:rPr>
      <w:t xml:space="preserve">                Head of Security, Compliance &amp; Governance</w:t>
    </w:r>
    <w:r>
      <w:rPr>
        <w:rFonts w:ascii="Century Gothic" w:eastAsia="Century Gothic" w:hAnsi="Century Gothic" w:cs="Century Gothic"/>
        <w:sz w:val="16"/>
        <w:szCs w:val="16"/>
      </w:rPr>
      <w:t xml:space="preserve">                    </w:t>
    </w:r>
    <w:r>
      <w:rPr>
        <w:rFonts w:ascii="Century Gothic" w:eastAsia="Century Gothic" w:hAnsi="Century Gothic" w:cs="Century Gothic"/>
        <w:i/>
        <w:iCs/>
        <w:color w:val="4A5568"/>
        <w:sz w:val="14"/>
        <w:szCs w:val="14"/>
      </w:rPr>
      <w:t>Confidential</w:t>
    </w:r>
    <w:r>
      <w:rPr>
        <w:rFonts w:ascii="Century Gothic" w:eastAsia="Century Gothic" w:hAnsi="Century Gothic" w:cs="Century Gothic"/>
        <w:color w:val="4A5568"/>
        <w:sz w:val="14"/>
        <w:szCs w:val="14"/>
      </w:rPr>
      <w:t xml:space="preserve">                               p. </w:t>
    </w:r>
    <w:r>
      <w:fldChar w:fldCharType="begin"/>
    </w:r>
    <w:r>
      <w:instrText>PAGE</w:instrText>
    </w:r>
    <w:r>
      <w:fldChar w:fldCharType="separate"/>
    </w:r>
    <w:r w:rsidR="002972D5">
      <w:rPr>
        <w:noProof/>
      </w:rPr>
      <w:t>1</w:t>
    </w:r>
    <w:r>
      <w:fldChar w:fldCharType="end"/>
    </w:r>
  </w:p>
  <w:p w14:paraId="01FC2C68" w14:textId="77777777" w:rsidR="00EB3114" w:rsidRDefault="00EB3114">
    <w:pPr>
      <w:pBdr>
        <w:top w:val="none" w:sz="0" w:space="0" w:color="000000"/>
        <w:left w:val="none" w:sz="0" w:space="0" w:color="000000"/>
        <w:bottom w:val="single" w:sz="4" w:space="1" w:color="D0D8E4"/>
        <w:right w:val="none" w:sz="0" w:space="0" w:color="00000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2978" w14:textId="77777777" w:rsidR="00EB3114" w:rsidRDefault="00000000">
    <w:pPr>
      <w:tabs>
        <w:tab w:val="center" w:pos="5040"/>
        <w:tab w:val="right" w:pos="10080"/>
      </w:tabs>
      <w:spacing w:before="120" w:after="120"/>
    </w:pPr>
    <w:r>
      <w:rPr>
        <w:b/>
        <w:bCs/>
        <w:color w:val="1A2A40"/>
      </w:rPr>
      <w:t>Savanna Myer</w:t>
    </w:r>
    <w:r>
      <w:rPr>
        <w:rFonts w:ascii="Century Gothic" w:eastAsia="Century Gothic" w:hAnsi="Century Gothic" w:cs="Century Gothic"/>
        <w:color w:val="4A5568"/>
        <w:sz w:val="16"/>
        <w:szCs w:val="16"/>
      </w:rPr>
      <w:t xml:space="preserve">     Head of Security, Compliance &amp; Governance</w:t>
    </w:r>
    <w:r>
      <w:rPr>
        <w:rFonts w:ascii="Century Gothic" w:eastAsia="Century Gothic" w:hAnsi="Century Gothic" w:cs="Century Gothic"/>
        <w:sz w:val="16"/>
        <w:szCs w:val="16"/>
      </w:rPr>
      <w:tab/>
    </w:r>
    <w:r>
      <w:rPr>
        <w:rFonts w:ascii="Century Gothic" w:eastAsia="Century Gothic" w:hAnsi="Century Gothic" w:cs="Century Gothic"/>
        <w:color w:val="4A5568"/>
        <w:sz w:val="14"/>
        <w:szCs w:val="14"/>
      </w:rPr>
      <w:t>Confidential</w:t>
    </w:r>
    <w:r>
      <w:rPr>
        <w:rFonts w:ascii="Century Gothic" w:eastAsia="Century Gothic" w:hAnsi="Century Gothic" w:cs="Century Gothic"/>
        <w:sz w:val="14"/>
        <w:szCs w:val="14"/>
      </w:rPr>
      <w:tab/>
    </w:r>
    <w:r>
      <w:rPr>
        <w:rFonts w:ascii="Century Gothic" w:eastAsia="Century Gothic" w:hAnsi="Century Gothic" w:cs="Century Gothic"/>
        <w:color w:val="4A5568"/>
        <w:sz w:val="14"/>
        <w:szCs w:val="14"/>
      </w:rPr>
      <w:t xml:space="preserve">p. </w:t>
    </w:r>
    <w:r>
      <w:fldChar w:fldCharType="begin"/>
    </w:r>
    <w:r>
      <w:instrText>PAGE</w:instrText>
    </w:r>
    <w:r>
      <w:fldChar w:fldCharType="separate"/>
    </w:r>
    <w:r>
      <w:fldChar w:fldCharType="end"/>
    </w:r>
  </w:p>
  <w:p w14:paraId="0F00A814" w14:textId="77777777" w:rsidR="00EB3114" w:rsidRDefault="00EB3114">
    <w:pPr>
      <w:pBdr>
        <w:top w:val="none" w:sz="0" w:space="0" w:color="000000"/>
        <w:left w:val="none" w:sz="0" w:space="0" w:color="000000"/>
        <w:bottom w:val="single" w:sz="4" w:space="1" w:color="D0D8E4"/>
        <w:right w:val="none" w:sz="0" w:space="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2DA1"/>
    <w:multiLevelType w:val="multilevel"/>
    <w:tmpl w:val="4C0E13DC"/>
    <w:lvl w:ilvl="0">
      <w:start w:val="1"/>
      <w:numFmt w:val="bullet"/>
      <w:lvlText w:val="›"/>
      <w:lvlJc w:val="left"/>
      <w:pPr>
        <w:ind w:left="540" w:hanging="180"/>
      </w:pPr>
      <w:rPr>
        <w:rFonts w:ascii="Century Gothic" w:eastAsia="Century Gothic" w:hAnsi="Century Gothic" w:cs="Century Gothic"/>
        <w:color w:val="2A9DB8"/>
        <w:sz w:val="20"/>
        <w:szCs w:val="2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1" w15:restartNumberingAfterBreak="0">
    <w:nsid w:val="492012AE"/>
    <w:multiLevelType w:val="multilevel"/>
    <w:tmpl w:val="B9523464"/>
    <w:lvl w:ilvl="0">
      <w:start w:val="1"/>
      <w:numFmt w:val="bullet"/>
      <w:lvlText w:val="›"/>
      <w:lvlJc w:val="left"/>
      <w:pPr>
        <w:ind w:left="540" w:hanging="180"/>
      </w:pPr>
      <w:rPr>
        <w:rFonts w:ascii="Century Gothic" w:eastAsia="Century Gothic" w:hAnsi="Century Gothic" w:cs="Century Gothic"/>
        <w:color w:val="2A9DB8"/>
        <w:sz w:val="20"/>
        <w:szCs w:val="2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16cid:durableId="1873836197">
    <w:abstractNumId w:val="0"/>
  </w:num>
  <w:num w:numId="2" w16cid:durableId="849948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114"/>
    <w:rsid w:val="00081CA4"/>
    <w:rsid w:val="002972D5"/>
    <w:rsid w:val="004C4FA4"/>
    <w:rsid w:val="007730E0"/>
    <w:rsid w:val="00A40FA6"/>
    <w:rsid w:val="00AD75E8"/>
    <w:rsid w:val="00EB3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873E"/>
  <w15:docId w15:val="{928A274D-2123-4827-B406-32140CBE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Garamond" w:eastAsia="Cormorant Garamond" w:hAnsi="Cormorant Garamond" w:cs="Cormorant Garamond"/>
        <w:color w:val="0D142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60" w:type="dxa"/>
        <w:left w:w="80" w:type="dxa"/>
        <w:bottom w:w="60" w:type="dxa"/>
        <w:right w:w="0" w:type="dxa"/>
      </w:tblCellMar>
    </w:tblPr>
  </w:style>
  <w:style w:type="table" w:customStyle="1" w:styleId="a0">
    <w:basedOn w:val="TableNormal0"/>
    <w:tblPr>
      <w:tblStyleRowBandSize w:val="1"/>
      <w:tblStyleColBandSize w:val="1"/>
      <w:tblCellMar>
        <w:top w:w="80" w:type="dxa"/>
        <w:left w:w="80" w:type="dxa"/>
        <w:bottom w:w="80" w:type="dxa"/>
        <w:right w:w="80" w:type="dxa"/>
      </w:tblCellMar>
    </w:tblPr>
  </w:style>
  <w:style w:type="table" w:customStyle="1" w:styleId="a1">
    <w:basedOn w:val="TableNormal0"/>
    <w:tblPr>
      <w:tblStyleRowBandSize w:val="1"/>
      <w:tblStyleColBandSize w:val="1"/>
      <w:tblCellMar>
        <w:top w:w="36" w:type="dxa"/>
        <w:left w:w="0" w:type="dxa"/>
        <w:bottom w:w="36" w:type="dxa"/>
        <w:right w:w="60" w:type="dxa"/>
      </w:tblCellMar>
    </w:tblPr>
  </w:style>
  <w:style w:type="table" w:customStyle="1" w:styleId="a2">
    <w:basedOn w:val="TableNormal0"/>
    <w:tblPr>
      <w:tblStyleRowBandSize w:val="1"/>
      <w:tblStyleColBandSize w:val="1"/>
      <w:tblCellMar>
        <w:top w:w="0" w:type="dxa"/>
        <w:left w:w="200" w:type="dxa"/>
        <w:bottom w:w="0" w:type="dxa"/>
        <w:right w:w="0" w:type="dxa"/>
      </w:tblCellMar>
    </w:tblPr>
  </w:style>
  <w:style w:type="table" w:customStyle="1" w:styleId="a3">
    <w:basedOn w:val="TableNormal0"/>
    <w:tblPr>
      <w:tblStyleRowBandSize w:val="1"/>
      <w:tblStyleColBandSize w:val="1"/>
      <w:tblCellMar>
        <w:top w:w="50" w:type="dxa"/>
        <w:left w:w="80" w:type="dxa"/>
        <w:bottom w:w="50" w:type="dxa"/>
        <w:right w:w="60" w:type="dxa"/>
      </w:tblCellMar>
    </w:tblPr>
  </w:style>
  <w:style w:type="table" w:customStyle="1" w:styleId="a4">
    <w:basedOn w:val="TableNormal0"/>
    <w:tblPr>
      <w:tblStyleRowBandSize w:val="1"/>
      <w:tblStyleColBandSize w:val="1"/>
      <w:tblCellMar>
        <w:top w:w="80" w:type="dxa"/>
        <w:left w:w="160" w:type="dxa"/>
        <w:bottom w:w="80" w:type="dxa"/>
        <w:right w:w="0" w:type="dxa"/>
      </w:tblCellMar>
    </w:tblPr>
  </w:style>
  <w:style w:type="table" w:customStyle="1" w:styleId="a5">
    <w:basedOn w:val="TableNormal0"/>
    <w:tblPr>
      <w:tblStyleRowBandSize w:val="1"/>
      <w:tblStyleColBandSize w:val="1"/>
      <w:tblCellMar>
        <w:top w:w="80" w:type="dxa"/>
        <w:left w:w="160" w:type="dxa"/>
        <w:bottom w:w="80" w:type="dxa"/>
        <w:right w:w="0" w:type="dxa"/>
      </w:tblCellMar>
    </w:tblPr>
  </w:style>
  <w:style w:type="table" w:customStyle="1" w:styleId="a6">
    <w:basedOn w:val="TableNormal0"/>
    <w:tblPr>
      <w:tblStyleRowBandSize w:val="1"/>
      <w:tblStyleColBandSize w:val="1"/>
      <w:tblCellMar>
        <w:top w:w="80" w:type="dxa"/>
        <w:left w:w="160" w:type="dxa"/>
        <w:bottom w:w="80" w:type="dxa"/>
        <w:right w:w="0" w:type="dxa"/>
      </w:tblCellMar>
    </w:tblPr>
  </w:style>
  <w:style w:type="table" w:customStyle="1" w:styleId="a7">
    <w:basedOn w:val="TableNormal0"/>
    <w:tblPr>
      <w:tblStyleRowBandSize w:val="1"/>
      <w:tblStyleColBandSize w:val="1"/>
      <w:tblCellMar>
        <w:right w:w="120" w:type="dxa"/>
      </w:tblCellMar>
    </w:tblPr>
  </w:style>
  <w:style w:type="table" w:customStyle="1" w:styleId="a8">
    <w:basedOn w:val="TableNormal0"/>
    <w:tblPr>
      <w:tblStyleRowBandSize w:val="1"/>
      <w:tblStyleColBandSize w:val="1"/>
      <w:tblCellMar>
        <w:top w:w="80" w:type="dxa"/>
        <w:bottom w:w="80" w:type="dxa"/>
      </w:tblCellMar>
    </w:tblPr>
  </w:style>
  <w:style w:type="table" w:customStyle="1" w:styleId="a9">
    <w:basedOn w:val="TableNormal0"/>
    <w:tblPr>
      <w:tblStyleRowBandSize w:val="1"/>
      <w:tblStyleColBandSize w:val="1"/>
      <w:tblCellMar>
        <w:right w:w="120" w:type="dxa"/>
      </w:tblCellMar>
    </w:tblPr>
  </w:style>
  <w:style w:type="table" w:customStyle="1" w:styleId="aa">
    <w:basedOn w:val="TableNormal0"/>
    <w:tblPr>
      <w:tblStyleRowBandSize w:val="1"/>
      <w:tblStyleColBandSize w:val="1"/>
      <w:tblCellMar>
        <w:top w:w="80" w:type="dxa"/>
        <w:bottom w:w="80" w:type="dxa"/>
      </w:tblCellMar>
    </w:tblPr>
  </w:style>
  <w:style w:type="table" w:customStyle="1" w:styleId="ab">
    <w:basedOn w:val="TableNormal0"/>
    <w:tblPr>
      <w:tblStyleRowBandSize w:val="1"/>
      <w:tblStyleColBandSize w:val="1"/>
      <w:tblCellMar>
        <w:right w:w="120" w:type="dxa"/>
      </w:tblCellMar>
    </w:tblPr>
  </w:style>
  <w:style w:type="table" w:customStyle="1" w:styleId="ac">
    <w:basedOn w:val="TableNormal0"/>
    <w:tblPr>
      <w:tblStyleRowBandSize w:val="1"/>
      <w:tblStyleColBandSize w:val="1"/>
      <w:tblCellMar>
        <w:top w:w="80" w:type="dxa"/>
        <w:bottom w:w="80" w:type="dxa"/>
      </w:tblCellMar>
    </w:tblPr>
  </w:style>
  <w:style w:type="table" w:customStyle="1" w:styleId="ad">
    <w:basedOn w:val="TableNormal0"/>
    <w:tblPr>
      <w:tblStyleRowBandSize w:val="1"/>
      <w:tblStyleColBandSize w:val="1"/>
      <w:tblCellMar>
        <w:right w:w="120" w:type="dxa"/>
      </w:tblCellMar>
    </w:tblPr>
  </w:style>
  <w:style w:type="table" w:customStyle="1" w:styleId="ae">
    <w:basedOn w:val="TableNormal0"/>
    <w:tblPr>
      <w:tblStyleRowBandSize w:val="1"/>
      <w:tblStyleColBandSize w:val="1"/>
      <w:tblCellMar>
        <w:right w:w="120" w:type="dxa"/>
      </w:tblCellMar>
    </w:tblPr>
  </w:style>
  <w:style w:type="table" w:customStyle="1" w:styleId="af">
    <w:basedOn w:val="TableNormal0"/>
    <w:tblPr>
      <w:tblStyleRowBandSize w:val="1"/>
      <w:tblStyleColBandSize w:val="1"/>
      <w:tblCellMar>
        <w:right w:w="120" w:type="dxa"/>
      </w:tblCellMar>
    </w:tblPr>
  </w:style>
  <w:style w:type="table" w:customStyle="1" w:styleId="af0">
    <w:basedOn w:val="TableNormal0"/>
    <w:tblPr>
      <w:tblStyleRowBandSize w:val="1"/>
      <w:tblStyleColBandSize w:val="1"/>
      <w:tblCellMar>
        <w:right w:w="120" w:type="dxa"/>
      </w:tblCellMar>
    </w:tblPr>
  </w:style>
  <w:style w:type="table" w:customStyle="1" w:styleId="af1">
    <w:basedOn w:val="TableNormal0"/>
    <w:tblPr>
      <w:tblStyleRowBandSize w:val="1"/>
      <w:tblStyleColBandSize w:val="1"/>
      <w:tblCellMar>
        <w:left w:w="140" w:type="dxa"/>
        <w:right w:w="120" w:type="dxa"/>
      </w:tblCellMar>
    </w:tblPr>
  </w:style>
  <w:style w:type="table" w:customStyle="1" w:styleId="af2">
    <w:basedOn w:val="TableNormal0"/>
    <w:tblPr>
      <w:tblStyleRowBandSize w:val="1"/>
      <w:tblStyleColBandSize w:val="1"/>
      <w:tblCellMar>
        <w:left w:w="140" w:type="dxa"/>
        <w:right w:w="120" w:type="dxa"/>
      </w:tblCellMar>
    </w:tblPr>
  </w:style>
  <w:style w:type="table" w:customStyle="1" w:styleId="af3">
    <w:basedOn w:val="TableNormal0"/>
    <w:tblPr>
      <w:tblStyleRowBandSize w:val="1"/>
      <w:tblStyleColBandSize w:val="1"/>
      <w:tblCellMar>
        <w:left w:w="140" w:type="dxa"/>
        <w:right w:w="120" w:type="dxa"/>
      </w:tblCellMar>
    </w:tblPr>
  </w:style>
  <w:style w:type="table" w:customStyle="1" w:styleId="af4">
    <w:basedOn w:val="TableNormal0"/>
    <w:tblPr>
      <w:tblStyleRowBandSize w:val="1"/>
      <w:tblStyleColBandSize w:val="1"/>
      <w:tblCellMar>
        <w:left w:w="140" w:type="dxa"/>
        <w:right w:w="120" w:type="dxa"/>
      </w:tblCellMar>
    </w:tblPr>
  </w:style>
  <w:style w:type="table" w:customStyle="1" w:styleId="af5">
    <w:basedOn w:val="TableNormal0"/>
    <w:tblPr>
      <w:tblStyleRowBandSize w:val="1"/>
      <w:tblStyleColBandSize w:val="1"/>
      <w:tblCellMar>
        <w:left w:w="140" w:type="dxa"/>
        <w:right w:w="120" w:type="dxa"/>
      </w:tblCellMar>
    </w:tblPr>
  </w:style>
  <w:style w:type="table" w:customStyle="1" w:styleId="af6">
    <w:basedOn w:val="TableNormal0"/>
    <w:tblPr>
      <w:tblStyleRowBandSize w:val="1"/>
      <w:tblStyleColBandSize w:val="1"/>
      <w:tblCellMar>
        <w:top w:w="80" w:type="dxa"/>
        <w:left w:w="160" w:type="dxa"/>
        <w:bottom w:w="80" w:type="dxa"/>
        <w:right w:w="0" w:type="dxa"/>
      </w:tblCellMar>
    </w:tblPr>
  </w:style>
  <w:style w:type="table" w:customStyle="1" w:styleId="af7">
    <w:basedOn w:val="TableNormal0"/>
    <w:tblPr>
      <w:tblStyleRowBandSize w:val="1"/>
      <w:tblStyleColBandSize w:val="1"/>
      <w:tblCellMar>
        <w:top w:w="80" w:type="dxa"/>
        <w:left w:w="160" w:type="dxa"/>
        <w:bottom w:w="80" w:type="dxa"/>
        <w:right w:w="0" w:type="dxa"/>
      </w:tblCellMar>
    </w:tblPr>
  </w:style>
  <w:style w:type="table" w:customStyle="1" w:styleId="af8">
    <w:basedOn w:val="TableNormal0"/>
    <w:tblPr>
      <w:tblStyleRowBandSize w:val="1"/>
      <w:tblStyleColBandSize w:val="1"/>
      <w:tblCellMar>
        <w:left w:w="140" w:type="dxa"/>
        <w:right w:w="120" w:type="dxa"/>
      </w:tblCellMar>
    </w:tblPr>
  </w:style>
  <w:style w:type="table" w:customStyle="1" w:styleId="af9">
    <w:basedOn w:val="TableNormal0"/>
    <w:tblPr>
      <w:tblStyleRowBandSize w:val="1"/>
      <w:tblStyleColBandSize w:val="1"/>
      <w:tblCellMar>
        <w:left w:w="120" w:type="dxa"/>
      </w:tblCellMar>
    </w:tblPr>
  </w:style>
  <w:style w:type="table" w:customStyle="1" w:styleId="afa">
    <w:basedOn w:val="TableNormal0"/>
    <w:tblPr>
      <w:tblStyleRowBandSize w:val="1"/>
      <w:tblStyleColBandSize w:val="1"/>
      <w:tblCellMar>
        <w:left w:w="120" w:type="dxa"/>
      </w:tblCellMar>
    </w:tblPr>
  </w:style>
  <w:style w:type="table" w:customStyle="1" w:styleId="afb">
    <w:basedOn w:val="TableNormal0"/>
    <w:tblPr>
      <w:tblStyleRowBandSize w:val="1"/>
      <w:tblStyleColBandSize w:val="1"/>
      <w:tblCellMar>
        <w:left w:w="120" w:type="dxa"/>
      </w:tblCellMar>
    </w:tblPr>
  </w:style>
  <w:style w:type="table" w:customStyle="1" w:styleId="afc">
    <w:basedOn w:val="TableNormal0"/>
    <w:tblPr>
      <w:tblStyleRowBandSize w:val="1"/>
      <w:tblStyleColBandSize w:val="1"/>
      <w:tblCellMar>
        <w:left w:w="140" w:type="dxa"/>
        <w:right w:w="120" w:type="dxa"/>
      </w:tblCellMar>
    </w:tblPr>
  </w:style>
  <w:style w:type="table" w:customStyle="1" w:styleId="afd">
    <w:basedOn w:val="TableNormal0"/>
    <w:tblPr>
      <w:tblStyleRowBandSize w:val="1"/>
      <w:tblStyleColBandSize w:val="1"/>
      <w:tblCellMar>
        <w:left w:w="140" w:type="dxa"/>
        <w:right w:w="120" w:type="dxa"/>
      </w:tblCellMar>
    </w:tblPr>
  </w:style>
  <w:style w:type="table" w:customStyle="1" w:styleId="afe">
    <w:basedOn w:val="TableNormal0"/>
    <w:tblPr>
      <w:tblStyleRowBandSize w:val="1"/>
      <w:tblStyleColBandSize w:val="1"/>
      <w:tblCellMar>
        <w:left w:w="140" w:type="dxa"/>
        <w:right w:w="120" w:type="dxa"/>
      </w:tblCellMar>
    </w:tblPr>
  </w:style>
  <w:style w:type="table" w:customStyle="1" w:styleId="aff">
    <w:basedOn w:val="TableNormal0"/>
    <w:tblPr>
      <w:tblStyleRowBandSize w:val="1"/>
      <w:tblStyleColBandSize w:val="1"/>
      <w:tblCellMar>
        <w:left w:w="140" w:type="dxa"/>
        <w:right w:w="120" w:type="dxa"/>
      </w:tblCellMar>
    </w:tblPr>
  </w:style>
  <w:style w:type="table" w:customStyle="1" w:styleId="aff0">
    <w:basedOn w:val="TableNormal0"/>
    <w:tblPr>
      <w:tblStyleRowBandSize w:val="1"/>
      <w:tblStyleColBandSize w:val="1"/>
      <w:tblCellMar>
        <w:top w:w="50" w:type="dxa"/>
        <w:left w:w="80" w:type="dxa"/>
        <w:bottom w:w="50" w:type="dxa"/>
        <w:right w:w="60" w:type="dxa"/>
      </w:tblCellMar>
    </w:tblPr>
  </w:style>
  <w:style w:type="table" w:customStyle="1" w:styleId="aff1">
    <w:basedOn w:val="TableNormal0"/>
    <w:tblPr>
      <w:tblStyleRowBandSize w:val="1"/>
      <w:tblStyleColBandSize w:val="1"/>
      <w:tblCellMar>
        <w:left w:w="140" w:type="dxa"/>
        <w:right w:w="120" w:type="dxa"/>
      </w:tblCellMar>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CellMar>
        <w:left w:w="140" w:type="dxa"/>
        <w:right w:w="120" w:type="dxa"/>
      </w:tblCellMar>
    </w:tblPr>
  </w:style>
  <w:style w:type="table" w:customStyle="1" w:styleId="aff4">
    <w:basedOn w:val="TableNormal0"/>
    <w:tblPr>
      <w:tblStyleRowBandSize w:val="1"/>
      <w:tblStyleColBandSize w:val="1"/>
      <w:tblCellMar>
        <w:left w:w="140" w:type="dxa"/>
        <w:right w:w="120" w:type="dxa"/>
      </w:tblCellMar>
    </w:tblPr>
  </w:style>
  <w:style w:type="table" w:customStyle="1" w:styleId="aff5">
    <w:basedOn w:val="TableNormal0"/>
    <w:tblPr>
      <w:tblStyleRowBandSize w:val="1"/>
      <w:tblStyleColBandSize w:val="1"/>
      <w:tblCellMar>
        <w:left w:w="140" w:type="dxa"/>
        <w:right w:w="120" w:type="dxa"/>
      </w:tblCellMar>
    </w:tblPr>
  </w:style>
  <w:style w:type="table" w:customStyle="1" w:styleId="aff6">
    <w:basedOn w:val="TableNormal0"/>
    <w:tblPr>
      <w:tblStyleRowBandSize w:val="1"/>
      <w:tblStyleColBandSize w:val="1"/>
      <w:tblCellMar>
        <w:left w:w="140" w:type="dxa"/>
        <w:right w:w="120" w:type="dxa"/>
      </w:tblCellMar>
    </w:tblPr>
  </w:style>
  <w:style w:type="table" w:customStyle="1" w:styleId="aff7">
    <w:basedOn w:val="TableNormal0"/>
    <w:tblPr>
      <w:tblStyleRowBandSize w:val="1"/>
      <w:tblStyleColBandSize w:val="1"/>
      <w:tblCellMar>
        <w:left w:w="140" w:type="dxa"/>
        <w:right w:w="120" w:type="dxa"/>
      </w:tblCellMar>
    </w:tblPr>
  </w:style>
  <w:style w:type="table" w:customStyle="1" w:styleId="aff8">
    <w:basedOn w:val="TableNormal0"/>
    <w:tblPr>
      <w:tblStyleRowBandSize w:val="1"/>
      <w:tblStyleColBandSize w:val="1"/>
      <w:tblCellMar>
        <w:left w:w="140" w:type="dxa"/>
        <w:right w:w="120" w:type="dxa"/>
      </w:tblCellMar>
    </w:tblPr>
  </w:style>
  <w:style w:type="table" w:customStyle="1" w:styleId="aff9">
    <w:basedOn w:val="TableNormal0"/>
    <w:tblPr>
      <w:tblStyleRowBandSize w:val="1"/>
      <w:tblStyleColBandSize w:val="1"/>
      <w:tblCellMar>
        <w:left w:w="140" w:type="dxa"/>
        <w:right w:w="120" w:type="dxa"/>
      </w:tblCellMar>
    </w:tblPr>
  </w:style>
  <w:style w:type="table" w:customStyle="1" w:styleId="affa">
    <w:basedOn w:val="TableNormal0"/>
    <w:tblPr>
      <w:tblStyleRowBandSize w:val="1"/>
      <w:tblStyleColBandSize w:val="1"/>
      <w:tblCellMar>
        <w:left w:w="140" w:type="dxa"/>
        <w:right w:w="120" w:type="dxa"/>
      </w:tblCellMar>
    </w:tblPr>
  </w:style>
  <w:style w:type="table" w:customStyle="1" w:styleId="affb">
    <w:basedOn w:val="TableNormal0"/>
    <w:tblPr>
      <w:tblStyleRowBandSize w:val="1"/>
      <w:tblStyleColBandSize w:val="1"/>
      <w:tblCellMar>
        <w:left w:w="140" w:type="dxa"/>
        <w:right w:w="120" w:type="dxa"/>
      </w:tblCellMar>
    </w:tblPr>
  </w:style>
  <w:style w:type="table" w:customStyle="1" w:styleId="affc">
    <w:basedOn w:val="TableNormal0"/>
    <w:tblPr>
      <w:tblStyleRowBandSize w:val="1"/>
      <w:tblStyleColBandSize w:val="1"/>
      <w:tblCellMar>
        <w:left w:w="140" w:type="dxa"/>
        <w:right w:w="120" w:type="dxa"/>
      </w:tblCellMar>
    </w:tblPr>
  </w:style>
  <w:style w:type="table" w:customStyle="1" w:styleId="affd">
    <w:basedOn w:val="TableNormal0"/>
    <w:tblPr>
      <w:tblStyleRowBandSize w:val="1"/>
      <w:tblStyleColBandSize w:val="1"/>
      <w:tblCellMar>
        <w:left w:w="140" w:type="dxa"/>
        <w:right w:w="120" w:type="dxa"/>
      </w:tblCellMar>
    </w:tblPr>
  </w:style>
  <w:style w:type="table" w:customStyle="1" w:styleId="affe">
    <w:basedOn w:val="TableNormal0"/>
    <w:tblPr>
      <w:tblStyleRowBandSize w:val="1"/>
      <w:tblStyleColBandSize w:val="1"/>
      <w:tblCellMar>
        <w:left w:w="140" w:type="dxa"/>
        <w:right w:w="120" w:type="dxa"/>
      </w:tblCellMar>
    </w:tblPr>
  </w:style>
  <w:style w:type="table" w:customStyle="1" w:styleId="afff">
    <w:basedOn w:val="TableNormal0"/>
    <w:tblPr>
      <w:tblStyleRowBandSize w:val="1"/>
      <w:tblStyleColBandSize w:val="1"/>
      <w:tblCellMar>
        <w:top w:w="40" w:type="dxa"/>
        <w:bottom w:w="40" w:type="dxa"/>
        <w:right w:w="0" w:type="dxa"/>
      </w:tblCellMar>
    </w:tblPr>
  </w:style>
  <w:style w:type="table" w:customStyle="1" w:styleId="afff0">
    <w:basedOn w:val="TableNormal0"/>
    <w:tblPr>
      <w:tblStyleRowBandSize w:val="1"/>
      <w:tblStyleColBandSize w:val="1"/>
      <w:tblCellMar>
        <w:top w:w="50" w:type="dxa"/>
        <w:left w:w="80" w:type="dxa"/>
        <w:bottom w:w="50" w:type="dxa"/>
        <w:right w:w="60" w:type="dxa"/>
      </w:tblCellMar>
    </w:tblPr>
  </w:style>
  <w:style w:type="table" w:customStyle="1" w:styleId="afff1">
    <w:basedOn w:val="TableNormal0"/>
    <w:tblPr>
      <w:tblStyleRowBandSize w:val="1"/>
      <w:tblStyleColBandSize w:val="1"/>
      <w:tblCellMar>
        <w:top w:w="0" w:type="dxa"/>
        <w:left w:w="120" w:type="dxa"/>
        <w:bottom w:w="0" w:type="dxa"/>
        <w:right w:w="0" w:type="dxa"/>
      </w:tblCellMar>
    </w:tblPr>
  </w:style>
  <w:style w:type="table" w:customStyle="1" w:styleId="afff2">
    <w:basedOn w:val="TableNormal0"/>
    <w:tblPr>
      <w:tblStyleRowBandSize w:val="1"/>
      <w:tblStyleColBandSize w:val="1"/>
      <w:tblCellMar>
        <w:top w:w="0" w:type="dxa"/>
        <w:left w:w="12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savannamye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avanna.myersmiles.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5850</Words>
  <Characters>33345</Characters>
  <Application>Microsoft Office Word</Application>
  <DocSecurity>0</DocSecurity>
  <Lines>277</Lines>
  <Paragraphs>78</Paragraphs>
  <ScaleCrop>false</ScaleCrop>
  <Company/>
  <LinksUpToDate>false</LinksUpToDate>
  <CharactersWithSpaces>39117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Jesse Myer</cp:lastModifiedBy>
  <cp:revision>3</cp:revision>
  <dcterms:created xsi:type="dcterms:W3CDTF">2026-04-07T19:49:00Z</dcterms:created>
  <dcterms:modified xsi:type="dcterms:W3CDTF">2026-07-28T17:41:00Z</dcterms:modified>
</cp:coreProperties>
</file>