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2D58" w14:textId="3EDA3004" w:rsidR="00EC28BD" w:rsidRPr="007E349F" w:rsidRDefault="00EC28BD" w:rsidP="004413DC">
      <w:pPr>
        <w:pBdr>
          <w:top w:val="nil"/>
          <w:left w:val="nil"/>
          <w:bottom w:val="nil"/>
          <w:right w:val="nil"/>
          <w:between w:val="nil"/>
        </w:pBdr>
        <w:spacing w:after="120"/>
        <w:rPr>
          <w:rFonts w:ascii="Arial" w:hAnsi="Arial" w:cs="Arial"/>
          <w:sz w:val="32"/>
          <w:szCs w:val="32"/>
        </w:rPr>
      </w:pPr>
      <w:r w:rsidRPr="007E349F">
        <w:rPr>
          <w:rFonts w:ascii="Arial" w:hAnsi="Arial" w:cs="Arial"/>
        </w:rPr>
        <w:t xml:space="preserve">Running Title: </w:t>
      </w:r>
      <w:r w:rsidR="00D50E99" w:rsidRPr="00D50E99">
        <w:rPr>
          <w:rFonts w:ascii="Arial" w:hAnsi="Arial" w:cs="Arial"/>
        </w:rPr>
        <w:t xml:space="preserve">DMN </w:t>
      </w:r>
      <w:r w:rsidR="00592287">
        <w:rPr>
          <w:rFonts w:ascii="Arial" w:hAnsi="Arial" w:cs="Arial"/>
        </w:rPr>
        <w:t>reinteg</w:t>
      </w:r>
      <w:r w:rsidR="00524E18">
        <w:rPr>
          <w:rFonts w:ascii="Arial" w:hAnsi="Arial" w:cs="Arial"/>
        </w:rPr>
        <w:t>ration in acute stroke</w:t>
      </w:r>
    </w:p>
    <w:p w14:paraId="7295A979" w14:textId="18F2745E" w:rsidR="00FA754A" w:rsidRPr="007E349F" w:rsidRDefault="007A0AB7" w:rsidP="004413DC">
      <w:pPr>
        <w:pBdr>
          <w:top w:val="nil"/>
          <w:left w:val="nil"/>
          <w:bottom w:val="nil"/>
          <w:right w:val="nil"/>
          <w:between w:val="nil"/>
        </w:pBdr>
        <w:spacing w:after="120"/>
        <w:rPr>
          <w:rFonts w:ascii="Arial" w:hAnsi="Arial" w:cs="Arial"/>
          <w:sz w:val="32"/>
          <w:szCs w:val="32"/>
        </w:rPr>
      </w:pPr>
      <w:r w:rsidRPr="007A0AB7">
        <w:rPr>
          <w:rFonts w:ascii="Arial" w:hAnsi="Arial" w:cs="Arial"/>
          <w:sz w:val="32"/>
          <w:szCs w:val="32"/>
        </w:rPr>
        <w:t>Post-demand interhemispheric DMN reconfiguration is a candidate network marker of early upper-limb outcome after acute stroke</w:t>
      </w:r>
    </w:p>
    <w:p w14:paraId="391985B0" w14:textId="705F2EC8" w:rsidR="00EC09AB" w:rsidRPr="00AD17C0" w:rsidRDefault="00236DC6" w:rsidP="004413DC">
      <w:pPr>
        <w:pBdr>
          <w:top w:val="nil"/>
          <w:left w:val="nil"/>
          <w:bottom w:val="nil"/>
          <w:right w:val="nil"/>
          <w:between w:val="nil"/>
        </w:pBdr>
        <w:spacing w:after="283"/>
        <w:rPr>
          <w:rFonts w:ascii="Arial" w:hAnsi="Arial" w:cs="Arial"/>
          <w:color w:val="000000"/>
        </w:rPr>
      </w:pPr>
      <w:r w:rsidRPr="00AD17C0">
        <w:rPr>
          <w:rFonts w:ascii="Arial" w:hAnsi="Arial" w:cs="Arial"/>
          <w:color w:val="000000"/>
        </w:rPr>
        <w:t>Christiane Dahms</w:t>
      </w:r>
      <w:r w:rsidR="00030BD8" w:rsidRPr="00AD17C0">
        <w:rPr>
          <w:rFonts w:ascii="Arial" w:hAnsi="Arial" w:cs="Arial"/>
          <w:color w:val="000000"/>
        </w:rPr>
        <w:t>, M.D.</w:t>
      </w:r>
      <w:r w:rsidRPr="00AD17C0">
        <w:rPr>
          <w:rFonts w:ascii="Arial" w:hAnsi="Arial" w:cs="Arial"/>
          <w:color w:val="000000"/>
          <w:vertAlign w:val="superscript"/>
        </w:rPr>
        <w:t>1,2</w:t>
      </w:r>
      <w:r w:rsidRPr="00AD17C0">
        <w:rPr>
          <w:rFonts w:ascii="Arial" w:hAnsi="Arial" w:cs="Arial"/>
          <w:color w:val="000000"/>
        </w:rPr>
        <w:t>, Franziska Wagner</w:t>
      </w:r>
      <w:r w:rsidR="00030BD8" w:rsidRPr="00AD17C0">
        <w:rPr>
          <w:rFonts w:ascii="Arial" w:hAnsi="Arial" w:cs="Arial"/>
          <w:color w:val="000000"/>
        </w:rPr>
        <w:t>, M.D.</w:t>
      </w:r>
      <w:r w:rsidRPr="00AD17C0">
        <w:rPr>
          <w:rFonts w:ascii="Arial" w:hAnsi="Arial" w:cs="Arial"/>
          <w:vertAlign w:val="superscript"/>
        </w:rPr>
        <w:t>1,2</w:t>
      </w:r>
      <w:r w:rsidRPr="00AD17C0">
        <w:rPr>
          <w:rFonts w:ascii="Arial" w:hAnsi="Arial" w:cs="Arial"/>
          <w:color w:val="000000"/>
        </w:rPr>
        <w:t>, Alexander Schmidt</w:t>
      </w:r>
      <w:r w:rsidR="00030BD8" w:rsidRPr="00AD17C0">
        <w:rPr>
          <w:rFonts w:ascii="Arial" w:hAnsi="Arial" w:cs="Arial"/>
          <w:color w:val="000000"/>
        </w:rPr>
        <w:t>, M.Sc.</w:t>
      </w:r>
      <w:r w:rsidRPr="00AD17C0">
        <w:rPr>
          <w:rFonts w:ascii="Arial" w:hAnsi="Arial" w:cs="Arial"/>
          <w:color w:val="000000"/>
          <w:vertAlign w:val="superscript"/>
        </w:rPr>
        <w:t>1,2</w:t>
      </w:r>
      <w:r w:rsidRPr="00AD17C0">
        <w:rPr>
          <w:rFonts w:ascii="Arial" w:hAnsi="Arial" w:cs="Arial"/>
          <w:color w:val="000000"/>
        </w:rPr>
        <w:t>, Stefan Brodoehl</w:t>
      </w:r>
      <w:r w:rsidR="00030BD8" w:rsidRPr="00AD17C0">
        <w:rPr>
          <w:rFonts w:ascii="Arial" w:hAnsi="Arial" w:cs="Arial"/>
          <w:color w:val="000000"/>
        </w:rPr>
        <w:t>, M.D.</w:t>
      </w:r>
      <w:r w:rsidRPr="00AD17C0">
        <w:rPr>
          <w:rFonts w:ascii="Arial" w:hAnsi="Arial" w:cs="Arial"/>
          <w:color w:val="000000"/>
          <w:vertAlign w:val="superscript"/>
        </w:rPr>
        <w:t>1,2</w:t>
      </w:r>
      <w:r w:rsidRPr="00AD17C0">
        <w:rPr>
          <w:rFonts w:ascii="Arial" w:hAnsi="Arial" w:cs="Arial"/>
          <w:color w:val="000000"/>
        </w:rPr>
        <w:t xml:space="preserve"> Carsten M. Klingner</w:t>
      </w:r>
      <w:r w:rsidR="00030BD8" w:rsidRPr="00AD17C0">
        <w:rPr>
          <w:rFonts w:ascii="Arial" w:hAnsi="Arial" w:cs="Arial"/>
          <w:color w:val="000000"/>
        </w:rPr>
        <w:t xml:space="preserve">, </w:t>
      </w:r>
      <w:r w:rsidR="00B420E2" w:rsidRPr="00AD17C0">
        <w:rPr>
          <w:rFonts w:ascii="Arial" w:hAnsi="Arial" w:cs="Arial"/>
          <w:color w:val="000000"/>
        </w:rPr>
        <w:t>M.D.</w:t>
      </w:r>
      <w:r w:rsidRPr="00AD17C0">
        <w:rPr>
          <w:rFonts w:ascii="Arial" w:hAnsi="Arial" w:cs="Arial"/>
          <w:vertAlign w:val="superscript"/>
        </w:rPr>
        <w:t>1,2</w:t>
      </w:r>
    </w:p>
    <w:p w14:paraId="232A7CEB" w14:textId="77777777" w:rsidR="00EC09AB" w:rsidRPr="007E349F" w:rsidRDefault="00236DC6" w:rsidP="004413DC">
      <w:pPr>
        <w:pBdr>
          <w:top w:val="nil"/>
          <w:left w:val="nil"/>
          <w:bottom w:val="nil"/>
          <w:right w:val="nil"/>
          <w:between w:val="nil"/>
        </w:pBdr>
        <w:spacing w:after="120"/>
        <w:rPr>
          <w:rFonts w:ascii="Arial" w:hAnsi="Arial" w:cs="Arial"/>
          <w:color w:val="000000"/>
        </w:rPr>
      </w:pPr>
      <w:r w:rsidRPr="007E349F">
        <w:rPr>
          <w:rFonts w:ascii="Arial" w:hAnsi="Arial" w:cs="Arial"/>
          <w:color w:val="000000"/>
          <w:vertAlign w:val="superscript"/>
        </w:rPr>
        <w:t xml:space="preserve">1 </w:t>
      </w:r>
      <w:r w:rsidRPr="007E349F">
        <w:rPr>
          <w:rFonts w:ascii="Arial" w:hAnsi="Arial" w:cs="Arial"/>
          <w:color w:val="000000"/>
        </w:rPr>
        <w:t>Department of Neurology, Jena University Hospital, Germany </w:t>
      </w:r>
    </w:p>
    <w:p w14:paraId="3006FDE4" w14:textId="77777777" w:rsidR="00EC09AB" w:rsidRPr="007E349F" w:rsidRDefault="00236DC6" w:rsidP="004413DC">
      <w:pPr>
        <w:pBdr>
          <w:top w:val="nil"/>
          <w:left w:val="nil"/>
          <w:bottom w:val="nil"/>
          <w:right w:val="nil"/>
          <w:between w:val="nil"/>
        </w:pBdr>
        <w:spacing w:after="120"/>
        <w:rPr>
          <w:rFonts w:ascii="Arial" w:hAnsi="Arial" w:cs="Arial"/>
          <w:color w:val="000000"/>
        </w:rPr>
      </w:pPr>
      <w:r w:rsidRPr="007E349F">
        <w:rPr>
          <w:rFonts w:ascii="Arial" w:hAnsi="Arial" w:cs="Arial"/>
          <w:color w:val="000000"/>
          <w:vertAlign w:val="superscript"/>
        </w:rPr>
        <w:t>2</w:t>
      </w:r>
      <w:r w:rsidRPr="007E349F">
        <w:rPr>
          <w:rFonts w:ascii="Arial" w:hAnsi="Arial" w:cs="Arial"/>
          <w:color w:val="000000"/>
        </w:rPr>
        <w:t xml:space="preserve"> </w:t>
      </w:r>
      <w:proofErr w:type="spellStart"/>
      <w:r w:rsidRPr="007E349F">
        <w:rPr>
          <w:rFonts w:ascii="Arial" w:hAnsi="Arial" w:cs="Arial"/>
          <w:color w:val="000000"/>
        </w:rPr>
        <w:t>Biomagnetic</w:t>
      </w:r>
      <w:proofErr w:type="spellEnd"/>
      <w:r w:rsidRPr="007E349F">
        <w:rPr>
          <w:rFonts w:ascii="Arial" w:hAnsi="Arial" w:cs="Arial"/>
          <w:color w:val="000000"/>
        </w:rPr>
        <w:t xml:space="preserve"> </w:t>
      </w:r>
      <w:proofErr w:type="spellStart"/>
      <w:r w:rsidRPr="007E349F">
        <w:rPr>
          <w:rFonts w:ascii="Arial" w:hAnsi="Arial" w:cs="Arial"/>
          <w:color w:val="000000"/>
        </w:rPr>
        <w:t>Center</w:t>
      </w:r>
      <w:proofErr w:type="spellEnd"/>
      <w:r w:rsidRPr="007E349F">
        <w:rPr>
          <w:rFonts w:ascii="Arial" w:hAnsi="Arial" w:cs="Arial"/>
          <w:color w:val="000000"/>
        </w:rPr>
        <w:t xml:space="preserve">, Jena University Hospital, Germany </w:t>
      </w:r>
    </w:p>
    <w:p w14:paraId="1746E85A" w14:textId="77777777" w:rsidR="00EC09AB" w:rsidRPr="007E349F" w:rsidRDefault="00EC09AB" w:rsidP="004413DC">
      <w:pPr>
        <w:pBdr>
          <w:top w:val="nil"/>
          <w:left w:val="nil"/>
          <w:bottom w:val="nil"/>
          <w:right w:val="nil"/>
          <w:between w:val="nil"/>
        </w:pBdr>
        <w:rPr>
          <w:rFonts w:ascii="Arial" w:hAnsi="Arial" w:cs="Arial"/>
          <w:b/>
          <w:color w:val="000000"/>
        </w:rPr>
      </w:pPr>
    </w:p>
    <w:p w14:paraId="640E3DEA" w14:textId="77777777" w:rsidR="00EF0D18" w:rsidRPr="007E349F" w:rsidRDefault="00EF0D18" w:rsidP="004413DC">
      <w:pPr>
        <w:pBdr>
          <w:top w:val="nil"/>
          <w:left w:val="nil"/>
          <w:bottom w:val="nil"/>
          <w:right w:val="nil"/>
          <w:between w:val="nil"/>
        </w:pBdr>
        <w:rPr>
          <w:rFonts w:ascii="Arial" w:hAnsi="Arial" w:cs="Arial"/>
          <w:b/>
          <w:color w:val="000000"/>
        </w:rPr>
      </w:pPr>
    </w:p>
    <w:p w14:paraId="3204398B" w14:textId="2D850B46" w:rsidR="00EC09AB" w:rsidRPr="007E349F" w:rsidRDefault="00236DC6" w:rsidP="004413DC">
      <w:pPr>
        <w:pBdr>
          <w:top w:val="nil"/>
          <w:left w:val="nil"/>
          <w:bottom w:val="nil"/>
          <w:right w:val="nil"/>
          <w:between w:val="nil"/>
        </w:pBdr>
        <w:rPr>
          <w:rFonts w:ascii="Arial" w:hAnsi="Arial" w:cs="Arial"/>
          <w:color w:val="000000"/>
        </w:rPr>
      </w:pPr>
      <w:r w:rsidRPr="007E349F">
        <w:rPr>
          <w:rFonts w:ascii="Arial" w:hAnsi="Arial" w:cs="Arial"/>
          <w:b/>
          <w:color w:val="000000"/>
        </w:rPr>
        <w:t>Corresponding author:</w:t>
      </w:r>
    </w:p>
    <w:p w14:paraId="6720691A" w14:textId="688FB248" w:rsidR="00EC09AB" w:rsidRPr="007E349F" w:rsidRDefault="00D40AAF" w:rsidP="004413DC">
      <w:pPr>
        <w:widowControl w:val="0"/>
        <w:pBdr>
          <w:top w:val="nil"/>
          <w:left w:val="nil"/>
          <w:bottom w:val="nil"/>
          <w:right w:val="nil"/>
          <w:between w:val="nil"/>
        </w:pBdr>
        <w:rPr>
          <w:rFonts w:ascii="Arial" w:hAnsi="Arial" w:cs="Arial"/>
          <w:color w:val="000000"/>
        </w:rPr>
      </w:pPr>
      <w:r w:rsidRPr="007E349F">
        <w:rPr>
          <w:rFonts w:ascii="Arial" w:hAnsi="Arial" w:cs="Arial"/>
          <w:color w:val="000000"/>
        </w:rPr>
        <w:t>Carsten Klingner</w:t>
      </w:r>
      <w:r w:rsidR="00236DC6" w:rsidRPr="007E349F">
        <w:rPr>
          <w:rFonts w:ascii="Arial" w:hAnsi="Arial" w:cs="Arial"/>
          <w:color w:val="000000"/>
        </w:rPr>
        <w:t xml:space="preserve"> M.D.</w:t>
      </w:r>
    </w:p>
    <w:p w14:paraId="616D01F4" w14:textId="77777777" w:rsidR="00EC09AB" w:rsidRPr="007E349F" w:rsidRDefault="00236DC6" w:rsidP="004413DC">
      <w:pPr>
        <w:widowControl w:val="0"/>
        <w:pBdr>
          <w:top w:val="nil"/>
          <w:left w:val="nil"/>
          <w:bottom w:val="nil"/>
          <w:right w:val="nil"/>
          <w:between w:val="nil"/>
        </w:pBdr>
        <w:rPr>
          <w:rFonts w:ascii="Arial" w:hAnsi="Arial" w:cs="Arial"/>
          <w:color w:val="000000"/>
        </w:rPr>
      </w:pPr>
      <w:r w:rsidRPr="007E349F">
        <w:rPr>
          <w:rFonts w:ascii="Arial" w:hAnsi="Arial" w:cs="Arial"/>
        </w:rPr>
        <w:t>Department of</w:t>
      </w:r>
      <w:r w:rsidRPr="007E349F">
        <w:rPr>
          <w:rFonts w:ascii="Arial" w:hAnsi="Arial" w:cs="Arial"/>
          <w:color w:val="000000"/>
        </w:rPr>
        <w:t xml:space="preserve"> Neurology</w:t>
      </w:r>
    </w:p>
    <w:p w14:paraId="2DF0E2FB" w14:textId="77777777" w:rsidR="00EC09AB" w:rsidRPr="006D0B10" w:rsidRDefault="00236DC6" w:rsidP="004413DC">
      <w:pPr>
        <w:widowControl w:val="0"/>
        <w:pBdr>
          <w:top w:val="nil"/>
          <w:left w:val="nil"/>
          <w:bottom w:val="nil"/>
          <w:right w:val="nil"/>
          <w:between w:val="nil"/>
        </w:pBdr>
        <w:rPr>
          <w:rFonts w:ascii="Arial" w:hAnsi="Arial" w:cs="Arial"/>
          <w:color w:val="000000"/>
          <w:lang w:val="en-US"/>
        </w:rPr>
      </w:pPr>
      <w:r w:rsidRPr="007E349F">
        <w:rPr>
          <w:rFonts w:ascii="Arial" w:hAnsi="Arial" w:cs="Arial"/>
          <w:color w:val="000000"/>
        </w:rPr>
        <w:t xml:space="preserve">Jena University Hospital </w:t>
      </w:r>
    </w:p>
    <w:p w14:paraId="0D407BE5" w14:textId="77777777" w:rsidR="00EC09AB" w:rsidRPr="007E349F" w:rsidRDefault="00236DC6" w:rsidP="004413DC">
      <w:pPr>
        <w:widowControl w:val="0"/>
        <w:pBdr>
          <w:top w:val="nil"/>
          <w:left w:val="nil"/>
          <w:bottom w:val="nil"/>
          <w:right w:val="nil"/>
          <w:between w:val="nil"/>
        </w:pBdr>
        <w:rPr>
          <w:rFonts w:ascii="Arial" w:hAnsi="Arial" w:cs="Arial"/>
          <w:color w:val="000000"/>
          <w:lang w:val="de-DE"/>
        </w:rPr>
      </w:pPr>
      <w:r w:rsidRPr="007E349F">
        <w:rPr>
          <w:rFonts w:ascii="Arial" w:hAnsi="Arial" w:cs="Arial"/>
          <w:color w:val="000000"/>
          <w:lang w:val="de-DE"/>
        </w:rPr>
        <w:t xml:space="preserve">Am Klinikum1 </w:t>
      </w:r>
    </w:p>
    <w:p w14:paraId="7DDDC951" w14:textId="77777777" w:rsidR="00EC09AB" w:rsidRPr="007E349F" w:rsidRDefault="00236DC6" w:rsidP="004413DC">
      <w:pPr>
        <w:widowControl w:val="0"/>
        <w:pBdr>
          <w:top w:val="nil"/>
          <w:left w:val="nil"/>
          <w:bottom w:val="nil"/>
          <w:right w:val="nil"/>
          <w:between w:val="nil"/>
        </w:pBdr>
        <w:rPr>
          <w:rFonts w:ascii="Arial" w:hAnsi="Arial" w:cs="Arial"/>
          <w:color w:val="000000"/>
          <w:lang w:val="de-DE"/>
        </w:rPr>
      </w:pPr>
      <w:r w:rsidRPr="007E349F">
        <w:rPr>
          <w:rFonts w:ascii="Arial" w:hAnsi="Arial" w:cs="Arial"/>
          <w:color w:val="000000"/>
          <w:lang w:val="de-DE"/>
        </w:rPr>
        <w:t>D 07747 Jena</w:t>
      </w:r>
    </w:p>
    <w:p w14:paraId="4081336B" w14:textId="77777777" w:rsidR="00EC09AB" w:rsidRPr="007E349F" w:rsidRDefault="00236DC6" w:rsidP="004413DC">
      <w:pPr>
        <w:widowControl w:val="0"/>
        <w:pBdr>
          <w:top w:val="nil"/>
          <w:left w:val="nil"/>
          <w:bottom w:val="nil"/>
          <w:right w:val="nil"/>
          <w:between w:val="nil"/>
        </w:pBdr>
        <w:rPr>
          <w:rFonts w:ascii="Arial" w:hAnsi="Arial" w:cs="Arial"/>
          <w:color w:val="000000"/>
          <w:lang w:val="de-DE"/>
        </w:rPr>
      </w:pPr>
      <w:r w:rsidRPr="007E349F">
        <w:rPr>
          <w:rFonts w:ascii="Arial" w:hAnsi="Arial" w:cs="Arial"/>
          <w:color w:val="000000"/>
          <w:lang w:val="de-DE"/>
        </w:rPr>
        <w:t>Fax: +49 3641-9323402</w:t>
      </w:r>
    </w:p>
    <w:p w14:paraId="379E679D" w14:textId="4D5C802E" w:rsidR="00EC09AB" w:rsidRPr="007E349F" w:rsidRDefault="00236DC6" w:rsidP="004413DC">
      <w:pPr>
        <w:widowControl w:val="0"/>
        <w:pBdr>
          <w:top w:val="nil"/>
          <w:left w:val="nil"/>
          <w:bottom w:val="nil"/>
          <w:right w:val="nil"/>
          <w:between w:val="nil"/>
        </w:pBdr>
        <w:rPr>
          <w:rFonts w:ascii="Arial" w:hAnsi="Arial" w:cs="Arial"/>
          <w:color w:val="000000"/>
          <w:lang w:val="de-DE"/>
        </w:rPr>
      </w:pPr>
      <w:proofErr w:type="spellStart"/>
      <w:r w:rsidRPr="007E349F">
        <w:rPr>
          <w:rFonts w:ascii="Arial" w:hAnsi="Arial" w:cs="Arial"/>
          <w:color w:val="000000"/>
          <w:lang w:val="de-DE"/>
        </w:rPr>
        <w:t>E-mail</w:t>
      </w:r>
      <w:proofErr w:type="spellEnd"/>
      <w:r w:rsidRPr="007E349F">
        <w:rPr>
          <w:rFonts w:ascii="Arial" w:hAnsi="Arial" w:cs="Arial"/>
          <w:color w:val="000000"/>
          <w:lang w:val="de-DE"/>
        </w:rPr>
        <w:t xml:space="preserve">: </w:t>
      </w:r>
      <w:r w:rsidR="00D40AAF" w:rsidRPr="007E349F">
        <w:rPr>
          <w:rFonts w:ascii="Arial" w:hAnsi="Arial" w:cs="Arial"/>
          <w:color w:val="000000"/>
          <w:lang w:val="de-DE"/>
        </w:rPr>
        <w:t>carsten.klingner</w:t>
      </w:r>
      <w:r w:rsidR="00D83B7D" w:rsidRPr="007E349F">
        <w:rPr>
          <w:rFonts w:ascii="Arial" w:hAnsi="Arial" w:cs="Arial"/>
          <w:lang w:val="de-DE"/>
        </w:rPr>
        <w:t>@med.uni-jena.de</w:t>
      </w:r>
    </w:p>
    <w:p w14:paraId="474860A2" w14:textId="7BFC7A4A" w:rsidR="00D83B7D" w:rsidRPr="007E349F" w:rsidRDefault="00D83B7D" w:rsidP="004413DC">
      <w:pPr>
        <w:widowControl w:val="0"/>
        <w:pBdr>
          <w:top w:val="nil"/>
          <w:left w:val="nil"/>
          <w:bottom w:val="nil"/>
          <w:right w:val="nil"/>
          <w:between w:val="nil"/>
        </w:pBdr>
        <w:rPr>
          <w:rFonts w:ascii="Arial" w:hAnsi="Arial" w:cs="Arial"/>
          <w:color w:val="000000"/>
        </w:rPr>
      </w:pPr>
      <w:r w:rsidRPr="007E349F">
        <w:rPr>
          <w:rFonts w:ascii="Arial" w:hAnsi="Arial" w:cs="Arial"/>
          <w:color w:val="000000"/>
        </w:rPr>
        <w:t xml:space="preserve">ORCID: </w:t>
      </w:r>
      <w:r w:rsidR="00A4680E" w:rsidRPr="007E349F">
        <w:rPr>
          <w:rFonts w:ascii="Arial" w:hAnsi="Arial" w:cs="Arial"/>
          <w:color w:val="000000"/>
        </w:rPr>
        <w:t>0000-0001-8815-3391</w:t>
      </w:r>
    </w:p>
    <w:p w14:paraId="33DFD898" w14:textId="77777777" w:rsidR="00EF0D18" w:rsidRPr="007E349F" w:rsidRDefault="00EF0D18" w:rsidP="00BB478F">
      <w:pPr>
        <w:pBdr>
          <w:top w:val="nil"/>
          <w:left w:val="nil"/>
          <w:bottom w:val="nil"/>
          <w:right w:val="nil"/>
          <w:between w:val="nil"/>
        </w:pBdr>
        <w:rPr>
          <w:rFonts w:ascii="Arial" w:hAnsi="Arial" w:cs="Arial"/>
        </w:rPr>
      </w:pPr>
    </w:p>
    <w:p w14:paraId="1D03CFEF" w14:textId="668D756C" w:rsidR="00030BD8" w:rsidRPr="00BB478F" w:rsidRDefault="00BB478F" w:rsidP="00BB478F">
      <w:pPr>
        <w:widowControl w:val="0"/>
        <w:pBdr>
          <w:top w:val="nil"/>
          <w:left w:val="nil"/>
          <w:bottom w:val="nil"/>
          <w:right w:val="nil"/>
          <w:between w:val="nil"/>
        </w:pBdr>
        <w:rPr>
          <w:rFonts w:ascii="Arial" w:hAnsi="Arial" w:cs="Arial"/>
        </w:rPr>
      </w:pPr>
      <w:r w:rsidRPr="00BB478F">
        <w:rPr>
          <w:rFonts w:ascii="Arial" w:hAnsi="Arial" w:cs="Arial"/>
        </w:rPr>
        <w:t>W</w:t>
      </w:r>
      <w:r w:rsidR="00030BD8" w:rsidRPr="00BB478F">
        <w:rPr>
          <w:rFonts w:ascii="Arial" w:hAnsi="Arial" w:cs="Arial"/>
        </w:rPr>
        <w:t xml:space="preserve">ord count: </w:t>
      </w:r>
      <w:r w:rsidRPr="00BB478F">
        <w:rPr>
          <w:rFonts w:ascii="Arial" w:hAnsi="Arial" w:cs="Arial"/>
        </w:rPr>
        <w:t>5325</w:t>
      </w:r>
    </w:p>
    <w:p w14:paraId="552A2931" w14:textId="70A9C263" w:rsidR="00EC09AB" w:rsidRDefault="004F75D3" w:rsidP="00BB478F">
      <w:pPr>
        <w:widowControl w:val="0"/>
        <w:pBdr>
          <w:top w:val="nil"/>
          <w:left w:val="nil"/>
          <w:bottom w:val="nil"/>
          <w:right w:val="nil"/>
          <w:between w:val="nil"/>
        </w:pBdr>
        <w:rPr>
          <w:rFonts w:ascii="Arial" w:hAnsi="Arial" w:cs="Arial"/>
        </w:rPr>
      </w:pPr>
      <w:r w:rsidRPr="00BB478F">
        <w:rPr>
          <w:rFonts w:ascii="Arial" w:hAnsi="Arial" w:cs="Arial"/>
        </w:rPr>
        <w:t>F</w:t>
      </w:r>
      <w:r w:rsidR="00FA7A9C" w:rsidRPr="00BB478F">
        <w:rPr>
          <w:rFonts w:ascii="Arial" w:hAnsi="Arial" w:cs="Arial"/>
        </w:rPr>
        <w:t>igures</w:t>
      </w:r>
      <w:r w:rsidRPr="00BB478F">
        <w:rPr>
          <w:rFonts w:ascii="Arial" w:hAnsi="Arial" w:cs="Arial"/>
        </w:rPr>
        <w:t xml:space="preserve">: </w:t>
      </w:r>
      <w:r w:rsidR="00BB478F" w:rsidRPr="00BB478F">
        <w:rPr>
          <w:rFonts w:ascii="Arial" w:hAnsi="Arial" w:cs="Arial"/>
        </w:rPr>
        <w:t>1</w:t>
      </w:r>
      <w:r w:rsidR="00FA7A9C" w:rsidRPr="00BB478F">
        <w:rPr>
          <w:rFonts w:ascii="Arial" w:hAnsi="Arial" w:cs="Arial"/>
        </w:rPr>
        <w:t xml:space="preserve">, </w:t>
      </w:r>
      <w:r w:rsidRPr="00BB478F">
        <w:rPr>
          <w:rFonts w:ascii="Arial" w:hAnsi="Arial" w:cs="Arial"/>
        </w:rPr>
        <w:t>T</w:t>
      </w:r>
      <w:r w:rsidR="00FA7A9C" w:rsidRPr="00BB478F">
        <w:rPr>
          <w:rFonts w:ascii="Arial" w:hAnsi="Arial" w:cs="Arial"/>
        </w:rPr>
        <w:t>ables</w:t>
      </w:r>
      <w:r w:rsidRPr="00BB478F">
        <w:rPr>
          <w:rFonts w:ascii="Arial" w:hAnsi="Arial" w:cs="Arial"/>
        </w:rPr>
        <w:t>: 2</w:t>
      </w:r>
    </w:p>
    <w:p w14:paraId="1A72163C" w14:textId="77777777" w:rsidR="00BB478F" w:rsidRPr="007E349F" w:rsidRDefault="00BB478F" w:rsidP="00BB478F">
      <w:pPr>
        <w:widowControl w:val="0"/>
        <w:pBdr>
          <w:top w:val="nil"/>
          <w:left w:val="nil"/>
          <w:bottom w:val="nil"/>
          <w:right w:val="nil"/>
          <w:between w:val="nil"/>
        </w:pBdr>
        <w:rPr>
          <w:rFonts w:ascii="Arial" w:hAnsi="Arial" w:cs="Arial"/>
          <w:color w:val="000000"/>
          <w:highlight w:val="yellow"/>
        </w:rPr>
      </w:pPr>
    </w:p>
    <w:p w14:paraId="59118ACF" w14:textId="2D545EBC" w:rsidR="00A32096" w:rsidRDefault="00236DC6" w:rsidP="00F867C5">
      <w:pPr>
        <w:pStyle w:val="Ueberschrift01"/>
      </w:pPr>
      <w:bookmarkStart w:id="0" w:name="_gjdgxs" w:colFirst="0" w:colLast="0"/>
      <w:bookmarkEnd w:id="0"/>
      <w:r w:rsidRPr="007E349F">
        <w:lastRenderedPageBreak/>
        <w:t>Abstract</w:t>
      </w:r>
    </w:p>
    <w:p w14:paraId="3F06B428" w14:textId="77777777" w:rsidR="00B55311" w:rsidRPr="00B55311" w:rsidRDefault="00B55311" w:rsidP="00B55311">
      <w:pPr>
        <w:rPr>
          <w:rFonts w:ascii="Arial" w:hAnsi="Arial" w:cs="Arial"/>
          <w:lang w:val="en-US"/>
        </w:rPr>
      </w:pPr>
      <w:r w:rsidRPr="00B55311">
        <w:rPr>
          <w:rFonts w:ascii="Arial" w:hAnsi="Arial" w:cs="Arial"/>
          <w:lang w:val="en-US"/>
        </w:rPr>
        <w:t xml:space="preserve">Background: Motor recovery after stroke varies widely, and early neural mechanisms shaping individual trajectories remain incompletely understood. Prior work in chronic stroke suggests that DMN dynamics during motor learning are altered and </w:t>
      </w:r>
      <w:proofErr w:type="spellStart"/>
      <w:r w:rsidRPr="00B55311">
        <w:rPr>
          <w:rFonts w:ascii="Arial" w:hAnsi="Arial" w:cs="Arial"/>
          <w:lang w:val="en-US"/>
        </w:rPr>
        <w:t>behaviourally</w:t>
      </w:r>
      <w:proofErr w:type="spellEnd"/>
      <w:r w:rsidRPr="00B55311">
        <w:rPr>
          <w:rFonts w:ascii="Arial" w:hAnsi="Arial" w:cs="Arial"/>
          <w:lang w:val="en-US"/>
        </w:rPr>
        <w:t xml:space="preserve"> meaningful. Whether acute DMN reconfiguration of resting-state connectivity already provides prognostic information for later upper-limb outcome remains unknown.</w:t>
      </w:r>
    </w:p>
    <w:p w14:paraId="7F3A40A3" w14:textId="77777777" w:rsidR="00B55311" w:rsidRPr="00B55311" w:rsidRDefault="00B55311" w:rsidP="00B55311">
      <w:pPr>
        <w:rPr>
          <w:rFonts w:ascii="Arial" w:hAnsi="Arial" w:cs="Arial"/>
          <w:lang w:val="en-US"/>
        </w:rPr>
      </w:pPr>
      <w:r w:rsidRPr="00B55311">
        <w:rPr>
          <w:rFonts w:ascii="Arial" w:hAnsi="Arial" w:cs="Arial"/>
          <w:lang w:val="en-US"/>
        </w:rPr>
        <w:t xml:space="preserve">Objective: To test whether acute post-demand interhemispheric DMN reintegration predicts subsequent upper-limb outcome beyond baseline impairment and lesion-related factors, and secondarily whether learning-related DMN modulation shows </w:t>
      </w:r>
      <w:proofErr w:type="spellStart"/>
      <w:r w:rsidRPr="00B55311">
        <w:rPr>
          <w:rFonts w:ascii="Arial" w:hAnsi="Arial" w:cs="Arial"/>
          <w:lang w:val="en-US"/>
        </w:rPr>
        <w:t>behavioural</w:t>
      </w:r>
      <w:proofErr w:type="spellEnd"/>
      <w:r w:rsidRPr="00B55311">
        <w:rPr>
          <w:rFonts w:ascii="Arial" w:hAnsi="Arial" w:cs="Arial"/>
          <w:lang w:val="en-US"/>
        </w:rPr>
        <w:t xml:space="preserve"> coupling.</w:t>
      </w:r>
    </w:p>
    <w:p w14:paraId="78CEB2CF" w14:textId="77777777" w:rsidR="00B55311" w:rsidRPr="00B55311" w:rsidRDefault="00B55311" w:rsidP="00B55311">
      <w:pPr>
        <w:rPr>
          <w:rFonts w:ascii="Arial" w:hAnsi="Arial" w:cs="Arial"/>
          <w:lang w:val="en-US"/>
        </w:rPr>
      </w:pPr>
      <w:r w:rsidRPr="00B55311">
        <w:rPr>
          <w:rFonts w:ascii="Arial" w:hAnsi="Arial" w:cs="Arial"/>
          <w:lang w:val="en-US"/>
        </w:rPr>
        <w:t>Methods: Twenty-eight stroke patients (5.3±3.9 days post-onset) and 28 matched controls completed a rest–task–rest fMRI protocol with a motor sequence task performed with the unaffected/non-dominant hand. The key candidate marker was interhemispheric DMN connectivity change (</w:t>
      </w:r>
      <w:r w:rsidRPr="00B55311">
        <w:rPr>
          <w:rFonts w:ascii="Arial" w:hAnsi="Arial" w:cs="Arial"/>
          <w:lang w:val="de-DE"/>
        </w:rPr>
        <w:t>Δ</w:t>
      </w:r>
      <w:proofErr w:type="spellStart"/>
      <w:r w:rsidRPr="00B55311">
        <w:rPr>
          <w:rFonts w:ascii="Arial" w:hAnsi="Arial" w:cs="Arial"/>
          <w:lang w:val="en-US"/>
        </w:rPr>
        <w:t>DMN_inter</w:t>
      </w:r>
      <w:proofErr w:type="spellEnd"/>
      <w:r w:rsidRPr="00B55311">
        <w:rPr>
          <w:rFonts w:ascii="Arial" w:hAnsi="Arial" w:cs="Arial"/>
          <w:lang w:val="en-US"/>
        </w:rPr>
        <w:t xml:space="preserve">; post–pre), indexing post-demand reintegration. The primary outcome was FMUE at 6 weeks (FMUE_6w); FMUE at 24 weeks was secondary. Hierarchical OLS models (HC3) included baseline FMUE, time-to-exam, and log lesion volume; interhemispheric motor-network </w:t>
      </w:r>
      <w:r w:rsidRPr="00B55311">
        <w:rPr>
          <w:rFonts w:ascii="Arial" w:hAnsi="Arial" w:cs="Arial"/>
          <w:lang w:val="de-DE"/>
        </w:rPr>
        <w:t>Δ</w:t>
      </w:r>
      <w:r w:rsidRPr="00B55311">
        <w:rPr>
          <w:rFonts w:ascii="Arial" w:hAnsi="Arial" w:cs="Arial"/>
          <w:lang w:val="en-US"/>
        </w:rPr>
        <w:t xml:space="preserve"> served as a negative-control marker.</w:t>
      </w:r>
    </w:p>
    <w:p w14:paraId="2CAEAA4F" w14:textId="23FFF93A" w:rsidR="00B55311" w:rsidRPr="00B55311" w:rsidRDefault="00B55311" w:rsidP="00B55311">
      <w:pPr>
        <w:rPr>
          <w:rFonts w:ascii="Arial" w:hAnsi="Arial" w:cs="Arial"/>
          <w:lang w:val="en-US"/>
        </w:rPr>
      </w:pPr>
      <w:r w:rsidRPr="00B55311">
        <w:rPr>
          <w:rFonts w:ascii="Arial" w:hAnsi="Arial" w:cs="Arial"/>
          <w:lang w:val="en-US"/>
        </w:rPr>
        <w:t>Results: Motor learning was reduced in patients (0.40±0.06 vs 0.77±0.07; p=1.28×10</w:t>
      </w:r>
      <w:r w:rsidRPr="00B55311">
        <w:rPr>
          <w:rFonts w:ascii="Cambria Math" w:hAnsi="Cambria Math" w:cs="Cambria Math"/>
          <w:lang w:val="en-US"/>
        </w:rPr>
        <w:t>⁻</w:t>
      </w:r>
      <w:r w:rsidRPr="00B55311">
        <w:rPr>
          <w:rFonts w:ascii="Arial" w:hAnsi="Arial" w:cs="Arial"/>
          <w:lang w:val="en-US"/>
        </w:rPr>
        <w:t xml:space="preserve">4; g=1.09). </w:t>
      </w:r>
      <w:r w:rsidRPr="00B55311">
        <w:rPr>
          <w:rFonts w:ascii="Arial" w:hAnsi="Arial" w:cs="Arial"/>
          <w:lang w:val="de-DE"/>
        </w:rPr>
        <w:t>Δ</w:t>
      </w:r>
      <w:proofErr w:type="spellStart"/>
      <w:r w:rsidRPr="00B55311">
        <w:rPr>
          <w:rFonts w:ascii="Arial" w:hAnsi="Arial" w:cs="Arial"/>
          <w:lang w:val="en-US"/>
        </w:rPr>
        <w:t>DMN_inter</w:t>
      </w:r>
      <w:proofErr w:type="spellEnd"/>
      <w:r w:rsidRPr="00B55311">
        <w:rPr>
          <w:rFonts w:ascii="Arial" w:hAnsi="Arial" w:cs="Arial"/>
          <w:lang w:val="en-US"/>
        </w:rPr>
        <w:t xml:space="preserve"> differed between groups (0.025±0.016 vs −0.032±0.017; p=0.018; </w:t>
      </w:r>
      <w:proofErr w:type="spellStart"/>
      <w:r w:rsidRPr="00B55311">
        <w:rPr>
          <w:rFonts w:ascii="Arial" w:hAnsi="Arial" w:cs="Arial"/>
          <w:lang w:val="en-US"/>
        </w:rPr>
        <w:t>q</w:t>
      </w:r>
      <w:r w:rsidR="00712ECD">
        <w:rPr>
          <w:rFonts w:ascii="Arial" w:hAnsi="Arial" w:cs="Arial"/>
          <w:lang w:val="en-US"/>
        </w:rPr>
        <w:t>_</w:t>
      </w:r>
      <w:r w:rsidRPr="00B55311">
        <w:rPr>
          <w:rFonts w:ascii="Arial" w:hAnsi="Arial" w:cs="Arial"/>
          <w:lang w:val="en-US"/>
        </w:rPr>
        <w:t>FDR</w:t>
      </w:r>
      <w:proofErr w:type="spellEnd"/>
      <w:r w:rsidRPr="00B55311">
        <w:rPr>
          <w:rFonts w:ascii="Arial" w:hAnsi="Arial" w:cs="Arial"/>
          <w:lang w:val="en-US"/>
        </w:rPr>
        <w:t xml:space="preserve">=0.027; g=0.64), and learning-related right-hemispheric DMN modulation showed </w:t>
      </w:r>
      <w:proofErr w:type="spellStart"/>
      <w:r w:rsidRPr="00B55311">
        <w:rPr>
          <w:rFonts w:ascii="Arial" w:hAnsi="Arial" w:cs="Arial"/>
          <w:lang w:val="en-US"/>
        </w:rPr>
        <w:t>behavioural</w:t>
      </w:r>
      <w:proofErr w:type="spellEnd"/>
      <w:r w:rsidRPr="00B55311">
        <w:rPr>
          <w:rFonts w:ascii="Arial" w:hAnsi="Arial" w:cs="Arial"/>
          <w:lang w:val="en-US"/>
        </w:rPr>
        <w:t xml:space="preserve"> coupling in controls but not in stroke. For FMUE_6w, adding </w:t>
      </w:r>
      <w:r w:rsidRPr="00B55311">
        <w:rPr>
          <w:rFonts w:ascii="Arial" w:hAnsi="Arial" w:cs="Arial"/>
          <w:lang w:val="de-DE"/>
        </w:rPr>
        <w:t>Δ</w:t>
      </w:r>
      <w:proofErr w:type="spellStart"/>
      <w:r w:rsidRPr="00B55311">
        <w:rPr>
          <w:rFonts w:ascii="Arial" w:hAnsi="Arial" w:cs="Arial"/>
          <w:lang w:val="en-US"/>
        </w:rPr>
        <w:t>DMN_inter</w:t>
      </w:r>
      <w:proofErr w:type="spellEnd"/>
      <w:r w:rsidRPr="00B55311">
        <w:rPr>
          <w:rFonts w:ascii="Arial" w:hAnsi="Arial" w:cs="Arial"/>
          <w:lang w:val="en-US"/>
        </w:rPr>
        <w:t xml:space="preserve"> increased explained variance (R² 0.253→0.337; </w:t>
      </w:r>
      <w:r w:rsidRPr="00B55311">
        <w:rPr>
          <w:rFonts w:ascii="Arial" w:hAnsi="Arial" w:cs="Arial"/>
          <w:lang w:val="de-DE"/>
        </w:rPr>
        <w:t>Δ</w:t>
      </w:r>
      <w:r w:rsidRPr="00B55311">
        <w:rPr>
          <w:rFonts w:ascii="Arial" w:hAnsi="Arial" w:cs="Arial"/>
          <w:lang w:val="en-US"/>
        </w:rPr>
        <w:t>R²=0.083)</w:t>
      </w:r>
      <w:r w:rsidR="000022A9">
        <w:rPr>
          <w:rFonts w:ascii="Arial" w:hAnsi="Arial" w:cs="Arial"/>
          <w:lang w:val="en-US"/>
        </w:rPr>
        <w:t>;</w:t>
      </w:r>
      <w:r w:rsidR="00291F1E">
        <w:rPr>
          <w:rFonts w:ascii="Arial" w:hAnsi="Arial" w:cs="Arial"/>
          <w:lang w:val="en-US"/>
        </w:rPr>
        <w:t xml:space="preserve"> </w:t>
      </w:r>
      <w:r w:rsidR="00291F1E" w:rsidRPr="00AA3297">
        <w:rPr>
          <w:rFonts w:ascii="Arial" w:hAnsi="Arial" w:cs="Arial"/>
          <w:lang w:val="en-US"/>
        </w:rPr>
        <w:t xml:space="preserve">learning provided minimal incremental variance, and </w:t>
      </w:r>
      <w:r w:rsidR="00291F1E" w:rsidRPr="00AA3297">
        <w:rPr>
          <w:rFonts w:ascii="Arial" w:hAnsi="Arial" w:cs="Arial"/>
          <w:lang w:val="en-US"/>
        </w:rPr>
        <w:lastRenderedPageBreak/>
        <w:t>motor-network Δ did not improve fit.</w:t>
      </w:r>
      <w:r w:rsidR="000022A9">
        <w:rPr>
          <w:rFonts w:ascii="Arial" w:hAnsi="Arial" w:cs="Arial"/>
          <w:lang w:val="en-US"/>
        </w:rPr>
        <w:t xml:space="preserve"> </w:t>
      </w:r>
      <w:r w:rsidRPr="00B55311">
        <w:rPr>
          <w:rFonts w:ascii="Arial" w:hAnsi="Arial" w:cs="Arial"/>
          <w:lang w:val="en-US"/>
        </w:rPr>
        <w:t>Effects were smaller for FMUE_24w (full R²=0.143), consistent with ceiling effects.</w:t>
      </w:r>
    </w:p>
    <w:p w14:paraId="59A1BAD3" w14:textId="43C85CF6" w:rsidR="00B55311" w:rsidRPr="00B55311" w:rsidRDefault="00B55311" w:rsidP="00B55311">
      <w:pPr>
        <w:rPr>
          <w:rFonts w:ascii="Arial" w:hAnsi="Arial" w:cs="Arial"/>
          <w:lang w:val="en-US"/>
        </w:rPr>
      </w:pPr>
      <w:r w:rsidRPr="00B55311">
        <w:rPr>
          <w:rFonts w:ascii="Arial" w:hAnsi="Arial" w:cs="Arial"/>
          <w:lang w:val="en-US"/>
        </w:rPr>
        <w:t>Conclusions: Acute post-demand interhemispheric DMN reintegration is altered after stroke and provides incremental prognostic value for early upper-limb outcome beyond baseline impairment and lesion-related factors. DMN-based measures are candidate network markers requiring external validation.</w:t>
      </w:r>
    </w:p>
    <w:p w14:paraId="12AE20DE" w14:textId="77777777" w:rsidR="00B55311" w:rsidRPr="00B55311" w:rsidRDefault="00B55311" w:rsidP="00B55311">
      <w:pPr>
        <w:rPr>
          <w:rFonts w:ascii="Arial" w:hAnsi="Arial" w:cs="Arial"/>
          <w:lang w:val="en-US"/>
        </w:rPr>
      </w:pPr>
    </w:p>
    <w:p w14:paraId="213ECB9E" w14:textId="77777777" w:rsidR="00B55311" w:rsidRPr="00B55311" w:rsidRDefault="00B55311" w:rsidP="00A32096">
      <w:pPr>
        <w:rPr>
          <w:rFonts w:ascii="Arial" w:hAnsi="Arial" w:cs="Arial"/>
          <w:lang w:val="en-US"/>
        </w:rPr>
      </w:pPr>
    </w:p>
    <w:p w14:paraId="09503E0E" w14:textId="77777777" w:rsidR="002C6976" w:rsidRPr="00B55311" w:rsidRDefault="002C6976" w:rsidP="00A32096">
      <w:pPr>
        <w:rPr>
          <w:rFonts w:ascii="Arial" w:hAnsi="Arial" w:cs="Arial"/>
          <w:lang w:val="en-US"/>
        </w:rPr>
      </w:pPr>
    </w:p>
    <w:p w14:paraId="3545FDC0" w14:textId="3C4192A0" w:rsidR="00EC09AB" w:rsidRPr="007E349F" w:rsidRDefault="00236DC6" w:rsidP="004413DC">
      <w:pPr>
        <w:pBdr>
          <w:top w:val="nil"/>
          <w:left w:val="nil"/>
          <w:bottom w:val="nil"/>
          <w:right w:val="nil"/>
          <w:between w:val="nil"/>
        </w:pBdr>
        <w:rPr>
          <w:rFonts w:ascii="Arial" w:hAnsi="Arial" w:cs="Arial"/>
          <w:color w:val="000000"/>
        </w:rPr>
      </w:pPr>
      <w:r w:rsidRPr="007E349F">
        <w:rPr>
          <w:rFonts w:ascii="Arial" w:hAnsi="Arial" w:cs="Arial"/>
          <w:i/>
          <w:color w:val="000000"/>
        </w:rPr>
        <w:t>Keywords</w:t>
      </w:r>
      <w:r w:rsidRPr="007E349F">
        <w:rPr>
          <w:rFonts w:ascii="Arial" w:hAnsi="Arial" w:cs="Arial"/>
          <w:color w:val="000000"/>
        </w:rPr>
        <w:t xml:space="preserve">: </w:t>
      </w:r>
    </w:p>
    <w:p w14:paraId="5EEE3614" w14:textId="3AE13BA3" w:rsidR="008564B3" w:rsidRPr="007E349F" w:rsidRDefault="00BF314B" w:rsidP="004413DC">
      <w:pPr>
        <w:pBdr>
          <w:top w:val="nil"/>
          <w:left w:val="nil"/>
          <w:bottom w:val="nil"/>
          <w:right w:val="nil"/>
          <w:between w:val="nil"/>
        </w:pBdr>
        <w:rPr>
          <w:rFonts w:ascii="Arial" w:hAnsi="Arial" w:cs="Arial"/>
          <w:color w:val="000000"/>
        </w:rPr>
      </w:pPr>
      <w:r w:rsidRPr="007E349F">
        <w:rPr>
          <w:rFonts w:ascii="Arial" w:hAnsi="Arial" w:cs="Arial"/>
          <w:color w:val="000000"/>
        </w:rPr>
        <w:t>S</w:t>
      </w:r>
      <w:r w:rsidR="00236DC6" w:rsidRPr="007E349F">
        <w:rPr>
          <w:rFonts w:ascii="Arial" w:hAnsi="Arial" w:cs="Arial"/>
          <w:color w:val="000000"/>
        </w:rPr>
        <w:t xml:space="preserve">troke, </w:t>
      </w:r>
      <w:r w:rsidRPr="007E349F">
        <w:rPr>
          <w:rFonts w:ascii="Arial" w:hAnsi="Arial" w:cs="Arial"/>
          <w:color w:val="000000"/>
        </w:rPr>
        <w:t xml:space="preserve">Functional Neuroimaging, </w:t>
      </w:r>
      <w:r w:rsidRPr="007E349F">
        <w:rPr>
          <w:rFonts w:ascii="Arial" w:hAnsi="Arial" w:cs="Arial"/>
        </w:rPr>
        <w:t xml:space="preserve">Resting State, Default Mode Network, </w:t>
      </w:r>
      <w:r w:rsidR="00A83210" w:rsidRPr="007E349F">
        <w:rPr>
          <w:rFonts w:ascii="Arial" w:hAnsi="Arial" w:cs="Arial"/>
        </w:rPr>
        <w:t>Motor Learning, Prognosis</w:t>
      </w:r>
    </w:p>
    <w:p w14:paraId="2E70540C" w14:textId="77777777" w:rsidR="00A83210" w:rsidRPr="007E349F" w:rsidRDefault="00A83210" w:rsidP="004413DC">
      <w:pPr>
        <w:pBdr>
          <w:top w:val="nil"/>
          <w:left w:val="nil"/>
          <w:bottom w:val="nil"/>
          <w:right w:val="nil"/>
          <w:between w:val="nil"/>
        </w:pBdr>
        <w:rPr>
          <w:rFonts w:ascii="Arial" w:hAnsi="Arial" w:cs="Arial"/>
          <w:i/>
        </w:rPr>
      </w:pPr>
    </w:p>
    <w:p w14:paraId="75520756" w14:textId="313F27FF" w:rsidR="008564B3" w:rsidRPr="007E349F" w:rsidRDefault="008564B3" w:rsidP="004413DC">
      <w:pPr>
        <w:pBdr>
          <w:top w:val="nil"/>
          <w:left w:val="nil"/>
          <w:bottom w:val="nil"/>
          <w:right w:val="nil"/>
          <w:between w:val="nil"/>
        </w:pBdr>
        <w:rPr>
          <w:rFonts w:ascii="Arial" w:hAnsi="Arial" w:cs="Arial"/>
          <w:i/>
        </w:rPr>
      </w:pPr>
      <w:r w:rsidRPr="007E349F">
        <w:rPr>
          <w:rFonts w:ascii="Arial" w:hAnsi="Arial" w:cs="Arial"/>
          <w:i/>
        </w:rPr>
        <w:t xml:space="preserve">Abbreviations: </w:t>
      </w:r>
    </w:p>
    <w:p w14:paraId="3C0217ED" w14:textId="269A0D28" w:rsidR="00EC09AB" w:rsidRPr="007E349F" w:rsidRDefault="00EC09AB" w:rsidP="004413DC">
      <w:pPr>
        <w:pBdr>
          <w:top w:val="nil"/>
          <w:left w:val="nil"/>
          <w:bottom w:val="nil"/>
          <w:right w:val="nil"/>
          <w:between w:val="nil"/>
        </w:pBdr>
        <w:rPr>
          <w:rFonts w:ascii="Arial" w:hAnsi="Arial" w:cs="Arial"/>
          <w:i/>
          <w:highlight w:val="yellow"/>
        </w:rPr>
      </w:pPr>
    </w:p>
    <w:p w14:paraId="190D0B39" w14:textId="77777777" w:rsidR="00003607" w:rsidRDefault="003E2A8F" w:rsidP="004413DC">
      <w:pPr>
        <w:pBdr>
          <w:top w:val="nil"/>
          <w:left w:val="nil"/>
          <w:bottom w:val="nil"/>
          <w:right w:val="nil"/>
          <w:between w:val="nil"/>
        </w:pBdr>
        <w:rPr>
          <w:rFonts w:ascii="Arial" w:hAnsi="Arial" w:cs="Arial"/>
        </w:rPr>
      </w:pPr>
      <w:r w:rsidRPr="007E349F">
        <w:rPr>
          <w:rFonts w:ascii="Arial" w:hAnsi="Arial" w:cs="Arial"/>
        </w:rPr>
        <w:t>DMN – Default Mode Network</w:t>
      </w:r>
    </w:p>
    <w:p w14:paraId="2F7A55DA" w14:textId="0D0BCEE6" w:rsidR="003E2A8F" w:rsidRPr="007E349F" w:rsidRDefault="003E2A8F" w:rsidP="004413DC">
      <w:pPr>
        <w:pBdr>
          <w:top w:val="nil"/>
          <w:left w:val="nil"/>
          <w:bottom w:val="nil"/>
          <w:right w:val="nil"/>
          <w:between w:val="nil"/>
        </w:pBdr>
        <w:rPr>
          <w:rFonts w:ascii="Arial" w:hAnsi="Arial" w:cs="Arial"/>
        </w:rPr>
      </w:pPr>
      <w:r w:rsidRPr="007E349F">
        <w:rPr>
          <w:rFonts w:ascii="Arial" w:hAnsi="Arial" w:cs="Arial"/>
        </w:rPr>
        <w:t>FMUE – Fugl–Meyer Upper Extremity</w:t>
      </w:r>
    </w:p>
    <w:p w14:paraId="41030CF7" w14:textId="77777777" w:rsidR="00DA3F61" w:rsidRPr="007E349F" w:rsidRDefault="00DA3F61" w:rsidP="004413DC">
      <w:pPr>
        <w:pBdr>
          <w:top w:val="nil"/>
          <w:left w:val="nil"/>
          <w:bottom w:val="nil"/>
          <w:right w:val="nil"/>
          <w:between w:val="nil"/>
        </w:pBdr>
        <w:rPr>
          <w:rFonts w:ascii="Arial" w:hAnsi="Arial" w:cs="Arial"/>
        </w:rPr>
      </w:pPr>
      <w:r w:rsidRPr="007E349F">
        <w:rPr>
          <w:rFonts w:ascii="Arial" w:hAnsi="Arial" w:cs="Arial"/>
        </w:rPr>
        <w:t>FWE – Family-Wise Error</w:t>
      </w:r>
    </w:p>
    <w:p w14:paraId="30E48667" w14:textId="77777777" w:rsidR="00DA3F61" w:rsidRPr="007E349F" w:rsidRDefault="00DA3F61" w:rsidP="004413DC">
      <w:pPr>
        <w:pBdr>
          <w:top w:val="nil"/>
          <w:left w:val="nil"/>
          <w:bottom w:val="nil"/>
          <w:right w:val="nil"/>
          <w:between w:val="nil"/>
        </w:pBdr>
        <w:rPr>
          <w:rFonts w:ascii="Arial" w:hAnsi="Arial" w:cs="Arial"/>
        </w:rPr>
      </w:pPr>
      <w:r w:rsidRPr="007E349F">
        <w:rPr>
          <w:rFonts w:ascii="Arial" w:hAnsi="Arial" w:cs="Arial"/>
        </w:rPr>
        <w:t>MoCA – Montreal Cognitive Assessment</w:t>
      </w:r>
    </w:p>
    <w:p w14:paraId="4A04F7E4" w14:textId="77777777" w:rsidR="00DA3F61" w:rsidRPr="007E349F" w:rsidRDefault="00DA3F61" w:rsidP="004413DC">
      <w:pPr>
        <w:pBdr>
          <w:top w:val="nil"/>
          <w:left w:val="nil"/>
          <w:bottom w:val="nil"/>
          <w:right w:val="nil"/>
          <w:between w:val="nil"/>
        </w:pBdr>
        <w:rPr>
          <w:rFonts w:ascii="Arial" w:hAnsi="Arial" w:cs="Arial"/>
        </w:rPr>
      </w:pPr>
      <w:proofErr w:type="spellStart"/>
      <w:r w:rsidRPr="007E349F">
        <w:rPr>
          <w:rFonts w:ascii="Arial" w:hAnsi="Arial" w:cs="Arial"/>
        </w:rPr>
        <w:t>mRS</w:t>
      </w:r>
      <w:proofErr w:type="spellEnd"/>
      <w:r w:rsidRPr="007E349F">
        <w:rPr>
          <w:rFonts w:ascii="Arial" w:hAnsi="Arial" w:cs="Arial"/>
        </w:rPr>
        <w:t xml:space="preserve"> – modified Rankin Scale</w:t>
      </w:r>
    </w:p>
    <w:p w14:paraId="3A690F63" w14:textId="7D918502" w:rsidR="003E2A8F" w:rsidRPr="007E349F" w:rsidRDefault="003E2A8F" w:rsidP="004413DC">
      <w:pPr>
        <w:pBdr>
          <w:top w:val="nil"/>
          <w:left w:val="nil"/>
          <w:bottom w:val="nil"/>
          <w:right w:val="nil"/>
          <w:between w:val="nil"/>
        </w:pBdr>
        <w:rPr>
          <w:rFonts w:ascii="Arial" w:hAnsi="Arial" w:cs="Arial"/>
        </w:rPr>
      </w:pPr>
      <w:r w:rsidRPr="007E349F">
        <w:rPr>
          <w:rFonts w:ascii="Arial" w:hAnsi="Arial" w:cs="Arial"/>
        </w:rPr>
        <w:t>MST – Motor Sequence Task</w:t>
      </w:r>
    </w:p>
    <w:p w14:paraId="4FE6D07F" w14:textId="77777777" w:rsidR="00DA3F61" w:rsidRPr="007E349F" w:rsidRDefault="00DA3F61" w:rsidP="004413DC">
      <w:pPr>
        <w:pBdr>
          <w:top w:val="nil"/>
          <w:left w:val="nil"/>
          <w:bottom w:val="nil"/>
          <w:right w:val="nil"/>
          <w:between w:val="nil"/>
        </w:pBdr>
        <w:rPr>
          <w:rFonts w:ascii="Arial" w:hAnsi="Arial" w:cs="Arial"/>
        </w:rPr>
      </w:pPr>
      <w:r w:rsidRPr="007E349F">
        <w:rPr>
          <w:rFonts w:ascii="Arial" w:hAnsi="Arial" w:cs="Arial"/>
        </w:rPr>
        <w:t>NIHSS – NIH Stroke Scale</w:t>
      </w:r>
    </w:p>
    <w:p w14:paraId="0C202FA6" w14:textId="3BA6CAB8" w:rsidR="003E2A8F" w:rsidRPr="007E349F" w:rsidRDefault="003E2A8F" w:rsidP="004413DC">
      <w:pPr>
        <w:pBdr>
          <w:top w:val="nil"/>
          <w:left w:val="nil"/>
          <w:bottom w:val="nil"/>
          <w:right w:val="nil"/>
          <w:between w:val="nil"/>
        </w:pBdr>
        <w:rPr>
          <w:rFonts w:ascii="Arial" w:hAnsi="Arial" w:cs="Arial"/>
        </w:rPr>
      </w:pPr>
      <w:r w:rsidRPr="007E349F">
        <w:rPr>
          <w:rFonts w:ascii="Arial" w:hAnsi="Arial" w:cs="Arial"/>
        </w:rPr>
        <w:t>ROI – Region of Interest</w:t>
      </w:r>
    </w:p>
    <w:p w14:paraId="08BBD1C2" w14:textId="29562DBF" w:rsidR="00DA3F61" w:rsidRPr="007E349F" w:rsidRDefault="00DA3F61" w:rsidP="004413DC">
      <w:pPr>
        <w:pBdr>
          <w:top w:val="nil"/>
          <w:left w:val="nil"/>
          <w:bottom w:val="nil"/>
          <w:right w:val="nil"/>
          <w:between w:val="nil"/>
        </w:pBdr>
        <w:rPr>
          <w:rFonts w:ascii="Arial" w:hAnsi="Arial" w:cs="Arial"/>
        </w:rPr>
      </w:pPr>
      <w:r w:rsidRPr="007E349F">
        <w:rPr>
          <w:rStyle w:val="Fett"/>
          <w:rFonts w:ascii="Arial" w:hAnsi="Arial" w:cs="Arial"/>
          <w:b w:val="0"/>
        </w:rPr>
        <w:t>SPM12</w:t>
      </w:r>
      <w:r w:rsidRPr="007E349F">
        <w:rPr>
          <w:rFonts w:ascii="Arial" w:hAnsi="Arial" w:cs="Arial"/>
        </w:rPr>
        <w:t xml:space="preserve"> – Statistical Parametric Mapping (Version 12)</w:t>
      </w:r>
    </w:p>
    <w:p w14:paraId="63B8028B" w14:textId="77777777" w:rsidR="003E2A8F" w:rsidRPr="007E349F" w:rsidRDefault="003E2A8F" w:rsidP="004413DC">
      <w:pPr>
        <w:pBdr>
          <w:top w:val="nil"/>
          <w:left w:val="nil"/>
          <w:bottom w:val="nil"/>
          <w:right w:val="nil"/>
          <w:between w:val="nil"/>
        </w:pBdr>
        <w:rPr>
          <w:rFonts w:ascii="Arial" w:hAnsi="Arial" w:cs="Arial"/>
        </w:rPr>
      </w:pPr>
    </w:p>
    <w:p w14:paraId="1BD7FD7E" w14:textId="77777777" w:rsidR="003E2A8F" w:rsidRPr="007E349F" w:rsidRDefault="003E2A8F" w:rsidP="004413DC">
      <w:pPr>
        <w:rPr>
          <w:rFonts w:ascii="Arial" w:hAnsi="Arial" w:cs="Arial"/>
        </w:rPr>
      </w:pPr>
      <w:r w:rsidRPr="007E349F">
        <w:rPr>
          <w:rFonts w:ascii="Arial" w:hAnsi="Arial" w:cs="Arial"/>
        </w:rPr>
        <w:br w:type="page"/>
      </w:r>
    </w:p>
    <w:p w14:paraId="375CBE1C" w14:textId="25467A8B" w:rsidR="00EC09AB" w:rsidRPr="00BB0FA0" w:rsidRDefault="00236DC6" w:rsidP="00BB0FA0">
      <w:pPr>
        <w:pStyle w:val="Ueberschrift01"/>
      </w:pPr>
      <w:r w:rsidRPr="00BB0FA0">
        <w:lastRenderedPageBreak/>
        <w:t>Introduction</w:t>
      </w:r>
    </w:p>
    <w:p w14:paraId="635ECAC0" w14:textId="2A24AB95" w:rsidR="00BB1CAD" w:rsidRPr="007E349F" w:rsidRDefault="00192CC7" w:rsidP="004413DC">
      <w:pPr>
        <w:pStyle w:val="StandardWeb"/>
        <w:rPr>
          <w:rFonts w:ascii="Arial" w:hAnsi="Arial" w:cs="Arial"/>
        </w:rPr>
      </w:pPr>
      <w:r w:rsidRPr="00192CC7">
        <w:rPr>
          <w:rFonts w:ascii="Arial" w:hAnsi="Arial" w:cs="Arial"/>
        </w:rPr>
        <w:t>Stroke remains a leading cause of long-term disability worldwide, and persistent upper-limb impairment accounts for a large share of activity limitations and reduced participation</w:t>
      </w:r>
      <w:r w:rsidR="000D0775">
        <w:rPr>
          <w:rFonts w:ascii="Arial" w:hAnsi="Arial" w:cs="Arial"/>
        </w:rPr>
        <w:t xml:space="preserve"> </w:t>
      </w:r>
      <w:r w:rsidR="0055658C" w:rsidRPr="007E349F">
        <w:rPr>
          <w:rFonts w:ascii="Arial" w:hAnsi="Arial" w:cs="Arial"/>
        </w:rPr>
        <w:fldChar w:fldCharType="begin"/>
      </w:r>
      <w:r w:rsidR="00AB3861">
        <w:rPr>
          <w:rFonts w:ascii="Arial" w:hAnsi="Arial" w:cs="Arial"/>
        </w:rPr>
        <w:instrText xml:space="preserve"> ADDIN ZOTERO_ITEM CSL_CITATION {"citationID":"OBUl9Fsh","properties":{"formattedCitation":"(Feigin et al., 2017; Langhorne et al., 2011)","plainCitation":"(Feigin et al., 2017; Langhorne et al., 2011)","noteIndex":0},"citationItems":[{"id":"zZFD0k4k/DdBYyg66","uris":["http://zotero.org/users/local/KbNWjLkb/items/D9HKPE72"],"itemData":{"id":290,"type":"article-journal","abstract":"On the basis of the GBD (Global Burden of Disease) 2013 Study, this article provides an overview of the global, regional, and country-specific burden of stroke by sex and age groups, including trends in stroke burden from 1990 to 2013, and outlines recommended measures to reduce stroke burden. It shows that although stroke incidence, prevalence, mortality, and disability-adjusted life-years rates tend to decline from 1990 to 2013, the overall stroke burden in terms of absolute number of people affected by, or who remained disabled from, stroke has increased across the globe in both men and women of all ages. This provides a strong argument that \"business as usual\" for primary stroke prevention is not sufficiently effective. Although prevention of stroke is a complex medical and political issue, there is strong evidence that substantial prevention of stroke is feasible in practice. The need to scale-up the primary prevention actions is urgent.","container-title":"Circulation Research","DOI":"10.1161/CIRCRESAHA.116.308413","ISSN":"1524-4571","issue":"3","journalAbbreviation":"Circ Res","language":"eng","note":"PMID: 28154096","page":"439-448","source":"PubMed","title":"Global Burden of Stroke","volume":"120","author":[{"family":"Feigin","given":"Valery L."},{"family":"Norrving","given":"Bo"},{"family":"Mensah","given":"George A."}],"issued":{"date-parts":[["2017",2,3]]}}},{"id":"zZFD0k4k/m4GkCbIy","uris":["http://zotero.org/users/local/KbNWjLkb/items/GL2HFBCH"],"itemData":{"id":297,"type":"article-journal","abstract":"Stroke is a common, serious, and disabling global health-care problem, and rehabilitation is a major part of patient care. There is evidence to support rehabilitation in well coordinated multidisciplinary stroke units or through provision of early supported provision of discharge teams. Potentially beneficial treatment options for motor recovery of the arm include constraint-induced movement therapy and robotics. Promising interventions that could be beneficial to improve aspects of gait include fitness training, high-intensity therapy, and repetitive-task training. Repetitive-task training might also improve transfer functions. Occupational therapy can improve activities of daily living; however, information about the clinical effect of various strategies of cognitive rehabilitation and strategies for aphasia and dysarthria is scarce. Several large trials of rehabilitation practice and of novel therapies (eg, stem-cell therapy, repetitive transcranial magnetic stimulation, virtual reality, robotic therapies, and drug augmentation) are underway to inform future practice.","container-title":"Lancet (London, England)","DOI":"10.1016/S0140-6736(11)60325-5","ISSN":"1474-547X","issue":"9778","journalAbbreviation":"Lancet","language":"eng","note":"PMID: 21571152","page":"1693-1702","source":"PubMed","title":"Stroke rehabilitation","volume":"377","author":[{"family":"Langhorne","given":"Peter"},{"family":"Bernhardt","given":"Julie"},{"family":"Kwakkel","given":"Gert"}],"issued":{"date-parts":[["2011",5,14]]}}}],"schema":"https://github.com/citation-style-language/schema/raw/master/csl-citation.json"} </w:instrText>
      </w:r>
      <w:r w:rsidR="0055658C" w:rsidRPr="007E349F">
        <w:rPr>
          <w:rFonts w:ascii="Arial" w:hAnsi="Arial" w:cs="Arial"/>
        </w:rPr>
        <w:fldChar w:fldCharType="separate"/>
      </w:r>
      <w:r w:rsidR="00F36290" w:rsidRPr="00F36290">
        <w:rPr>
          <w:rFonts w:ascii="Arial" w:hAnsi="Arial" w:cs="Arial"/>
        </w:rPr>
        <w:t>(Feigin et al., 2017; Langhorne et al., 2011)</w:t>
      </w:r>
      <w:r w:rsidR="0055658C" w:rsidRPr="007E349F">
        <w:rPr>
          <w:rFonts w:ascii="Arial" w:hAnsi="Arial" w:cs="Arial"/>
        </w:rPr>
        <w:fldChar w:fldCharType="end"/>
      </w:r>
      <w:r w:rsidR="000D0775">
        <w:rPr>
          <w:rFonts w:ascii="Arial" w:hAnsi="Arial" w:cs="Arial"/>
        </w:rPr>
        <w:t>.</w:t>
      </w:r>
      <w:r w:rsidR="00BB1CAD" w:rsidRPr="007E349F">
        <w:rPr>
          <w:rFonts w:ascii="Arial" w:hAnsi="Arial" w:cs="Arial"/>
        </w:rPr>
        <w:t xml:space="preserve"> </w:t>
      </w:r>
      <w:r w:rsidR="000D0775" w:rsidRPr="000D0775">
        <w:rPr>
          <w:rFonts w:ascii="Arial" w:hAnsi="Arial" w:cs="Arial"/>
        </w:rPr>
        <w:t>Although acute therapies have improved outcomes, clinicians still face substantial uncertainty when estimating an individual patient’s recovery trajectory in the first days after stroke—precisely the window in which rehabilitation planning and treatment intensity are determined.</w:t>
      </w:r>
    </w:p>
    <w:p w14:paraId="616FE13A" w14:textId="0CB51672" w:rsidR="00BB1CAD" w:rsidRPr="004158B2" w:rsidRDefault="000D0775" w:rsidP="00123E1C">
      <w:pPr>
        <w:pStyle w:val="StandardWeb"/>
        <w:rPr>
          <w:rFonts w:ascii="Arial" w:hAnsi="Arial" w:cs="Arial"/>
          <w:lang w:val="en-US"/>
        </w:rPr>
      </w:pPr>
      <w:r w:rsidRPr="000D0775">
        <w:rPr>
          <w:rFonts w:ascii="Arial" w:hAnsi="Arial" w:cs="Arial"/>
        </w:rPr>
        <w:t>Neuroimaging studies show that stroke affects not only the lesioned tissue but also distributed brain systems through large-scale reorganization and diaschisis</w:t>
      </w:r>
      <w:r>
        <w:rPr>
          <w:rFonts w:ascii="Arial" w:hAnsi="Arial" w:cs="Arial"/>
        </w:rPr>
        <w:t xml:space="preserve"> </w:t>
      </w:r>
      <w:r w:rsidR="000521A6" w:rsidRPr="007E349F">
        <w:rPr>
          <w:rFonts w:ascii="Arial" w:hAnsi="Arial" w:cs="Arial"/>
        </w:rPr>
        <w:fldChar w:fldCharType="begin"/>
      </w:r>
      <w:r w:rsidR="00AB3861">
        <w:rPr>
          <w:rFonts w:ascii="Arial" w:hAnsi="Arial" w:cs="Arial"/>
        </w:rPr>
        <w:instrText xml:space="preserve"> ADDIN ZOTERO_ITEM CSL_CITATION {"citationID":"KPEoWfyB","properties":{"formattedCitation":"(Grefkes &amp; Fink, 2011; Rehme &amp; Grefkes, 2013)","plainCitation":"(Grefkes &amp; Fink, 2011; Rehme &amp; Grefkes, 2013)","noteIndex":0},"citationItems":[{"id":"zZFD0k4k/qTxajwx8","uris":["http://zotero.org/users/local/KbNWjLkb/items/9M3FF22W"],"itemData":{"id":88,"type":"article-journal","abstract":"The motor system comprises a network of cortical and subcortical areas interacting via excitatory and inhibitory circuits, thereby governing motor behaviour. The balance within the motor network may be critically disturbed after stroke when the lesion either directly affects any of these areas or damages-related white matter tracts. A growing body of evidence suggests that abnormal interactions among cortical regions remote from the ischaemic lesion might also contribute to the motor impairment after stroke. Here, we review recent studies employing models of functional and effective connectivity on neuroimaging data to investigate how stroke influences the interaction between motor areas and how changes in connectivity relate to impaired motor behaviour and functional recovery. Based on such data, we suggest that pathological intra- and inter-hemispheric interactions among key motor regions constitute an important pathophysiological aspect of motor impairment after subcortical stroke. We also demonstrate that therapeutic interventions, such as repetitive transcranial magnetic stimulation, which aims to interfere with abnormal cortical activity, may correct pathological connectivity not only at the stimulation site but also among distant brain regions. In summary, analyses of connectivity further our understanding of the pathophysiology underlying motor symptoms after stroke, and may thus help to design hypothesis-driven treatment strategies to promote recovery of motor function in patients.","container-title":"Brain: A Journal of Neurology","DOI":"10.1093/brain/awr033","ISSN":"1460-2156","issue":"Pt 5","journalAbbreviation":"Brain","language":"eng","note":"PMID: 21414995\nPMCID: PMC3097886","page":"1264-1276","source":"PubMed","title":"Reorganization of cerebral networks after stroke: new insights from neuroimaging with connectivity approaches","title-short":"Reorganization of cerebral networks after stroke","volume":"134","author":[{"family":"Grefkes","given":"Christian"},{"family":"Fink","given":"Gereon R."}],"issued":{"date-parts":[["2011",5]]}}},{"id":"zZFD0k4k/ABHJfRlq","uris":["http://zotero.org/users/local/KbNWjLkb/items/JJ97HTNJ"],"itemData":{"id":91,"type":"article-journal","abstract":"Stroke causes a sudden disruption of physiological brain function which leads to impairments of functional brain networks involved in voluntary movements. In some cases, the brain has the intrinsic capacity to reorganize itself, thereby compensating for the disruption of motor networks. In humans, such reorganization can be investigated in vivo using neuroimaging. Recent developments in connectivity analyses based on functional neuroimaging data have provided new insights into the network pathophysiology underlying neurological symptoms. Here we review recent neuroimaging studies using functional resting-state correlations, effective connectivity models or graph theoretical analyses to investigate changes in neural motor networks and recovery after stroke. The data demonstrate that network disturbances after stroke occur not only in the vicinity of the lesion but also between remote cortical areas in the affected and unaffected hemisphere. The reorganization of motor networks encompasses a restoration of interhemispheric functional coherence in the resting state, particularly between the primary motor cortices. Furthermore, reorganized neural networks feature strong excitatory interactions between fronto-parietal areas and primary motor cortex in the affected hemisphere, suggesting that greater top-down control over primary motor areas facilitates motor execution in the lesioned brain. In addition, there is evidence that motor recovery is accompanied by a more random network topology with reduced local information processing. In conclusion, Stroke induces changes in functional and effective connectivity within and across hemispheres which relate to motor impairments and recovery thereof. Connectivity analyses may hence provide new insights into the pathophysiology underlying neurological deficits and may be further used to develop novel, neurobiologically informed treatment strategies.","container-title":"The Journal of Physiology","DOI":"10.1113/jphysiol.2012.243469","ISSN":"1469-7793","issue":"1","journalAbbreviation":"J Physiol","language":"eng","note":"PMID: 23090951\nPMCID: PMC3630767","page":"17-31","source":"PubMed","title":"Cerebral network disorders after stroke: evidence from imaging-based connectivity analyses of active and resting brain states in humans","title-short":"Cerebral network disorders after stroke","volume":"591","author":[{"family":"Rehme","given":"Anne K."},{"family":"Grefkes","given":"Christian"}],"issued":{"date-parts":[["2013",1,1]]}}}],"schema":"https://github.com/citation-style-language/schema/raw/master/csl-citation.json"} </w:instrText>
      </w:r>
      <w:r w:rsidR="000521A6" w:rsidRPr="007E349F">
        <w:rPr>
          <w:rFonts w:ascii="Arial" w:hAnsi="Arial" w:cs="Arial"/>
        </w:rPr>
        <w:fldChar w:fldCharType="separate"/>
      </w:r>
      <w:r w:rsidR="00F36290" w:rsidRPr="00F36290">
        <w:rPr>
          <w:rFonts w:ascii="Arial" w:hAnsi="Arial" w:cs="Arial"/>
        </w:rPr>
        <w:t>(Grefkes &amp; Fink, 2011; Rehme &amp; Grefkes, 2013)</w:t>
      </w:r>
      <w:r w:rsidR="000521A6" w:rsidRPr="007E349F">
        <w:rPr>
          <w:rFonts w:ascii="Arial" w:hAnsi="Arial" w:cs="Arial"/>
        </w:rPr>
        <w:fldChar w:fldCharType="end"/>
      </w:r>
      <w:r>
        <w:rPr>
          <w:rFonts w:ascii="Arial" w:hAnsi="Arial" w:cs="Arial"/>
        </w:rPr>
        <w:t>.</w:t>
      </w:r>
      <w:r w:rsidR="00BB1CAD" w:rsidRPr="007E349F">
        <w:rPr>
          <w:rFonts w:ascii="Arial" w:hAnsi="Arial" w:cs="Arial"/>
        </w:rPr>
        <w:t xml:space="preserve"> </w:t>
      </w:r>
      <w:r w:rsidR="00C20087" w:rsidRPr="00C20087">
        <w:rPr>
          <w:rFonts w:ascii="Arial" w:hAnsi="Arial" w:cs="Arial"/>
        </w:rPr>
        <w:t>Traditionally, motor recovery has been linked to changes within the sensorimotor system. However, accumulating evidence suggests that recovery and motor learning depend on interactions among multiple networks, including the default mode network (DMN)</w:t>
      </w:r>
      <w:r w:rsidR="00C20087">
        <w:rPr>
          <w:rFonts w:ascii="Arial" w:hAnsi="Arial" w:cs="Arial"/>
        </w:rPr>
        <w:t xml:space="preserve"> </w:t>
      </w:r>
      <w:r w:rsidR="003F33CD">
        <w:rPr>
          <w:rFonts w:ascii="Arial" w:hAnsi="Arial" w:cs="Arial"/>
        </w:rPr>
        <w:fldChar w:fldCharType="begin"/>
      </w:r>
      <w:r w:rsidR="00983AC5">
        <w:rPr>
          <w:rFonts w:ascii="Arial" w:hAnsi="Arial" w:cs="Arial"/>
        </w:rPr>
        <w:instrText xml:space="preserve"> ADDIN ZOTERO_ITEM CSL_CITATION {"citationID":"ChqSnzAs","properties":{"formattedCitation":"(Dahms et al., 2024; Hendrikse et al., 2025; Wu et al., 2020)","plainCitation":"(Dahms et al., 2024; Hendrikse et al., 2025; Wu et al., 2020)","noteIndex":0},"citationItems":[{"id":13097,"uris":["http://zotero.org/groups/2239043/items/7EWNWL76"],"itemData":{"id":13097,"type":"article-journal","container-title":"Frontiers in Neuroscience","DOI":"10.3389/fnins.2020.00548","ISSN":"1662-453X","journalAbbreviation":"Front. Neurosci.","page":"548","source":"DOI.org (Crossref)","title":"Synchrony Between Default-Mode and Sensorimotor Networks Facilitates Motor Function in Stroke Rehabilitation: A Pilot fMRI Study","title-short":"Synchrony Between Default-Mode and Sensorimotor Networks Facilitates Motor Function in Stroke Rehabilitation","volume":"14","author":[{"family":"Wu","given":"Changwei W."},{"family":"Lin","given":"Shang-Hua N."},{"family":"Hsu","given":"Li-Ming"},{"family":"Yeh","given":"Shih-Ching"},{"family":"Guu","given":"Shiao-Fei"},{"family":"Lee","given":"Si-Huei"},{"family":"Chen","given":"Chun-Chuan"}],"issued":{"date-parts":[["2020",6,16]]}}},{"id":13099,"uris":["http://zotero.org/groups/2239043/items/Z8JG6SF9"],"itemData":{"id":13099,"type":"article-journal","abstract":"Abstract\n              \n                Learning new motor skills is a fundamental process that involves the sequencing of actions. Skill develops with practice and time and manifests as performance that is fast and accurate. Although we know that learning can occur through an\n                implicit\n                process in the absence of conscious awareness, and across multiple temporal scales, the precise neural mechanisms mediating implicit motor sequence learning remain poorly understood. Similarly the capacity for interventions with known influence on learning and memory, such as cardiovascular exercise, to facilitate implicit learning is yet to be clearly established. Here we investigated the neuroplasticity of implicit motor sequence learning and the effect of acute exercise priming. Healthy adults (39.5% female) aged 22.55 ± 2.69 years were allocated to either a high</w:instrText>
      </w:r>
      <w:r w:rsidR="00983AC5">
        <w:rPr>
          <w:rFonts w:ascii="Cambria Math" w:hAnsi="Cambria Math" w:cs="Cambria Math"/>
        </w:rPr>
        <w:instrText>‐</w:instrText>
      </w:r>
      <w:r w:rsidR="00983AC5">
        <w:rPr>
          <w:rFonts w:ascii="Arial" w:hAnsi="Arial" w:cs="Arial"/>
        </w:rPr>
        <w:instrText>intensity interval training (HIIT) exercise group (\n                n\n                 = 16) or to a very low</w:instrText>
      </w:r>
      <w:r w:rsidR="00983AC5">
        <w:rPr>
          <w:rFonts w:ascii="Cambria Math" w:hAnsi="Cambria Math" w:cs="Cambria Math"/>
        </w:rPr>
        <w:instrText>‐</w:instrText>
      </w:r>
      <w:r w:rsidR="00983AC5">
        <w:rPr>
          <w:rFonts w:ascii="Arial" w:hAnsi="Arial" w:cs="Arial"/>
        </w:rPr>
        <w:instrText>intensity control group (\n                n\n                 = 17). After exercise participants performed a serial reaction time task, magnetic resonance (MR) spectroscopy estimates of sensorimotor GABA were acquired before and after exercise and during task performance, and resting</w:instrText>
      </w:r>
      <w:r w:rsidR="00983AC5">
        <w:rPr>
          <w:rFonts w:ascii="Cambria Math" w:hAnsi="Cambria Math" w:cs="Cambria Math"/>
        </w:rPr>
        <w:instrText>‐</w:instrText>
      </w:r>
      <w:r w:rsidR="00983AC5">
        <w:rPr>
          <w:rFonts w:ascii="Arial" w:hAnsi="Arial" w:cs="Arial"/>
        </w:rPr>
        <w:instrText>state functional magnetic resonance imaging (fMRI) was acquired at the end of the protocol. We show that early stages of learning are linked to default mode network connectivity, whereas the overall degree of learning following sustained practice is associated with motor network connectivity. Sensorimotor GABA concentration was linked to the early stages of learning, and GABA concentration was modulated following HIIT, although the two were not related. Overall through the integration of multiple neuroimaging modalities we demonstrate that interactions between hippocampal and motor networks underlie\n                implicit\n                motor sequence learning.\n                \n                  \n                    image\n                  \n                \n              \n            \n            \n              Key points\n              \n                \n                  \n                    Motor learning occurs across different temporal scales and can arise implicitly in the absence of conscious awareness.\n                  \n                  \n                    \n                      Explicit\n                      motor learning is linked to the brain's primary inhibitory neurotransmitter, GABA and interactions across motor and hippocampal networks.\n                    \n                  \n                  \n                    \n                      Whether these same neural mechanisms are implicated in\n                      implicit\n                      learning is unclear. Similarly the capacity to influence implicit learning via priming with cardiovascular exercise is yet to be clearly established.\n                    \n                  \n                  \n                    We show that early implicit learning is underpinned by default mode network connectivity and sensorimotor GABA concentration, whereas total learning following sustained practice is linked to motor network connectivity. We also found that high</w:instrText>
      </w:r>
      <w:r w:rsidR="00983AC5">
        <w:rPr>
          <w:rFonts w:ascii="Cambria Math" w:hAnsi="Cambria Math" w:cs="Cambria Math"/>
        </w:rPr>
        <w:instrText>‐</w:instrText>
      </w:r>
      <w:r w:rsidR="00983AC5">
        <w:rPr>
          <w:rFonts w:ascii="Arial" w:hAnsi="Arial" w:cs="Arial"/>
        </w:rPr>
        <w:instrText xml:space="preserve">intensity interval training (HIIT) exercise elevated sensorimotor GABA concentration, but not the magnitude of implicit learning.\n                  \n                  \n                    Overall our results highlight shared involvement of default mode and motor networks in implicit motor sequence learning.","container-title":"The Journal of Physiology","DOI":"10.1113/JP288361","ISSN":"0022-3751, 1469-7793","issue":"22","journalAbbreviation":"The Journal of Physiology","language":"en","page":"7071-7087","source":"DOI.org (Crossref)","title":"Default mode and motor networks facilitate early learning of implicit motor sequences: a multimodal MR spectroscopy and fMRI study","title-short":"Default mode and motor networks facilitate early learning of implicit motor sequences","volume":"603","author":[{"family":"Hendrikse","given":"Joshua"},{"family":"Brooks","given":"Emily"},{"family":"Wallis","given":"Sarah"},{"family":"Curtin","given":"Dylan"},{"family":"Rogasch","given":"Nigel C."},{"family":"Yücel","given":"Murat"},{"family":"Biabani","given":"Mana"},{"family":"Stagg","given":"Charlotte J."},{"family":"Bellgrove","given":"Mark"},{"family":"McIntyre","given":"Richard"},{"family":"Suo","given":"Chao"},{"family":"Coxon","given":"James"}],"issued":{"date-parts":[["2025",11]]}}},{"id":13100,"uris":["http://zotero.org/groups/2239043/items/PVAETGSI"],"itemData":{"id":13100,"type":"article-journal","container-title":"NeuroImage: Clinical","DOI":"10.1016/j.nicl.2024.103601","ISSN":"22131582","journalAbbreviation":"NeuroImage: Clinical","language":"en","page":"103601","source":"DOI.org (Crossref)","title":"Connecting the dots: Motor and default mode network crossroads in post-stroke motor learning deficits","title-short":"Connecting the dots","volume":"42","author":[{"family":"Dahms","given":"Christiane"},{"family":"Noll","given":"Alexander"},{"family":"Wagner","given":"Franziska"},{"family":"Schmidt","given":"Alexander"},{"family":"Brodoehl","given":"Stefan"},{"family":"Klingner","given":"Carsten M."}],"issued":{"date-parts":[["2024"]]}}}],"schema":"https://github.com/citation-style-language/schema/raw/master/csl-citation.json"} </w:instrText>
      </w:r>
      <w:r w:rsidR="003F33CD">
        <w:rPr>
          <w:rFonts w:ascii="Arial" w:hAnsi="Arial" w:cs="Arial"/>
        </w:rPr>
        <w:fldChar w:fldCharType="separate"/>
      </w:r>
      <w:r w:rsidR="00983AC5" w:rsidRPr="00983AC5">
        <w:rPr>
          <w:rFonts w:ascii="Arial" w:hAnsi="Arial" w:cs="Arial"/>
        </w:rPr>
        <w:t>(Dahms et al., 2024; Hendrikse et al., 2025; Wu et al., 2020)</w:t>
      </w:r>
      <w:r w:rsidR="003F33CD">
        <w:rPr>
          <w:rFonts w:ascii="Arial" w:hAnsi="Arial" w:cs="Arial"/>
        </w:rPr>
        <w:fldChar w:fldCharType="end"/>
      </w:r>
      <w:r w:rsidR="00924DB1" w:rsidRPr="004158B2">
        <w:rPr>
          <w:rFonts w:ascii="Arial" w:hAnsi="Arial" w:cs="Arial"/>
          <w:lang w:val="en-US"/>
        </w:rPr>
        <w:t xml:space="preserve">. </w:t>
      </w:r>
      <w:r w:rsidR="00C20087" w:rsidRPr="00C20087">
        <w:rPr>
          <w:rFonts w:ascii="Arial" w:hAnsi="Arial" w:cs="Arial"/>
        </w:rPr>
        <w:t>Beyond its role in internally oriented processing, the DMN shows demand-dependent interactions with control/salience systems during goal-directed behaviour</w:t>
      </w:r>
      <w:r w:rsidR="00C20087">
        <w:rPr>
          <w:rFonts w:ascii="Arial" w:hAnsi="Arial" w:cs="Arial"/>
        </w:rPr>
        <w:t xml:space="preserve"> </w:t>
      </w:r>
      <w:r w:rsidR="000521A6" w:rsidRPr="007E349F">
        <w:rPr>
          <w:rFonts w:ascii="Arial" w:hAnsi="Arial" w:cs="Arial"/>
        </w:rPr>
        <w:fldChar w:fldCharType="begin"/>
      </w:r>
      <w:r w:rsidR="00AB3861">
        <w:rPr>
          <w:rFonts w:ascii="Arial" w:hAnsi="Arial" w:cs="Arial"/>
        </w:rPr>
        <w:instrText xml:space="preserve"> ADDIN ZOTERO_ITEM CSL_CITATION {"citationID":"1HnVMVnk","properties":{"formattedCitation":"(Buckner et al., 2008; Spreng et al., 2009)","plainCitation":"(Buckner et al., 2008; Spreng et al., 2009)","noteIndex":0},"citationItems":[{"id":"zZFD0k4k/XO6h4w8M","uris":["http://zotero.org/users/local/KbNWjLkb/items/RFTF4M9Y"],"itemData":{"id":304,"type":"article-journal","abstract":"Thirty years of brain imaging research has converged to define the brain's default network—a novel and only recently appreciated brain system that participates in internal modes of cognition. Here we synthesize past observations to provide strong evidence that the default network is a specific, anatomically defined brain system preferentially active when individuals are not focused on the external environment. Analysis of connectional anatomy in the monkey supports the presence of an interconnected brain system. Providing insight into function, the default network is active when individuals are engaged in internally focused tasks including autobiographical memory retrieval, envisioning the future, and conceiving the perspectives of others. Probing the functional anatomy of the network in detail reveals that it is best understood as multiple interacting subsystems. The medial temporal lobe subsystem provides information from prior experiences in the form of memories and associations that are the building blocks of mental simulation. The medial prefrontal subsystem facilitates the flexible use of this information during the construction of self-relevant mental simulations. These two subsystems converge on important nodes of integration including the posterior cingulate cortex. The implications of these functional and anatomical observations are discussed in relation to possible adaptive roles of the default network for using past experiences to plan for the future, navigate social interactions, and maximize the utility of moments when we are not otherwise engaged by the external world. We conclude by discussing the relevance of the default network for understanding mental disorders including autism, schizophrenia, and Alzheimer's disease.","container-title":"Annals of the New York Academy of Sciences","DOI":"10.1196/annals.1440.011","ISSN":"1749-6632","issue":"1","language":"en","license":"2008 New York Academy of Sciences","note":"_eprint: https://onlinelibrary.wiley.com/doi/pdf/10.1196/annals.1440.011","page":"1-38","source":"Wiley Online Library","title":"The Brain's Default Network","volume":"1124","author":[{"family":"Buckner","given":"Randy L."},{"family":"Andrews-Hanna","given":"Jessica R."},{"family":"Schacter","given":"Daniel L."}],"issued":{"date-parts":[["2008"]]}}},{"id":"zZFD0k4k/Nmqld0mj","uris":["http://zotero.org/users/local/KbNWjLkb/items/NLM7BNGK"],"itemData":{"id":301,"type":"article-journal","abstract":"A core brain network has been proposed to underlie a number of different processes, including remembering, prospection, navigation, and theory of mind [Buckner, R. L., &amp; Carroll, D. C. Self-projection and the brain. Trends in Cognitive Sciences, 11, 49-57, 2007]. This purported network-medial prefrontal, medial-temporal, and medial and lateral parietal regions-is similar to that observed during default-mode processing and has been argued to represent self-projection [Buckner, R. L., &amp; Carroll, D. C. Self-projection and the brain. Trends in Cognitive Sciences, 11, 49-57, 2007] or scene-construction [Hassabis, D., &amp; Maguire, E. A. Deconstructing episodic memory with construction. Trends in Cognitive Sciences, 11, 299-306, 2007]. To date, no systematic and quantitative demonstration of evidence for this common network has been presented. Using the activation likelihood estimation (ALE) approach, we conducted four separate quantitative meta-analyses of neuroimaging studies on: (a) autobiographical memory, (b) navigation, (c) theory of mind, and (d) default mode. A conjunction analysis between these domains demonstrated a high degree of correspondence. We compared these findings to a separate ALE analysis of prospection studies and found additional correspondence. Across all domains, and consistent with the proposed network, correspondence was found within the medial-temporal lobe, precuneus, posterior cingulate, retrosplenial cortex, and the temporo-parietal junction. Additionally, this study revealed that the core network extends to lateral prefrontal and occipital cortices. Autobiographical memory, prospection, theory of mind, and default mode demonstrated further reliable involvement of the medial prefrontal cortex and lateral temporal cortices. Autobiographical memory and theory of mind, previously studied as distinct, exhibited extensive functional overlap. These findings represent quantitative evidence for a core network underlying a variety of cognitive domains.","container-title":"Journal of Cognitive Neuroscience","DOI":"10.1162/jocn.2008.21029","ISSN":"0898-929X","issue":"3","journalAbbreviation":"J Cogn Neurosci","language":"eng","note":"PMID: 18510452","page":"489-510","source":"PubMed","title":"The common neural basis of autobiographical memory, prospection, navigation, theory of mind, and the default mode: a quantitative meta-analysis","title-short":"The common neural basis of autobiographical memory, prospection, navigation, theory of mind, and the default mode","volume":"21","author":[{"family":"Spreng","given":"R. Nathan"},{"family":"Mar","given":"Raymond A."},{"family":"Kim","given":"Alice S. N."}],"issued":{"date-parts":[["2009",3]]}}}],"schema":"https://github.com/citation-style-language/schema/raw/master/csl-citation.json"} </w:instrText>
      </w:r>
      <w:r w:rsidR="000521A6" w:rsidRPr="007E349F">
        <w:rPr>
          <w:rFonts w:ascii="Arial" w:hAnsi="Arial" w:cs="Arial"/>
        </w:rPr>
        <w:fldChar w:fldCharType="separate"/>
      </w:r>
      <w:r w:rsidR="00F36290" w:rsidRPr="00F36290">
        <w:rPr>
          <w:rFonts w:ascii="Arial" w:hAnsi="Arial" w:cs="Arial"/>
        </w:rPr>
        <w:t>(Buckner et al., 2008; Spreng et al., 2009)</w:t>
      </w:r>
      <w:r w:rsidR="000521A6" w:rsidRPr="007E349F">
        <w:rPr>
          <w:rFonts w:ascii="Arial" w:hAnsi="Arial" w:cs="Arial"/>
        </w:rPr>
        <w:fldChar w:fldCharType="end"/>
      </w:r>
      <w:r w:rsidR="00C20087">
        <w:rPr>
          <w:rFonts w:ascii="Arial" w:hAnsi="Arial" w:cs="Arial"/>
        </w:rPr>
        <w:t>.</w:t>
      </w:r>
      <w:r w:rsidR="00BB1CAD" w:rsidRPr="007E349F">
        <w:rPr>
          <w:rFonts w:ascii="Arial" w:hAnsi="Arial" w:cs="Arial"/>
        </w:rPr>
        <w:t xml:space="preserve"> </w:t>
      </w:r>
      <w:r w:rsidR="00C20087" w:rsidRPr="00C20087">
        <w:rPr>
          <w:rFonts w:ascii="Arial" w:hAnsi="Arial" w:cs="Arial"/>
        </w:rPr>
        <w:t>After stroke, disrupted DMN interactions have been linked to cognitive deficits and motor impairment, underscoring its potential relevance for recovery-related plasticity</w:t>
      </w:r>
      <w:r w:rsidR="00C20087">
        <w:rPr>
          <w:rFonts w:ascii="Arial" w:hAnsi="Arial" w:cs="Arial"/>
        </w:rPr>
        <w:t xml:space="preserve"> </w:t>
      </w:r>
      <w:r w:rsidR="000521A6" w:rsidRPr="007E349F">
        <w:rPr>
          <w:rFonts w:ascii="Arial" w:hAnsi="Arial" w:cs="Arial"/>
        </w:rPr>
        <w:fldChar w:fldCharType="begin"/>
      </w:r>
      <w:r w:rsidR="00983AC5">
        <w:rPr>
          <w:rFonts w:ascii="Arial" w:hAnsi="Arial" w:cs="Arial"/>
        </w:rPr>
        <w:instrText xml:space="preserve"> ADDIN ZOTERO_ITEM CSL_CITATION {"citationID":"eJ6UwfOv","properties":{"formattedCitation":"(Dahms et al., 2024; Li et al., 2022; Wu et al., 2020)","plainCitation":"(Dahms et al., 2024; Li et al., 2022; Wu et al., 2020)","noteIndex":0},"citationItems":[{"id":13100,"uris":["http://zotero.org/groups/2239043/items/PVAETGSI"],"itemData":{"id":13100,"type":"article-journal","container-title":"NeuroImage: Clinical","DOI":"10.1016/j.nicl.2024.103601","ISSN":"22131582","journalAbbreviation":"NeuroImage: Clinical","language":"en","page":"103601","source":"DOI.org (Crossref)","title":"Connecting the dots: Motor and default mode network crossroads in post-stroke motor learning deficits","title-short":"Connecting the dots","volume":"42","author":[{"family":"Dahms","given":"Christiane"},{"family":"Noll","given":"Alexander"},{"family":"Wagner","given":"Franziska"},{"family":"Schmidt","given":"Alexander"},{"family":"Brodoehl","given":"Stefan"},{"family":"Klingner","given":"Carsten M."}],"issued":{"date-parts":[["2024"]]}}},{"id":"zZFD0k4k/8kPvurNu","uris":["http://zotero.org/users/local/KbNWjLkb/items/HKL8XXCD"],"itemData":{"id":35,"type":"article-journal","abstract":"Purpose\nThe purpose of the present study was to explore the longitudinal changes in functional homotopy in the default mode network (DMN) and motor network and its relationships with clinical characteristics in patients with stroke.\n\nMethods\nResting-state functional magnetic resonance imaging was performed in stroke patients with subcortical ischemic lesions and healthy controls. The voxel-mirrored homotopic connectivity (VMHC) method was used to examine the differences in functional homotopy in patients with stroke between the two time points. Support vector machine (SVM) and correlation analyses were also applied to investigate whether the detected significant changes in VMHC were the specific feature in patients with stroke.\n\nResults\nThe patients with stroke had significantly lower VMHC in the DMN and motor-related regions than the controls, including in the precuneus, parahippocampus, precentral gyrus, supplementary motor area, and middle frontal gyrus. Longitudinal analysis revealed that the impaired VMHC of the superior precuneus showed a significant increase at the second time point, which was no longer significantly different from the controls. Between the two time points, the changes in VMHC in the superior precuneus were significantly correlated with the changes in clinical scores. SVM analysis revealed that the VMHC of the superior precuneus could be used to correctly identify the patients with stroke from the controls with a statistically significant accuracy of 81.25% (P ≤ 0.003).\n\nConclusions\nOur findings indicated that the increased VMHC in the superior precuneus could be regarded as the neuroimaging manifestation of functional recovery. The significant correlation and the discriminative power in classification results might provide novel evidence to understand the neural mechanisms responsible for brain reorganization after stroke.","container-title":"Frontiers in Neurology","DOI":"10.3389/fneur.2022.996621","ISSN":"1664-2295","journalAbbreviation":"Front Neurol","note":"PMID: 36267883\nPMCID: PMC9577250","page":"996621","source":"PubMed Central","title":"Aberrant interhemispheric functional reciprocities of the default mode network and motor network in subcortical ischemic stroke patients with motor impairment: A longitudinal study","title-short":"Aberrant interhemispheric functional reciprocities of the default mode network and motor network in subcortical ischemic stroke patients with motor impairment","volume":"13","author":[{"family":"Li","given":"Yongxin"},{"family":"Yu","given":"Zeyun"},{"family":"Zhou","given":"Xuan"},{"family":"Wu","given":"Ping"},{"family":"Chen","given":"Jiaxu"}],"issued":{"date-parts":[["2022",10,4]]}}},{"id":13097,"uris":["http://zotero.org/groups/2239043/items/7EWNWL76"],"itemData":{"id":13097,"type":"article-journal","container-title":"Frontiers in Neuroscience","DOI":"10.3389/fnins.2020.00548","ISSN":"1662-453X","journalAbbreviation":"Front. Neurosci.","page":"548","source":"DOI.org (Crossref)","title":"Synchrony Between Default-Mode and Sensorimotor Networks Facilitates Motor Function in Stroke Rehabilitation: A Pilot fMRI Study","title-short":"Synchrony Between Default-Mode and Sensorimotor Networks Facilitates Motor Function in Stroke Rehabilitation","volume":"14","author":[{"family":"Wu","given":"Changwei W."},{"family":"Lin","given":"Shang-Hua N."},{"family":"Hsu","given":"Li-Ming"},{"family":"Yeh","given":"Shih-Ching"},{"family":"Guu","given":"Shiao-Fei"},{"family":"Lee","given":"Si-Huei"},{"family":"Chen","given":"Chun-Chuan"}],"issued":{"date-parts":[["2020",6,16]]}}}],"schema":"https://github.com/citation-style-language/schema/raw/master/csl-citation.json"} </w:instrText>
      </w:r>
      <w:r w:rsidR="000521A6" w:rsidRPr="007E349F">
        <w:rPr>
          <w:rFonts w:ascii="Arial" w:hAnsi="Arial" w:cs="Arial"/>
        </w:rPr>
        <w:fldChar w:fldCharType="separate"/>
      </w:r>
      <w:r w:rsidR="00983AC5" w:rsidRPr="004158B2">
        <w:rPr>
          <w:rFonts w:ascii="Arial" w:hAnsi="Arial" w:cs="Arial"/>
          <w:lang w:val="en-US"/>
        </w:rPr>
        <w:t>(Dahms et al., 2024; Li et al., 2022; Wu et al., 2020)</w:t>
      </w:r>
      <w:r w:rsidR="000521A6" w:rsidRPr="007E349F">
        <w:rPr>
          <w:rFonts w:ascii="Arial" w:hAnsi="Arial" w:cs="Arial"/>
        </w:rPr>
        <w:fldChar w:fldCharType="end"/>
      </w:r>
      <w:r w:rsidR="00C20087" w:rsidRPr="004158B2">
        <w:rPr>
          <w:rFonts w:ascii="Arial" w:hAnsi="Arial" w:cs="Arial"/>
          <w:lang w:val="en-US"/>
        </w:rPr>
        <w:t>.</w:t>
      </w:r>
    </w:p>
    <w:p w14:paraId="79DD1852" w14:textId="77777777" w:rsidR="00DD6919" w:rsidRDefault="00057D45" w:rsidP="00123E1C">
      <w:pPr>
        <w:pStyle w:val="StandardWeb"/>
        <w:rPr>
          <w:rFonts w:ascii="Arial" w:hAnsi="Arial" w:cs="Arial"/>
        </w:rPr>
      </w:pPr>
      <w:r w:rsidRPr="00057D45">
        <w:rPr>
          <w:rFonts w:ascii="Arial" w:hAnsi="Arial" w:cs="Arial"/>
        </w:rPr>
        <w:t>Most prior work has focused on resting-state connectivity measured statically. Task-based paradigms, by contrast, probe the brain’s capacity to reconfigure network interactions in response to behavioural demand</w:t>
      </w:r>
      <w:r>
        <w:rPr>
          <w:rFonts w:ascii="Arial" w:hAnsi="Arial" w:cs="Arial"/>
        </w:rPr>
        <w:t xml:space="preserve"> </w:t>
      </w:r>
      <w:r w:rsidR="001A594E">
        <w:rPr>
          <w:rFonts w:ascii="Arial" w:hAnsi="Arial" w:cs="Arial"/>
        </w:rPr>
        <w:fldChar w:fldCharType="begin"/>
      </w:r>
      <w:r w:rsidR="00F36290">
        <w:rPr>
          <w:rFonts w:ascii="Arial" w:hAnsi="Arial" w:cs="Arial"/>
        </w:rPr>
        <w:instrText xml:space="preserve"> ADDIN ZOTERO_ITEM CSL_CITATION {"citationID":"1ROXgpKa","properties":{"formattedCitation":"(Gonzalez-Castillo &amp; Bandettini, 2018; Kao et al., 2020)","plainCitation":"(Gonzalez-Castillo &amp; Bandettini, 2018; Kao et al., 2020)","noteIndex":0},"citationItems":[{"id":13101,"uris":["http://zotero.org/groups/2239043/items/6Q46ZNJ9"],"itemData":{"id":13101,"type":"article-journal","container-title":"NeuroImage","DOI":"10.1016/j.neuroimage.2017.08.006","ISSN":"10538119","journalAbbreviation":"NeuroImage","language":"en","page":"526-533","source":"DOI.org (Crossref)","title":"Task-based dynamic functional connectivity: Recent findings and open questions","title-short":"Task-based dynamic functional connectivity","volume":"180","author":[{"family":"Gonzalez-Castillo","given":"Javier"},{"family":"Bandettini","given":"Peter A."}],"issued":{"date-parts":[["2018",10]]}}},{"id":13103,"uris":["http://zotero.org/groups/2239043/items/5WQF7GG4"],"itemData":{"id":13103,"type":"article-journal","abstract":"Abstract\n            When learning about dynamic and uncertain environments, people should update their beliefs most strongly when new evidence is most informative, such as when the environment undergoes a surprising change or existing beliefs are highly uncertain. Here we show that modulations of surprise and uncertainty are encoded in a particular, temporally dynamic pattern of whole-brain functional connectivity, and this encoding is enhanced in individuals that adapt their learning dynamics more appropriately in response to these factors. The key feature of this whole-brain pattern of functional connectivity is stronger connectivity, or functional integration, between the fronto-parietal and other functional systems. Our results provide new insights regarding the association between dynamic adjustments in learning and dynamic, large-scale changes in functional connectivity across the brain.","container-title":"Nature Communications","DOI":"10.1038/s41467-020-15442-2","ISSN":"2041-1723","issue":"1","journalAbbreviation":"Nat Commun","language":"en","page":"1682","source":"DOI.org (Crossref)","title":"Functional brain network reconfiguration during learning in a dynamic environment","volume":"11","author":[{"family":"Kao","given":"Chang-Hao"},{"family":"Khambhati","given":"Ankit N."},{"family":"Bassett","given":"Danielle S."},{"family":"Nassar","given":"Matthew R."},{"family":"McGuire","given":"Joseph T."},{"family":"Gold","given":"Joshua I."},{"family":"Kable","given":"Joseph W."}],"issued":{"date-parts":[["2020",4,3]]}}}],"schema":"https://github.com/citation-style-language/schema/raw/master/csl-citation.json"} </w:instrText>
      </w:r>
      <w:r w:rsidR="001A594E">
        <w:rPr>
          <w:rFonts w:ascii="Arial" w:hAnsi="Arial" w:cs="Arial"/>
        </w:rPr>
        <w:fldChar w:fldCharType="separate"/>
      </w:r>
      <w:r w:rsidR="00F36290" w:rsidRPr="00F36290">
        <w:rPr>
          <w:rFonts w:ascii="Arial" w:hAnsi="Arial" w:cs="Arial"/>
        </w:rPr>
        <w:t>(Gonzalez-Castillo &amp; Bandettini, 2018; Kao et al., 2020)</w:t>
      </w:r>
      <w:r w:rsidR="001A594E">
        <w:rPr>
          <w:rFonts w:ascii="Arial" w:hAnsi="Arial" w:cs="Arial"/>
        </w:rPr>
        <w:fldChar w:fldCharType="end"/>
      </w:r>
      <w:r w:rsidR="00EB5381" w:rsidRPr="00EB5381">
        <w:rPr>
          <w:rFonts w:ascii="Arial" w:hAnsi="Arial" w:cs="Arial"/>
        </w:rPr>
        <w:t xml:space="preserve">. </w:t>
      </w:r>
      <w:r w:rsidRPr="00057D45">
        <w:rPr>
          <w:rFonts w:ascii="Arial" w:hAnsi="Arial" w:cs="Arial"/>
        </w:rPr>
        <w:t xml:space="preserve">In our recent work in chronic stroke survivors, a unimanual motor sequence task performed with the unaffected hand revealed distributed reorganization spanning motor networks and the DMN: motor regions showed altered task modulation </w:t>
      </w:r>
      <w:r w:rsidRPr="00057D45">
        <w:rPr>
          <w:rFonts w:ascii="Arial" w:hAnsi="Arial" w:cs="Arial"/>
        </w:rPr>
        <w:lastRenderedPageBreak/>
        <w:t>together with increased interhemispheric motor-network coupling, whereas the DMN exhibited an abnormal post-demand shift in resting-state connectivity from pre- to post-task rest</w:t>
      </w:r>
      <w:r>
        <w:rPr>
          <w:rFonts w:ascii="Arial" w:hAnsi="Arial" w:cs="Arial"/>
        </w:rPr>
        <w:t xml:space="preserve"> </w:t>
      </w:r>
      <w:r w:rsidR="00123E1C">
        <w:rPr>
          <w:rFonts w:ascii="Arial" w:hAnsi="Arial" w:cs="Arial"/>
        </w:rPr>
        <w:fldChar w:fldCharType="begin"/>
      </w:r>
      <w:r w:rsidR="00F36290">
        <w:rPr>
          <w:rFonts w:ascii="Arial" w:hAnsi="Arial" w:cs="Arial"/>
        </w:rPr>
        <w:instrText xml:space="preserve"> ADDIN ZOTERO_ITEM CSL_CITATION {"citationID":"FaHN4ub4","properties":{"formattedCitation":"(Dahms et al., 2024)","plainCitation":"(Dahms et al., 2024)","noteIndex":0},"citationItems":[{"id":13100,"uris":["http://zotero.org/groups/2239043/items/PVAETGSI"],"itemData":{"id":13100,"type":"article-journal","container-title":"NeuroImage: Clinical","DOI":"10.1016/j.nicl.2024.103601","ISSN":"22131582","journalAbbreviation":"NeuroImage: Clinical","language":"en","page":"103601","source":"DOI.org (Crossref)","title":"Connecting the dots: Motor and default mode network crossroads in post-stroke motor learning deficits","title-short":"Connecting the dots","volume":"42","author":[{"family":"Dahms","given":"Christiane"},{"family":"Noll","given":"Alexander"},{"family":"Wagner","given":"Franziska"},{"family":"Schmidt","given":"Alexander"},{"family":"Brodoehl","given":"Stefan"},{"family":"Klingner","given":"Carsten M."}],"issued":{"date-parts":[["2024"]]}}}],"schema":"https://github.com/citation-style-language/schema/raw/master/csl-citation.json"} </w:instrText>
      </w:r>
      <w:r w:rsidR="00123E1C">
        <w:rPr>
          <w:rFonts w:ascii="Arial" w:hAnsi="Arial" w:cs="Arial"/>
        </w:rPr>
        <w:fldChar w:fldCharType="separate"/>
      </w:r>
      <w:r w:rsidR="00F36290" w:rsidRPr="00F36290">
        <w:rPr>
          <w:rFonts w:ascii="Arial" w:hAnsi="Arial" w:cs="Arial"/>
        </w:rPr>
        <w:t>(Dahms et al., 2024)</w:t>
      </w:r>
      <w:r w:rsidR="00123E1C">
        <w:rPr>
          <w:rFonts w:ascii="Arial" w:hAnsi="Arial" w:cs="Arial"/>
        </w:rPr>
        <w:fldChar w:fldCharType="end"/>
      </w:r>
      <w:r>
        <w:rPr>
          <w:rFonts w:ascii="Arial" w:hAnsi="Arial" w:cs="Arial"/>
        </w:rPr>
        <w:t>.</w:t>
      </w:r>
      <w:r w:rsidR="009B7C31" w:rsidRPr="009B7C31">
        <w:rPr>
          <w:rFonts w:ascii="Arial" w:hAnsi="Arial" w:cs="Arial"/>
        </w:rPr>
        <w:t xml:space="preserve"> </w:t>
      </w:r>
      <w:r w:rsidR="00DD6919" w:rsidRPr="00DD6919">
        <w:rPr>
          <w:rFonts w:ascii="Arial" w:hAnsi="Arial" w:cs="Arial"/>
        </w:rPr>
        <w:t>Importantly, the magnitude of this DMN reconfiguration tracked individual motor sequence learning success, suggesting that DMN dynamics during and after behavioural demand are behaviourally meaningful rather than epiphenomenal</w:t>
      </w:r>
      <w:r w:rsidR="00DD6919">
        <w:rPr>
          <w:rFonts w:ascii="Arial" w:hAnsi="Arial" w:cs="Arial"/>
        </w:rPr>
        <w:t xml:space="preserve"> </w:t>
      </w:r>
      <w:r w:rsidR="00123E1C">
        <w:rPr>
          <w:rFonts w:ascii="Arial" w:hAnsi="Arial" w:cs="Arial"/>
        </w:rPr>
        <w:fldChar w:fldCharType="begin"/>
      </w:r>
      <w:r w:rsidR="00F36290">
        <w:rPr>
          <w:rFonts w:ascii="Arial" w:hAnsi="Arial" w:cs="Arial"/>
        </w:rPr>
        <w:instrText xml:space="preserve"> ADDIN ZOTERO_ITEM CSL_CITATION {"citationID":"P5TNsyRX","properties":{"formattedCitation":"(Dahms et al., 2024)","plainCitation":"(Dahms et al., 2024)","noteIndex":0},"citationItems":[{"id":13100,"uris":["http://zotero.org/groups/2239043/items/PVAETGSI"],"itemData":{"id":13100,"type":"article-journal","container-title":"NeuroImage: Clinical","DOI":"10.1016/j.nicl.2024.103601","ISSN":"22131582","journalAbbreviation":"NeuroImage: Clinical","language":"en","page":"103601","source":"DOI.org (Crossref)","title":"Connecting the dots: Motor and default mode network crossroads in post-stroke motor learning deficits","title-short":"Connecting the dots","volume":"42","author":[{"family":"Dahms","given":"Christiane"},{"family":"Noll","given":"Alexander"},{"family":"Wagner","given":"Franziska"},{"family":"Schmidt","given":"Alexander"},{"family":"Brodoehl","given":"Stefan"},{"family":"Klingner","given":"Carsten M."}],"issued":{"date-parts":[["2024"]]}}}],"schema":"https://github.com/citation-style-language/schema/raw/master/csl-citation.json"} </w:instrText>
      </w:r>
      <w:r w:rsidR="00123E1C">
        <w:rPr>
          <w:rFonts w:ascii="Arial" w:hAnsi="Arial" w:cs="Arial"/>
        </w:rPr>
        <w:fldChar w:fldCharType="separate"/>
      </w:r>
      <w:r w:rsidR="00F36290" w:rsidRPr="00F36290">
        <w:rPr>
          <w:rFonts w:ascii="Arial" w:hAnsi="Arial" w:cs="Arial"/>
        </w:rPr>
        <w:t>(Dahms et al., 2024)</w:t>
      </w:r>
      <w:r w:rsidR="00123E1C">
        <w:rPr>
          <w:rFonts w:ascii="Arial" w:hAnsi="Arial" w:cs="Arial"/>
        </w:rPr>
        <w:fldChar w:fldCharType="end"/>
      </w:r>
      <w:r w:rsidR="00DD6919">
        <w:rPr>
          <w:rFonts w:ascii="Arial" w:hAnsi="Arial" w:cs="Arial"/>
        </w:rPr>
        <w:t>.</w:t>
      </w:r>
      <w:r w:rsidR="009B7C31" w:rsidRPr="009B7C31">
        <w:rPr>
          <w:rFonts w:ascii="Arial" w:hAnsi="Arial" w:cs="Arial"/>
        </w:rPr>
        <w:t xml:space="preserve"> </w:t>
      </w:r>
    </w:p>
    <w:p w14:paraId="4C27C797" w14:textId="74A9DBB2" w:rsidR="00DD6919" w:rsidRPr="00DD6919" w:rsidRDefault="00DD6919" w:rsidP="00DD6919">
      <w:pPr>
        <w:pStyle w:val="StandardWeb"/>
        <w:rPr>
          <w:rFonts w:ascii="Arial" w:hAnsi="Arial" w:cs="Arial"/>
        </w:rPr>
      </w:pPr>
      <w:r w:rsidRPr="00DD6919">
        <w:rPr>
          <w:rFonts w:ascii="Arial" w:hAnsi="Arial" w:cs="Arial"/>
        </w:rPr>
        <w:t>The present study translates this concept to the acute phase and evaluates its clinical relevance. We quantified acute DMN flexibility as the post-demand change in resting-state connectivity from pre- to post-task rest (post–pre). Our primary aim was to test whether interhemispheric DMN reintegration (ΔDMN_inter) provides incremental prognostic information for FMUE at 6 weeks beyond baseline impairment, time-to-exam, and lesion-related factors. Secondarily, we examined behavioural–network coupling during learning, testing whether the DMN–learning relationship observed in chronic stroke is already present or disrupted within days after stroke.</w:t>
      </w:r>
    </w:p>
    <w:p w14:paraId="008FFBDC" w14:textId="43BB5306" w:rsidR="009B7C31" w:rsidRDefault="00DD6919" w:rsidP="000F2305">
      <w:pPr>
        <w:rPr>
          <w:rFonts w:ascii="Arial" w:hAnsi="Arial" w:cs="Arial"/>
        </w:rPr>
      </w:pPr>
      <w:r w:rsidRPr="00DD6919">
        <w:rPr>
          <w:rFonts w:ascii="Arial" w:hAnsi="Arial" w:cs="Arial"/>
        </w:rPr>
        <w:t>Acute stroke patients and matched controls therefore underwent a rest–task–rest fMRI protocol with a standardized motor sequence task performed with the unaffected/non-dominant hand. Focusing on a small set of prespecified metrics, we used interhemispheric DMN connectivity change as the primary candidate marker and assessed behavioural–network coupling during learning.</w:t>
      </w:r>
    </w:p>
    <w:p w14:paraId="4B7D5164" w14:textId="77777777" w:rsidR="009B7C31" w:rsidRDefault="009B7C31" w:rsidP="004D7CB2">
      <w:pPr>
        <w:pStyle w:val="StandardWeb"/>
        <w:rPr>
          <w:rFonts w:ascii="Arial" w:hAnsi="Arial" w:cs="Arial"/>
        </w:rPr>
      </w:pPr>
    </w:p>
    <w:p w14:paraId="53492B3E" w14:textId="77777777" w:rsidR="00714E7C" w:rsidRPr="007E349F" w:rsidRDefault="00714E7C" w:rsidP="004413DC">
      <w:pPr>
        <w:rPr>
          <w:rFonts w:ascii="Arial" w:hAnsi="Arial" w:cs="Arial"/>
          <w:b/>
          <w:i/>
          <w:color w:val="000000"/>
        </w:rPr>
      </w:pPr>
      <w:r w:rsidRPr="007E349F">
        <w:rPr>
          <w:rFonts w:ascii="Arial" w:hAnsi="Arial" w:cs="Arial"/>
          <w:b/>
          <w:i/>
          <w:color w:val="000000"/>
        </w:rPr>
        <w:br w:type="page"/>
      </w:r>
    </w:p>
    <w:p w14:paraId="6AA7B290" w14:textId="390CD26C" w:rsidR="00EC09AB" w:rsidRPr="007E349F" w:rsidRDefault="00236DC6" w:rsidP="00BB0FA0">
      <w:pPr>
        <w:pStyle w:val="Ueberschrift01"/>
      </w:pPr>
      <w:r w:rsidRPr="007E349F">
        <w:lastRenderedPageBreak/>
        <w:t>Methods</w:t>
      </w:r>
    </w:p>
    <w:p w14:paraId="3E7A2A96" w14:textId="1CDC09EE" w:rsidR="00EC09AB" w:rsidRPr="00CF7F62" w:rsidRDefault="00236DC6" w:rsidP="00BB0FA0">
      <w:pPr>
        <w:pStyle w:val="Ueberschrift02"/>
        <w:rPr>
          <w:highlight w:val="green"/>
        </w:rPr>
      </w:pPr>
      <w:r w:rsidRPr="00CF7F62">
        <w:rPr>
          <w:highlight w:val="green"/>
        </w:rPr>
        <w:t xml:space="preserve">Participants: </w:t>
      </w:r>
    </w:p>
    <w:p w14:paraId="0FFD3B62" w14:textId="4E0C7C6A" w:rsidR="002109E4" w:rsidRPr="00CF7F62" w:rsidRDefault="002109E4" w:rsidP="002109E4">
      <w:pPr>
        <w:pBdr>
          <w:top w:val="nil"/>
          <w:left w:val="nil"/>
          <w:bottom w:val="nil"/>
          <w:right w:val="nil"/>
          <w:between w:val="nil"/>
        </w:pBdr>
        <w:spacing w:after="283"/>
        <w:rPr>
          <w:rFonts w:ascii="Arial" w:hAnsi="Arial" w:cs="Arial"/>
          <w:color w:val="000000"/>
          <w:highlight w:val="green"/>
        </w:rPr>
      </w:pPr>
      <w:r w:rsidRPr="00CF7F62">
        <w:rPr>
          <w:rFonts w:ascii="Arial" w:hAnsi="Arial" w:cs="Arial"/>
          <w:color w:val="000000"/>
          <w:highlight w:val="green"/>
        </w:rPr>
        <w:t>Twenty-eight patients in the acute stage of a first-ever unilateral stroke and twenty-eight age- and sex-matched healthy controls were included. Patients were recruited at Jena University Hospital and examined on average 5.3 ± 3.9 days after stroke onset (range 1–20 days). Lesions were cortical or subcortical and located in the left (n = 12) or right hemisphere (n = 16).</w:t>
      </w:r>
    </w:p>
    <w:p w14:paraId="242EA4A7" w14:textId="1BDE8AB8" w:rsidR="00F87C2D" w:rsidRPr="00507084" w:rsidRDefault="002109E4" w:rsidP="004413DC">
      <w:pPr>
        <w:pBdr>
          <w:top w:val="nil"/>
          <w:left w:val="nil"/>
          <w:bottom w:val="nil"/>
          <w:right w:val="nil"/>
          <w:between w:val="nil"/>
        </w:pBdr>
        <w:spacing w:after="283"/>
        <w:rPr>
          <w:rFonts w:ascii="Arial" w:hAnsi="Arial" w:cs="Arial"/>
        </w:rPr>
      </w:pPr>
      <w:r w:rsidRPr="00CF7F62">
        <w:rPr>
          <w:rFonts w:ascii="Arial" w:hAnsi="Arial" w:cs="Arial"/>
          <w:color w:val="000000"/>
          <w:highlight w:val="green"/>
        </w:rPr>
        <w:t xml:space="preserve">Eligible patients had a unilateral ischemic or </w:t>
      </w:r>
      <w:proofErr w:type="spellStart"/>
      <w:r w:rsidRPr="00CF7F62">
        <w:rPr>
          <w:rFonts w:ascii="Arial" w:hAnsi="Arial" w:cs="Arial"/>
          <w:color w:val="000000"/>
          <w:highlight w:val="green"/>
        </w:rPr>
        <w:t>hemorrhagic</w:t>
      </w:r>
      <w:proofErr w:type="spellEnd"/>
      <w:r w:rsidRPr="00CF7F62">
        <w:rPr>
          <w:rFonts w:ascii="Arial" w:hAnsi="Arial" w:cs="Arial"/>
          <w:color w:val="000000"/>
          <w:highlight w:val="green"/>
        </w:rPr>
        <w:t xml:space="preserve"> stroke with an initial upper-limb motor impairment and were able to perform the motor sequence task with the unaffected hand during MRI. Exclusion criteria for both groups comprised contraindications to MRI and conditions interfering with task execution or compliance (e.g., severe pain or musculoskeletal limitations of the hand, neglect, relevant visual disturbances, or a history of neurological or psychiatric disease). To ensure data quality, participants were excluded if head motion during MRI exceeded </w:t>
      </w:r>
      <w:r w:rsidR="00FF355A" w:rsidRPr="00CF7F62">
        <w:rPr>
          <w:rFonts w:ascii="Arial" w:hAnsi="Arial" w:cs="Arial"/>
          <w:color w:val="000000"/>
          <w:highlight w:val="green"/>
        </w:rPr>
        <w:t>3 mm</w:t>
      </w:r>
      <w:r w:rsidRPr="00CF7F62">
        <w:rPr>
          <w:rFonts w:ascii="Arial" w:hAnsi="Arial" w:cs="Arial"/>
          <w:color w:val="000000"/>
          <w:highlight w:val="green"/>
        </w:rPr>
        <w:t xml:space="preserve"> (maximum translational displacement) in the functional data.</w:t>
      </w:r>
      <w:r w:rsidR="00443350" w:rsidRPr="00CF7F62">
        <w:rPr>
          <w:rFonts w:ascii="Arial" w:hAnsi="Arial" w:cs="Arial"/>
          <w:color w:val="000000"/>
          <w:highlight w:val="green"/>
        </w:rPr>
        <w:t xml:space="preserve"> </w:t>
      </w:r>
      <w:r w:rsidRPr="00CF7F62">
        <w:rPr>
          <w:rFonts w:ascii="Arial" w:hAnsi="Arial" w:cs="Arial"/>
          <w:color w:val="000000"/>
          <w:highlight w:val="green"/>
        </w:rPr>
        <w:t>Healthy controls were right-handed. In the patient group, two individuals were left-handed; they were retained to reflect the clinical sample, and sensitivity analyses excluding them did not alter the main findings. Handedness was assessed using the Edinburgh Handedness Inventory.</w:t>
      </w:r>
      <w:r w:rsidR="00FB7B4A" w:rsidRPr="00CF7F62">
        <w:rPr>
          <w:rFonts w:ascii="Arial" w:hAnsi="Arial" w:cs="Arial"/>
          <w:color w:val="000000"/>
          <w:highlight w:val="green"/>
        </w:rPr>
        <w:fldChar w:fldCharType="begin"/>
      </w:r>
      <w:r w:rsidR="00AB3861">
        <w:rPr>
          <w:rFonts w:ascii="Arial" w:hAnsi="Arial" w:cs="Arial"/>
          <w:color w:val="000000"/>
          <w:highlight w:val="green"/>
        </w:rPr>
        <w:instrText xml:space="preserve"> ADDIN ZOTERO_ITEM CSL_CITATION {"citationID":"w1Gqdimb","properties":{"formattedCitation":"(Oldfield, 1971)","plainCitation":"(Oldfield, 1971)","noteIndex":0},"citationItems":[{"id":"zZFD0k4k/EolEpfGa","uris":["http://zotero.org/users/local/KbNWjLkb/items/5NUAVQUI"],"itemData":{"id":322,"type":"article-journal","container-title":"Neuropsychologia","DOI":"10.1016/0028-3932(71)90067-4","ISSN":"0028-3932","issue":"1","journalAbbreviation":"Neuropsychologia","language":"eng","note":"PMID: 5146491","page":"97-113","source":"PubMed","title":"The assessment and analysis of handedness: the Edinburgh inventory","title-short":"The assessment and analysis of handedness","volume":"9","author":[{"family":"Oldfield","given":"R. C."}],"issued":{"date-parts":[["1971",3]]}}}],"schema":"https://github.com/citation-style-language/schema/raw/master/csl-citation.json"} </w:instrText>
      </w:r>
      <w:r w:rsidR="00FB7B4A" w:rsidRPr="00CF7F62">
        <w:rPr>
          <w:rFonts w:ascii="Arial" w:hAnsi="Arial" w:cs="Arial"/>
          <w:color w:val="000000"/>
          <w:highlight w:val="green"/>
        </w:rPr>
        <w:fldChar w:fldCharType="separate"/>
      </w:r>
      <w:r w:rsidR="00F36290" w:rsidRPr="00F36290">
        <w:rPr>
          <w:rFonts w:ascii="Arial" w:hAnsi="Arial" w:cs="Arial"/>
          <w:highlight w:val="green"/>
        </w:rPr>
        <w:t>(Oldfield, 1971)</w:t>
      </w:r>
      <w:r w:rsidR="00FB7B4A" w:rsidRPr="00CF7F62">
        <w:rPr>
          <w:rFonts w:ascii="Arial" w:hAnsi="Arial" w:cs="Arial"/>
          <w:color w:val="000000"/>
          <w:highlight w:val="green"/>
        </w:rPr>
        <w:fldChar w:fldCharType="end"/>
      </w:r>
      <w:r w:rsidR="00714E7C" w:rsidRPr="00CF7F62">
        <w:rPr>
          <w:rFonts w:ascii="Arial" w:hAnsi="Arial" w:cs="Arial"/>
          <w:highlight w:val="green"/>
        </w:rPr>
        <w:t xml:space="preserve"> </w:t>
      </w:r>
      <w:r w:rsidR="00507084" w:rsidRPr="00CF7F62">
        <w:rPr>
          <w:rFonts w:ascii="Arial" w:hAnsi="Arial" w:cs="Arial"/>
          <w:highlight w:val="green"/>
        </w:rPr>
        <w:t>All participants provided written informed consent. The study was approved by the local ethics committee of Jena and conducted in accordance with the Declaration of Helsinki.</w:t>
      </w:r>
      <w:r w:rsidR="00B041DB" w:rsidRPr="00CF7F62">
        <w:rPr>
          <w:rFonts w:ascii="Arial" w:hAnsi="Arial" w:cs="Arial"/>
          <w:color w:val="000000"/>
          <w:highlight w:val="green"/>
        </w:rPr>
        <w:t xml:space="preserve"> </w:t>
      </w:r>
      <w:r w:rsidR="00B041DB" w:rsidRPr="00CF7F62">
        <w:rPr>
          <w:rFonts w:ascii="Arial" w:hAnsi="Arial" w:cs="Arial"/>
          <w:color w:val="000000"/>
          <w:highlight w:val="green"/>
        </w:rPr>
        <w:fldChar w:fldCharType="begin"/>
      </w:r>
      <w:r w:rsidR="00AB3861">
        <w:rPr>
          <w:rFonts w:ascii="Arial" w:hAnsi="Arial" w:cs="Arial"/>
          <w:color w:val="000000"/>
          <w:highlight w:val="green"/>
        </w:rPr>
        <w:instrText xml:space="preserve"> ADDIN ZOTERO_ITEM CSL_CITATION {"citationID":"nXFgpx5u","properties":{"formattedCitation":"(World Medical Association, 2013)","plainCitation":"(World Medical Association, 2013)","noteIndex":0},"citationItems":[{"id":"zZFD0k4k/TbQ68tA5","uris":["http://zotero.org/users/local/KbNWjLkb/items/W3NSVWZB"],"itemData":{"id":327,"type":"article-journal","container-title":"JAMA","DOI":"10.1001/jama.2013.281053","ISSN":"0098-7484","issue":"20","journalAbbreviation":"JAMA","page":"2191-2194","source":"Silverchair","title":"World Medical Association Declaration of Helsinki: Ethical Principles for Medical Research Involving Human Subjects","title-short":"World Medical Association Declaration of Helsinki","volume":"310","author":[{"literal":"World Medical Association"}],"issued":{"date-parts":[["2013",11,27]]}}}],"schema":"https://github.com/citation-style-language/schema/raw/master/csl-citation.json"} </w:instrText>
      </w:r>
      <w:r w:rsidR="00B041DB" w:rsidRPr="00CF7F62">
        <w:rPr>
          <w:rFonts w:ascii="Arial" w:hAnsi="Arial" w:cs="Arial"/>
          <w:color w:val="000000"/>
          <w:highlight w:val="green"/>
        </w:rPr>
        <w:fldChar w:fldCharType="separate"/>
      </w:r>
      <w:r w:rsidR="00F36290" w:rsidRPr="00F36290">
        <w:rPr>
          <w:rFonts w:ascii="Arial" w:hAnsi="Arial" w:cs="Arial"/>
          <w:highlight w:val="green"/>
        </w:rPr>
        <w:t>(World Medical Association, 2013)</w:t>
      </w:r>
      <w:r w:rsidR="00B041DB" w:rsidRPr="00CF7F62">
        <w:rPr>
          <w:rFonts w:ascii="Arial" w:hAnsi="Arial" w:cs="Arial"/>
          <w:color w:val="000000"/>
          <w:highlight w:val="green"/>
        </w:rPr>
        <w:fldChar w:fldCharType="end"/>
      </w:r>
      <w:r w:rsidR="003E08CB" w:rsidRPr="00CF7F62">
        <w:rPr>
          <w:rFonts w:ascii="Arial" w:hAnsi="Arial" w:cs="Arial"/>
          <w:color w:val="000000"/>
          <w:highlight w:val="green"/>
        </w:rPr>
        <w:t>.</w:t>
      </w:r>
      <w:r w:rsidR="00714E7C" w:rsidRPr="00CF7F62">
        <w:rPr>
          <w:rFonts w:ascii="Arial" w:hAnsi="Arial" w:cs="Arial"/>
          <w:color w:val="000000"/>
          <w:highlight w:val="green"/>
        </w:rPr>
        <w:t xml:space="preserve"> </w:t>
      </w:r>
      <w:r w:rsidR="00507084" w:rsidRPr="00CF7F62">
        <w:rPr>
          <w:rFonts w:ascii="Arial" w:hAnsi="Arial" w:cs="Arial"/>
          <w:highlight w:val="green"/>
        </w:rPr>
        <w:t>Clinical and imaging data were pseudonymized prior to analysis in accordance with institutional data-protection policies. Demographic characteristics are summarized in Supplementary Table S1.</w:t>
      </w:r>
    </w:p>
    <w:p w14:paraId="2199340F" w14:textId="4075B538" w:rsidR="00EC09AB" w:rsidRPr="000B4F53" w:rsidRDefault="00236DC6" w:rsidP="00BB0FA0">
      <w:pPr>
        <w:pStyle w:val="Ueberschrift02"/>
        <w:rPr>
          <w:highlight w:val="green"/>
        </w:rPr>
      </w:pPr>
      <w:r w:rsidRPr="000B4F53">
        <w:rPr>
          <w:highlight w:val="green"/>
        </w:rPr>
        <w:t>Clinical assessment of motor and cognitive function:</w:t>
      </w:r>
    </w:p>
    <w:p w14:paraId="3269804F" w14:textId="3A579D04" w:rsidR="00E41093" w:rsidRPr="000B4F53" w:rsidRDefault="00E41093" w:rsidP="00E41093">
      <w:pPr>
        <w:pBdr>
          <w:top w:val="nil"/>
          <w:left w:val="nil"/>
          <w:bottom w:val="nil"/>
          <w:right w:val="nil"/>
          <w:between w:val="nil"/>
        </w:pBdr>
        <w:spacing w:after="283"/>
        <w:rPr>
          <w:rFonts w:ascii="Arial" w:hAnsi="Arial" w:cs="Arial"/>
          <w:highlight w:val="green"/>
        </w:rPr>
      </w:pPr>
      <w:r w:rsidRPr="000B4F53">
        <w:rPr>
          <w:rFonts w:ascii="Arial" w:hAnsi="Arial" w:cs="Arial"/>
          <w:highlight w:val="green"/>
        </w:rPr>
        <w:lastRenderedPageBreak/>
        <w:t>All patients underwent a standardized neurological examination including the NIH Stroke Scale (NIHSS) and the modified Rankin Scale (</w:t>
      </w:r>
      <w:proofErr w:type="spellStart"/>
      <w:r w:rsidRPr="000B4F53">
        <w:rPr>
          <w:rFonts w:ascii="Arial" w:hAnsi="Arial" w:cs="Arial"/>
          <w:highlight w:val="green"/>
        </w:rPr>
        <w:t>mRS</w:t>
      </w:r>
      <w:proofErr w:type="spellEnd"/>
      <w:r w:rsidRPr="000B4F53">
        <w:rPr>
          <w:rFonts w:ascii="Arial" w:hAnsi="Arial" w:cs="Arial"/>
          <w:highlight w:val="green"/>
        </w:rPr>
        <w:t>) to characterize acute stroke severity and global functional status. Upper-limb motor impairment was quantified using the Fugl–Meyer Assessment for the Upper Extremity (FMUE; parts A–D). Clinical assessments were obtained in the acute stage (baseline) and repeated at 6 weeks and 24 weeks after stroke.</w:t>
      </w:r>
    </w:p>
    <w:p w14:paraId="2E2FD816" w14:textId="77777777" w:rsidR="00BB0FA0" w:rsidRDefault="00E41093" w:rsidP="00BB0FA0">
      <w:pPr>
        <w:pStyle w:val="Ueberschrift02"/>
        <w:rPr>
          <w:highlight w:val="green"/>
        </w:rPr>
      </w:pPr>
      <w:r w:rsidRPr="000B4F53">
        <w:rPr>
          <w:highlight w:val="green"/>
        </w:rPr>
        <w:t xml:space="preserve">Endpoints </w:t>
      </w:r>
    </w:p>
    <w:p w14:paraId="6E635A92" w14:textId="32BD95FD" w:rsidR="00E41093" w:rsidRPr="000B4F53" w:rsidRDefault="00C30A8D" w:rsidP="00C30A8D">
      <w:pPr>
        <w:pBdr>
          <w:top w:val="nil"/>
          <w:left w:val="nil"/>
          <w:bottom w:val="nil"/>
          <w:right w:val="nil"/>
          <w:between w:val="nil"/>
        </w:pBdr>
        <w:spacing w:after="283"/>
        <w:rPr>
          <w:rFonts w:ascii="Arial" w:hAnsi="Arial" w:cs="Arial"/>
          <w:highlight w:val="green"/>
        </w:rPr>
      </w:pPr>
      <w:r w:rsidRPr="000B4F53">
        <w:rPr>
          <w:rFonts w:ascii="Arial" w:hAnsi="Arial" w:cs="Arial"/>
          <w:highlight w:val="green"/>
        </w:rPr>
        <w:t xml:space="preserve">The primary endpoint for prognostic analyses was upper-limb motor outcome at 6 weeks (FMUE_6w). The secondary endpoint was FMUE at 24 weeks (FMUE_24w); given expected ceiling effects at later follow-up, this endpoint was interpreted cautiously and complemented by ceiling-aware sensitivity analyses (see Prediction analysis). NIHSS and </w:t>
      </w:r>
      <w:proofErr w:type="spellStart"/>
      <w:r w:rsidRPr="000B4F53">
        <w:rPr>
          <w:rFonts w:ascii="Arial" w:hAnsi="Arial" w:cs="Arial"/>
          <w:highlight w:val="green"/>
        </w:rPr>
        <w:t>mRS</w:t>
      </w:r>
      <w:proofErr w:type="spellEnd"/>
      <w:r w:rsidRPr="000B4F53">
        <w:rPr>
          <w:rFonts w:ascii="Arial" w:hAnsi="Arial" w:cs="Arial"/>
          <w:highlight w:val="green"/>
        </w:rPr>
        <w:t xml:space="preserve"> trajectories were reported descriptively to document overall clinical improvement.</w:t>
      </w:r>
      <w:r w:rsidR="005D6CC2" w:rsidRPr="000B4F53">
        <w:rPr>
          <w:rFonts w:ascii="Arial" w:hAnsi="Arial" w:cs="Arial"/>
          <w:highlight w:val="green"/>
        </w:rPr>
        <w:t xml:space="preserve"> </w:t>
      </w:r>
      <w:r w:rsidRPr="000B4F53">
        <w:rPr>
          <w:rFonts w:ascii="Arial" w:hAnsi="Arial" w:cs="Arial"/>
          <w:highlight w:val="green"/>
        </w:rPr>
        <w:t>Cognitive status was assessed using the Montreal Cognitive Assessment (MoCA) in the acute stage and at follow-up time points to provide clinical context. MoCA was not part of the pre-specified base covariate set in the primary prognostic models.</w:t>
      </w:r>
    </w:p>
    <w:p w14:paraId="60219BDF" w14:textId="77777777" w:rsidR="001215B0" w:rsidRPr="000B4F53" w:rsidRDefault="001215B0" w:rsidP="00BB0FA0">
      <w:pPr>
        <w:pStyle w:val="Ueberschrift02"/>
        <w:rPr>
          <w:highlight w:val="green"/>
        </w:rPr>
      </w:pPr>
      <w:r w:rsidRPr="000B4F53">
        <w:rPr>
          <w:highlight w:val="green"/>
        </w:rPr>
        <w:t>Linking clinical outcomes to task-induced network reconfiguration</w:t>
      </w:r>
    </w:p>
    <w:p w14:paraId="2E45C231" w14:textId="321C0CA0" w:rsidR="00E41093" w:rsidRPr="000B4F53" w:rsidRDefault="001215B0" w:rsidP="004413DC">
      <w:pPr>
        <w:pBdr>
          <w:top w:val="nil"/>
          <w:left w:val="nil"/>
          <w:bottom w:val="nil"/>
          <w:right w:val="nil"/>
          <w:between w:val="nil"/>
        </w:pBdr>
        <w:spacing w:after="283"/>
        <w:rPr>
          <w:rFonts w:ascii="Arial" w:hAnsi="Arial" w:cs="Arial"/>
          <w:color w:val="000000"/>
          <w:highlight w:val="green"/>
        </w:rPr>
      </w:pPr>
      <w:r w:rsidRPr="000B4F53">
        <w:rPr>
          <w:rFonts w:ascii="Arial" w:hAnsi="Arial" w:cs="Arial"/>
          <w:highlight w:val="green"/>
        </w:rPr>
        <w:t>To address the study aims, we quantified task-induced reconfiguration of resting-state connectivity from pre- to post-task rest (post–pre) within the motor network and the default mode network (DMN), with interhemispheric DMN connectivity change as the pre-specified candidate marker of DMN flexibility. We then tested whether this marker provides incremental prognostic information for FMUE_6w beyond baseline impairment and lesion-related factors. As a secondary analysis, we examined behavioural–network coupling during learning and explored associations between acute behavioural and network measures and subsequent FMUE outcomes.</w:t>
      </w:r>
    </w:p>
    <w:p w14:paraId="1FCD4FD6" w14:textId="6A1121AC" w:rsidR="00EC09AB" w:rsidRPr="000B4F53" w:rsidRDefault="00236DC6" w:rsidP="00BB0FA0">
      <w:pPr>
        <w:pStyle w:val="Ueberschrift02"/>
        <w:rPr>
          <w:highlight w:val="green"/>
        </w:rPr>
      </w:pPr>
      <w:r w:rsidRPr="000B4F53">
        <w:rPr>
          <w:highlight w:val="green"/>
        </w:rPr>
        <w:lastRenderedPageBreak/>
        <w:t>Experimental MRI procedure:</w:t>
      </w:r>
    </w:p>
    <w:p w14:paraId="6CED5B97" w14:textId="77777777" w:rsidR="00076F19" w:rsidRPr="000B4F53" w:rsidRDefault="00076F19" w:rsidP="00076F19">
      <w:pPr>
        <w:pBdr>
          <w:top w:val="nil"/>
          <w:left w:val="nil"/>
          <w:bottom w:val="nil"/>
          <w:right w:val="nil"/>
          <w:between w:val="nil"/>
        </w:pBdr>
        <w:rPr>
          <w:rFonts w:ascii="Arial" w:hAnsi="Arial" w:cs="Arial"/>
          <w:color w:val="000000"/>
          <w:highlight w:val="green"/>
        </w:rPr>
      </w:pPr>
      <w:r w:rsidRPr="000B4F53">
        <w:rPr>
          <w:rFonts w:ascii="Arial" w:hAnsi="Arial" w:cs="Arial"/>
          <w:color w:val="000000"/>
          <w:highlight w:val="green"/>
        </w:rPr>
        <w:t>The MRI session consisted of two resting-state fMRI runs acquired immediately before and after a task-based fMRI run (Supplementary Figure S1). This pre–task–post design enabled quantification of task-induced modulation of resting-state connectivity (Δ connectivity = post–pre), capturing short-term network reconfiguration associated with motor sequence learning.</w:t>
      </w:r>
    </w:p>
    <w:p w14:paraId="67A8CA3F" w14:textId="77777777" w:rsidR="00076F19" w:rsidRPr="000B4F53" w:rsidRDefault="00076F19" w:rsidP="00076F19">
      <w:pPr>
        <w:pBdr>
          <w:top w:val="nil"/>
          <w:left w:val="nil"/>
          <w:bottom w:val="nil"/>
          <w:right w:val="nil"/>
          <w:between w:val="nil"/>
        </w:pBdr>
        <w:rPr>
          <w:rFonts w:ascii="Arial" w:hAnsi="Arial" w:cs="Arial"/>
          <w:color w:val="000000"/>
          <w:highlight w:val="green"/>
        </w:rPr>
      </w:pPr>
      <w:r w:rsidRPr="000B4F53">
        <w:rPr>
          <w:rFonts w:ascii="Arial" w:hAnsi="Arial" w:cs="Arial"/>
          <w:color w:val="000000"/>
          <w:highlight w:val="green"/>
        </w:rPr>
        <w:t>During the task run, participants performed a standardized motor sequence task (MST). Stroke patients used the clinically unaffected hand; healthy controls used the non-dominant hand to match task demands. A five-digit sequence was displayed, and participants were instructed to reproduce the sequence on an MRI-compatible keypad as quickly and accurately as possible, repeating it continuously within 30-second task blocks. The task comprised 12 blocks, each followed by a 30-second rest period.</w:t>
      </w:r>
    </w:p>
    <w:p w14:paraId="1F702F22" w14:textId="580DAAED" w:rsidR="00AF5779" w:rsidRDefault="00076F19" w:rsidP="00076F19">
      <w:pPr>
        <w:pBdr>
          <w:top w:val="nil"/>
          <w:left w:val="nil"/>
          <w:bottom w:val="nil"/>
          <w:right w:val="nil"/>
          <w:between w:val="nil"/>
        </w:pBdr>
        <w:rPr>
          <w:rFonts w:ascii="Arial" w:hAnsi="Arial" w:cs="Arial"/>
          <w:color w:val="000000"/>
        </w:rPr>
      </w:pPr>
      <w:r w:rsidRPr="000B4F53">
        <w:rPr>
          <w:rFonts w:ascii="Arial" w:hAnsi="Arial" w:cs="Arial"/>
          <w:color w:val="000000"/>
          <w:highlight w:val="green"/>
        </w:rPr>
        <w:t>Behavioural performance was quantified as the number of correctly completed sequences per block. Motor learning was summarized by the linear learning slope across the early learning phase (</w:t>
      </w:r>
      <w:r w:rsidR="00722694" w:rsidRPr="000B4F53">
        <w:rPr>
          <w:rFonts w:ascii="Arial" w:hAnsi="Arial" w:cs="Arial"/>
          <w:color w:val="000000"/>
          <w:highlight w:val="green"/>
        </w:rPr>
        <w:t>MST slope</w:t>
      </w:r>
      <w:r w:rsidRPr="000B4F53">
        <w:rPr>
          <w:rFonts w:ascii="Arial" w:hAnsi="Arial" w:cs="Arial"/>
          <w:color w:val="000000"/>
          <w:highlight w:val="green"/>
        </w:rPr>
        <w:t>; blocks 1–7), which served as the primary behavioural index because it emphasizes acquisition and reduces sensitivity to later plateauing.</w:t>
      </w:r>
    </w:p>
    <w:p w14:paraId="57A88514" w14:textId="77777777" w:rsidR="00076F19" w:rsidRPr="007E349F" w:rsidRDefault="00076F19" w:rsidP="00076F19">
      <w:pPr>
        <w:pBdr>
          <w:top w:val="nil"/>
          <w:left w:val="nil"/>
          <w:bottom w:val="nil"/>
          <w:right w:val="nil"/>
          <w:between w:val="nil"/>
        </w:pBdr>
        <w:rPr>
          <w:rFonts w:ascii="Arial" w:hAnsi="Arial" w:cs="Arial"/>
          <w:highlight w:val="yellow"/>
        </w:rPr>
      </w:pPr>
    </w:p>
    <w:p w14:paraId="7AB8D974" w14:textId="77777777" w:rsidR="00BB0FA0" w:rsidRDefault="00236DC6" w:rsidP="00BB0FA0">
      <w:pPr>
        <w:pStyle w:val="Ueberschrift02"/>
        <w:rPr>
          <w:highlight w:val="green"/>
        </w:rPr>
      </w:pPr>
      <w:r w:rsidRPr="00216F80">
        <w:rPr>
          <w:highlight w:val="green"/>
        </w:rPr>
        <w:t>MRI recordings:</w:t>
      </w:r>
      <w:r w:rsidR="00252B30" w:rsidRPr="00216F80">
        <w:rPr>
          <w:highlight w:val="green"/>
        </w:rPr>
        <w:t xml:space="preserve"> </w:t>
      </w:r>
    </w:p>
    <w:p w14:paraId="584999C2" w14:textId="39728DDB" w:rsidR="00793E3E" w:rsidRPr="00252B30" w:rsidRDefault="00793E3E" w:rsidP="00793E3E">
      <w:pPr>
        <w:pBdr>
          <w:top w:val="nil"/>
          <w:left w:val="nil"/>
          <w:bottom w:val="nil"/>
          <w:right w:val="nil"/>
          <w:between w:val="nil"/>
        </w:pBdr>
        <w:spacing w:after="283"/>
        <w:rPr>
          <w:rFonts w:ascii="Arial" w:hAnsi="Arial" w:cs="Arial"/>
          <w:i/>
          <w:iCs/>
          <w:color w:val="000000"/>
          <w:u w:val="single"/>
        </w:rPr>
      </w:pPr>
      <w:r w:rsidRPr="00216F80">
        <w:rPr>
          <w:rFonts w:ascii="Arial" w:hAnsi="Arial" w:cs="Arial"/>
          <w:highlight w:val="green"/>
        </w:rPr>
        <w:t xml:space="preserve">All MRI data were acquired on a 3T Siemens Trio scanner (Erlangen, Germany). Resting-state fMRI comprised two gradient-echo EPI runs acquired before and after the task (250 volumes each; voxel size 1.4 × 1.4 × 1.4 mm³; TR 1.95 s; TE 33.6 </w:t>
      </w:r>
      <w:proofErr w:type="spellStart"/>
      <w:r w:rsidRPr="00216F80">
        <w:rPr>
          <w:rFonts w:ascii="Arial" w:hAnsi="Arial" w:cs="Arial"/>
          <w:highlight w:val="green"/>
        </w:rPr>
        <w:t>ms</w:t>
      </w:r>
      <w:proofErr w:type="spellEnd"/>
      <w:r w:rsidRPr="00216F80">
        <w:rPr>
          <w:rFonts w:ascii="Arial" w:hAnsi="Arial" w:cs="Arial"/>
          <w:highlight w:val="green"/>
        </w:rPr>
        <w:t>). During resting-state runs, participants lay still with eyes closed and were instructed to remain awake. The first three volumes of each resting-state run were discarded to allow for signal equilibration.</w:t>
      </w:r>
    </w:p>
    <w:p w14:paraId="3FE03A69" w14:textId="01FA0804" w:rsidR="00A83210" w:rsidRDefault="00793E3E" w:rsidP="00793E3E">
      <w:pPr>
        <w:pBdr>
          <w:top w:val="nil"/>
          <w:left w:val="nil"/>
          <w:bottom w:val="nil"/>
          <w:right w:val="nil"/>
          <w:between w:val="nil"/>
        </w:pBdr>
        <w:spacing w:after="283"/>
        <w:rPr>
          <w:rFonts w:ascii="Arial" w:hAnsi="Arial" w:cs="Arial"/>
        </w:rPr>
      </w:pPr>
      <w:r w:rsidRPr="00793E3E">
        <w:rPr>
          <w:rFonts w:ascii="Arial" w:hAnsi="Arial" w:cs="Arial"/>
        </w:rPr>
        <w:lastRenderedPageBreak/>
        <w:t xml:space="preserve">Task-based fMRI was acquired between the two resting-state runs (1,470 volumes; voxel size 2.5 × 2.5 × 2.5 mm³; TR 0.484 s; TE 30 </w:t>
      </w:r>
      <w:proofErr w:type="spellStart"/>
      <w:r w:rsidRPr="00793E3E">
        <w:rPr>
          <w:rFonts w:ascii="Arial" w:hAnsi="Arial" w:cs="Arial"/>
        </w:rPr>
        <w:t>ms</w:t>
      </w:r>
      <w:proofErr w:type="spellEnd"/>
      <w:r w:rsidRPr="00793E3E">
        <w:rPr>
          <w:rFonts w:ascii="Arial" w:hAnsi="Arial" w:cs="Arial"/>
        </w:rPr>
        <w:t>); the first three volumes were discarded. High-resolution T1-weighted structural images were acquired for anatomical reference and spatial normalization (1 mm³ isotropic).</w:t>
      </w:r>
    </w:p>
    <w:p w14:paraId="5E2A140A" w14:textId="77777777" w:rsidR="0059013C" w:rsidRDefault="00243BA9" w:rsidP="0059013C">
      <w:pPr>
        <w:pStyle w:val="Ueberschrift02"/>
      </w:pPr>
      <w:r w:rsidRPr="00252B30">
        <w:t>Pre-processing</w:t>
      </w:r>
      <w:r w:rsidR="00236DC6" w:rsidRPr="00252B30">
        <w:t xml:space="preserve"> of functional data (resting state and motor task):</w:t>
      </w:r>
      <w:r w:rsidR="00A83210" w:rsidRPr="00252B30">
        <w:t xml:space="preserve"> </w:t>
      </w:r>
    </w:p>
    <w:p w14:paraId="1C97CAB6" w14:textId="056711FF" w:rsidR="00EC09AB" w:rsidRPr="007E349F" w:rsidRDefault="00252B30" w:rsidP="00252B30">
      <w:pPr>
        <w:pBdr>
          <w:top w:val="nil"/>
          <w:left w:val="nil"/>
          <w:bottom w:val="nil"/>
          <w:right w:val="nil"/>
          <w:between w:val="nil"/>
        </w:pBdr>
        <w:spacing w:after="283"/>
        <w:rPr>
          <w:rFonts w:ascii="Arial" w:hAnsi="Arial" w:cs="Arial"/>
        </w:rPr>
      </w:pPr>
      <w:r w:rsidRPr="00252B30">
        <w:rPr>
          <w:rFonts w:ascii="Arial" w:hAnsi="Arial" w:cs="Arial"/>
        </w:rPr>
        <w:t>Preprocessing was performed in SPM12 using standard procedures. For each participant, functional images were realigned to correct for head motion and co-registered to the individual T1-weighted structural image. Images were then spatially normalized to MNI space using the corresponding structural scan and subsequently smoothed with a 6-mm FWHM Gaussian kernel.</w:t>
      </w:r>
      <w:r w:rsidR="00B84AC1">
        <w:rPr>
          <w:rFonts w:ascii="Arial" w:hAnsi="Arial" w:cs="Arial"/>
        </w:rPr>
        <w:t xml:space="preserve"> </w:t>
      </w:r>
      <w:r w:rsidRPr="00252B30">
        <w:rPr>
          <w:rFonts w:ascii="Arial" w:hAnsi="Arial" w:cs="Arial"/>
        </w:rPr>
        <w:t>To ensure consistent hemispheric alignment across stroke patients, datasets from right-hemispheric strokes were left–right mirrored across the midsagittal plane prior to preprocessing. This procedure aligned the lesioned hemisphere to the left side for all patients and ensured that the hemisphere contralateral to the performing hand was consistently represented on the right. Lesion masks were used during normalization to minimize distortion of lesioned tissue (lesion-masked normalization).</w:t>
      </w:r>
      <w:r w:rsidR="006F1B43">
        <w:rPr>
          <w:rFonts w:ascii="Arial" w:hAnsi="Arial" w:cs="Arial"/>
        </w:rPr>
        <w:t xml:space="preserve"> </w:t>
      </w:r>
      <w:r w:rsidRPr="00252B30">
        <w:rPr>
          <w:rFonts w:ascii="Arial" w:hAnsi="Arial" w:cs="Arial"/>
        </w:rPr>
        <w:t>For resting-state fMRI, additional denoising included regression of head-motion parameters (six rigid-body parameters and their temporal derivatives) as well as mean signals from white matter and ventricular/CSF compartments. Resting-state time series were band-pass filtered (0.01–0.1 Hz). Global signal regression was not applied.</w:t>
      </w:r>
    </w:p>
    <w:p w14:paraId="04E5EA60" w14:textId="77777777" w:rsidR="0059013C" w:rsidRDefault="001C2A73" w:rsidP="0059013C">
      <w:pPr>
        <w:pStyle w:val="Ueberschrift02"/>
      </w:pPr>
      <w:r w:rsidRPr="00252B30">
        <w:t xml:space="preserve">Activity </w:t>
      </w:r>
      <w:r w:rsidR="00236DC6" w:rsidRPr="00252B30">
        <w:t>analysis</w:t>
      </w:r>
      <w:r w:rsidR="00A83210" w:rsidRPr="00252B30">
        <w:t>:</w:t>
      </w:r>
      <w:r w:rsidR="00A83210" w:rsidRPr="007E349F">
        <w:t xml:space="preserve"> </w:t>
      </w:r>
      <w:bookmarkStart w:id="1" w:name="_1fob9te" w:colFirst="0" w:colLast="0"/>
      <w:bookmarkEnd w:id="1"/>
    </w:p>
    <w:p w14:paraId="631775DE" w14:textId="57DAEDE9" w:rsidR="009B48D9" w:rsidRPr="009B48D9" w:rsidRDefault="009B48D9" w:rsidP="009B48D9">
      <w:pPr>
        <w:pBdr>
          <w:top w:val="nil"/>
          <w:left w:val="nil"/>
          <w:bottom w:val="nil"/>
          <w:right w:val="nil"/>
          <w:between w:val="nil"/>
        </w:pBdr>
        <w:spacing w:after="283"/>
        <w:rPr>
          <w:rFonts w:ascii="Arial" w:hAnsi="Arial" w:cs="Arial"/>
        </w:rPr>
      </w:pPr>
      <w:r w:rsidRPr="009B48D9">
        <w:rPr>
          <w:rFonts w:ascii="Arial" w:hAnsi="Arial" w:cs="Arial"/>
        </w:rPr>
        <w:t xml:space="preserve">Task-related activity was analysed in SPM12 using a general linear model (GLM). For each participant, the BOLD time series from the task fMRI run were </w:t>
      </w:r>
      <w:proofErr w:type="gramStart"/>
      <w:r w:rsidRPr="009B48D9">
        <w:rPr>
          <w:rFonts w:ascii="Arial" w:hAnsi="Arial" w:cs="Arial"/>
        </w:rPr>
        <w:t>high-pass</w:t>
      </w:r>
      <w:proofErr w:type="gramEnd"/>
      <w:r w:rsidRPr="009B48D9">
        <w:rPr>
          <w:rFonts w:ascii="Arial" w:hAnsi="Arial" w:cs="Arial"/>
        </w:rPr>
        <w:t xml:space="preserve"> filtered (128 s) and modelled with the canonical hemodynamic response function. The motor sequence task was modelled as a block regressor comprising the 12 task blocks, with </w:t>
      </w:r>
      <w:r w:rsidRPr="009B48D9">
        <w:rPr>
          <w:rFonts w:ascii="Arial" w:hAnsi="Arial" w:cs="Arial"/>
        </w:rPr>
        <w:lastRenderedPageBreak/>
        <w:t>interleaved rest blocks serving as baseline. Head-motion parameters derived from realignment were included as nuisance regressors. No physiological regressors (e.g., cardiac/respiratory traces) were available and therefore none were included. First-level contrast images were computed for task &gt; rest and carried forward to group-level analyses.</w:t>
      </w:r>
    </w:p>
    <w:p w14:paraId="73E636E1" w14:textId="77777777" w:rsidR="006F6AFF" w:rsidRPr="006F6AFF" w:rsidRDefault="006F6AFF" w:rsidP="006F6AFF">
      <w:pPr>
        <w:pBdr>
          <w:top w:val="nil"/>
          <w:left w:val="nil"/>
          <w:bottom w:val="nil"/>
          <w:right w:val="nil"/>
          <w:between w:val="nil"/>
        </w:pBdr>
        <w:spacing w:after="283"/>
        <w:rPr>
          <w:rFonts w:ascii="Arial" w:hAnsi="Arial" w:cs="Arial"/>
        </w:rPr>
      </w:pPr>
      <w:r w:rsidRPr="006F6AFF">
        <w:rPr>
          <w:rFonts w:ascii="Arial" w:hAnsi="Arial" w:cs="Arial"/>
        </w:rPr>
        <w:t>To test hypothesis-driven effects within the motor and default mode networks, analyses were restricted to a priori network masks derived from the Yeo-2011 atlas (</w:t>
      </w:r>
      <w:proofErr w:type="spellStart"/>
      <w:r w:rsidRPr="006F6AFF">
        <w:rPr>
          <w:rFonts w:ascii="Arial" w:hAnsi="Arial" w:cs="Arial"/>
        </w:rPr>
        <w:t>somatomotor</w:t>
      </w:r>
      <w:proofErr w:type="spellEnd"/>
      <w:r w:rsidRPr="006F6AFF">
        <w:rPr>
          <w:rFonts w:ascii="Arial" w:hAnsi="Arial" w:cs="Arial"/>
        </w:rPr>
        <w:t xml:space="preserve"> network and default mode network). For </w:t>
      </w:r>
      <w:proofErr w:type="spellStart"/>
      <w:r w:rsidRPr="006F6AFF">
        <w:rPr>
          <w:rFonts w:ascii="Arial" w:hAnsi="Arial" w:cs="Arial"/>
        </w:rPr>
        <w:t>voxelwise</w:t>
      </w:r>
      <w:proofErr w:type="spellEnd"/>
      <w:r w:rsidRPr="006F6AFF">
        <w:rPr>
          <w:rFonts w:ascii="Arial" w:hAnsi="Arial" w:cs="Arial"/>
        </w:rPr>
        <w:t xml:space="preserve"> maps of task-related activity, group differences (stroke vs controls) were assessed at the second level using two-sample t-tests within each network mask. Multiple comparisons were controlled using family-wise error correction with small-volume correction (SVC) within each network mask (voxel-level p &lt; 0.05 FWE).</w:t>
      </w:r>
    </w:p>
    <w:p w14:paraId="61D43D83" w14:textId="77777777" w:rsidR="006F6AFF" w:rsidRPr="006F6AFF" w:rsidRDefault="006F6AFF" w:rsidP="006F6AFF">
      <w:pPr>
        <w:pBdr>
          <w:top w:val="nil"/>
          <w:left w:val="nil"/>
          <w:bottom w:val="nil"/>
          <w:right w:val="nil"/>
          <w:between w:val="nil"/>
        </w:pBdr>
        <w:spacing w:after="283"/>
        <w:rPr>
          <w:rFonts w:ascii="Arial" w:hAnsi="Arial" w:cs="Arial"/>
        </w:rPr>
      </w:pPr>
      <w:r w:rsidRPr="006F6AFF">
        <w:rPr>
          <w:rFonts w:ascii="Arial" w:hAnsi="Arial" w:cs="Arial"/>
        </w:rPr>
        <w:t>For network-level summaries, mean contrast estimates (β-values for task &gt; rest) were extracted from atlas-based motor and DMN regions of interest restricted to task-responsive voxels (i.e., the intersection of the Yeo network mask with the task-activation mask) and interpreted as activation (positive β) or deactivation (negative β).</w:t>
      </w:r>
    </w:p>
    <w:p w14:paraId="48AA60BC" w14:textId="0FB9883C" w:rsidR="00F7781A" w:rsidRPr="007E349F" w:rsidRDefault="006F6AFF" w:rsidP="006F6AFF">
      <w:pPr>
        <w:pBdr>
          <w:top w:val="nil"/>
          <w:left w:val="nil"/>
          <w:bottom w:val="nil"/>
          <w:right w:val="nil"/>
          <w:between w:val="nil"/>
        </w:pBdr>
        <w:spacing w:after="283"/>
        <w:rPr>
          <w:rFonts w:ascii="Arial" w:hAnsi="Arial" w:cs="Arial"/>
        </w:rPr>
      </w:pPr>
      <w:r w:rsidRPr="006F6AFF">
        <w:rPr>
          <w:rFonts w:ascii="Arial" w:hAnsi="Arial" w:cs="Arial"/>
        </w:rPr>
        <w:t>To examine brain–behaviour relationships, associations between MST learning slope and network-level modulation estimates were tested within each group, and group differences in coupling were evaluated using a group-by-slope interaction model at the ROI/network level.</w:t>
      </w:r>
      <w:r>
        <w:rPr>
          <w:rFonts w:ascii="Arial" w:hAnsi="Arial" w:cs="Arial"/>
        </w:rPr>
        <w:t xml:space="preserve"> </w:t>
      </w:r>
    </w:p>
    <w:p w14:paraId="07889BCB" w14:textId="77777777" w:rsidR="0059013C" w:rsidRDefault="00236DC6" w:rsidP="0059013C">
      <w:pPr>
        <w:pStyle w:val="Ueberschrift02"/>
      </w:pPr>
      <w:r w:rsidRPr="003706F8">
        <w:t>Connectivity</w:t>
      </w:r>
      <w:r w:rsidR="001110A3" w:rsidRPr="003706F8">
        <w:t xml:space="preserve"> analysis of resting state data</w:t>
      </w:r>
      <w:r w:rsidR="00A83210" w:rsidRPr="003706F8">
        <w:t>:</w:t>
      </w:r>
      <w:r w:rsidR="00A83210" w:rsidRPr="007E349F">
        <w:t xml:space="preserve"> </w:t>
      </w:r>
    </w:p>
    <w:p w14:paraId="5EA22B71" w14:textId="5379ED12" w:rsidR="003706F8" w:rsidRPr="003706F8" w:rsidRDefault="003706F8" w:rsidP="003706F8">
      <w:pPr>
        <w:pBdr>
          <w:top w:val="nil"/>
          <w:left w:val="nil"/>
          <w:bottom w:val="nil"/>
          <w:right w:val="nil"/>
          <w:between w:val="nil"/>
        </w:pBdr>
        <w:spacing w:after="283"/>
        <w:rPr>
          <w:rFonts w:ascii="Arial" w:hAnsi="Arial" w:cs="Arial"/>
        </w:rPr>
      </w:pPr>
      <w:r w:rsidRPr="003706F8">
        <w:rPr>
          <w:rFonts w:ascii="Arial" w:hAnsi="Arial" w:cs="Arial"/>
        </w:rPr>
        <w:t xml:space="preserve">Resting-state connectivity was assessed in two runs acquired before and after task performance. Regions of interest (ROIs) for the motor and default mode networks were defined using the Yeo et al. (2011) network parcellation and further constrained to </w:t>
      </w:r>
      <w:r w:rsidRPr="003706F8">
        <w:rPr>
          <w:rFonts w:ascii="Arial" w:hAnsi="Arial" w:cs="Arial"/>
        </w:rPr>
        <w:lastRenderedPageBreak/>
        <w:t>voxels engaged by the motor sequence task (MST). Specifically, the Yeo network masks were intersected with the group-level MST activation map (task &gt; rest, p &lt; 0.05 FWE-corrected) computed across all participants (patients and controls) to ensure a consistent ROI definition across groups and to avoid group-specific ROI differences. ROI definition was performed independent of clinical outcomes.</w:t>
      </w:r>
      <w:r>
        <w:rPr>
          <w:rFonts w:ascii="Arial" w:hAnsi="Arial" w:cs="Arial"/>
        </w:rPr>
        <w:t xml:space="preserve"> </w:t>
      </w:r>
      <w:r w:rsidRPr="003706F8">
        <w:rPr>
          <w:rFonts w:ascii="Arial" w:hAnsi="Arial" w:cs="Arial"/>
        </w:rPr>
        <w:t xml:space="preserve">For each ROI, mean BOLD time series were extracted from the </w:t>
      </w:r>
      <w:proofErr w:type="spellStart"/>
      <w:r w:rsidRPr="003706F8">
        <w:rPr>
          <w:rFonts w:ascii="Arial" w:hAnsi="Arial" w:cs="Arial"/>
        </w:rPr>
        <w:t>preprocessed</w:t>
      </w:r>
      <w:proofErr w:type="spellEnd"/>
      <w:r w:rsidRPr="003706F8">
        <w:rPr>
          <w:rFonts w:ascii="Arial" w:hAnsi="Arial" w:cs="Arial"/>
        </w:rPr>
        <w:t xml:space="preserve"> resting-state data. Functional connectivity was computed using Pearson correlations between ROI time series, separately for the pre- and post-task resting-state runs. Correlation coefficients were Fisher z-transformed, and task-induced connectivity modulation was quantified as Δ connectivity (post – pre).</w:t>
      </w:r>
    </w:p>
    <w:p w14:paraId="4554A742" w14:textId="42ED5D81" w:rsidR="00EC09AB" w:rsidRPr="007E349F" w:rsidRDefault="003706F8" w:rsidP="003706F8">
      <w:pPr>
        <w:pBdr>
          <w:top w:val="nil"/>
          <w:left w:val="nil"/>
          <w:bottom w:val="nil"/>
          <w:right w:val="nil"/>
          <w:between w:val="nil"/>
        </w:pBdr>
        <w:spacing w:after="283"/>
        <w:rPr>
          <w:rFonts w:ascii="Arial" w:hAnsi="Arial" w:cs="Arial"/>
        </w:rPr>
      </w:pPr>
      <w:r w:rsidRPr="003706F8">
        <w:rPr>
          <w:rFonts w:ascii="Arial" w:hAnsi="Arial" w:cs="Arial"/>
        </w:rPr>
        <w:t xml:space="preserve">Based on the study hypotheses, analyses focused on </w:t>
      </w:r>
      <w:r w:rsidR="00397CEF">
        <w:rPr>
          <w:rFonts w:ascii="Arial" w:hAnsi="Arial" w:cs="Arial"/>
        </w:rPr>
        <w:t>the in</w:t>
      </w:r>
      <w:r w:rsidRPr="003706F8">
        <w:rPr>
          <w:rFonts w:ascii="Arial" w:hAnsi="Arial" w:cs="Arial"/>
        </w:rPr>
        <w:t>terhemispheric DMN connectivity change (</w:t>
      </w:r>
      <w:r w:rsidR="00722694">
        <w:rPr>
          <w:rFonts w:ascii="Arial" w:hAnsi="Arial" w:cs="Arial"/>
        </w:rPr>
        <w:t>ΔDMN_inter</w:t>
      </w:r>
      <w:r w:rsidRPr="003706F8">
        <w:rPr>
          <w:rFonts w:ascii="Arial" w:hAnsi="Arial" w:cs="Arial"/>
        </w:rPr>
        <w:t>)</w:t>
      </w:r>
      <w:r w:rsidR="000979AE">
        <w:rPr>
          <w:rFonts w:ascii="Arial" w:hAnsi="Arial" w:cs="Arial"/>
        </w:rPr>
        <w:t xml:space="preserve"> </w:t>
      </w:r>
      <w:r w:rsidRPr="003706F8">
        <w:rPr>
          <w:rFonts w:ascii="Arial" w:hAnsi="Arial" w:cs="Arial"/>
        </w:rPr>
        <w:t>and interhemispheric motor-network connectivity change (</w:t>
      </w:r>
      <w:proofErr w:type="spellStart"/>
      <w:r w:rsidR="00722694">
        <w:rPr>
          <w:rFonts w:ascii="Arial" w:hAnsi="Arial" w:cs="Arial"/>
        </w:rPr>
        <w:t>ΔMotor_inter</w:t>
      </w:r>
      <w:proofErr w:type="spellEnd"/>
      <w:r w:rsidRPr="003706F8">
        <w:rPr>
          <w:rFonts w:ascii="Arial" w:hAnsi="Arial" w:cs="Arial"/>
        </w:rPr>
        <w:t>) as a negative control. Group differences in Δ connectivity were tested using Welch’s two-sample t-tests, with FDR correction across the three metrics (Benjamini–Hochberg, q &lt; 0.05). These pre-specified connectivity measures were used in subsequent behavioural association and outcome models.</w:t>
      </w:r>
    </w:p>
    <w:p w14:paraId="62A98879" w14:textId="77777777" w:rsidR="003F5D74" w:rsidRPr="003F5D74" w:rsidRDefault="001C2A73" w:rsidP="0059013C">
      <w:pPr>
        <w:pStyle w:val="Ueberschrift02"/>
      </w:pPr>
      <w:r w:rsidRPr="003F5D74">
        <w:t>Prediction analysis</w:t>
      </w:r>
      <w:r w:rsidR="00A83210" w:rsidRPr="003F5D74">
        <w:t xml:space="preserve">: </w:t>
      </w:r>
    </w:p>
    <w:p w14:paraId="27A74259" w14:textId="77D933EA" w:rsidR="003F5D74" w:rsidRPr="003F5D74" w:rsidRDefault="003F5D74" w:rsidP="003F5D74">
      <w:pPr>
        <w:spacing w:after="283"/>
        <w:rPr>
          <w:rFonts w:ascii="Arial" w:hAnsi="Arial" w:cs="Arial"/>
        </w:rPr>
      </w:pPr>
      <w:r w:rsidRPr="003F5D74">
        <w:rPr>
          <w:rFonts w:ascii="Arial" w:hAnsi="Arial" w:cs="Arial"/>
        </w:rPr>
        <w:t>To evaluate whether acute behavioural and network markers provide incremental prognostic information for subsequent upper-limb outcome, we performed pre-specified regression analyses in the stroke cohort.</w:t>
      </w:r>
    </w:p>
    <w:p w14:paraId="2DD004B1" w14:textId="7B86D1EC" w:rsidR="003F5D74" w:rsidRPr="003F5D74" w:rsidRDefault="003F5D74" w:rsidP="003F5D74">
      <w:pPr>
        <w:spacing w:after="283"/>
        <w:rPr>
          <w:rFonts w:ascii="Arial" w:hAnsi="Arial" w:cs="Arial"/>
        </w:rPr>
      </w:pPr>
      <w:r w:rsidRPr="003F5D74">
        <w:rPr>
          <w:rFonts w:ascii="Arial" w:hAnsi="Arial" w:cs="Arial"/>
        </w:rPr>
        <w:t xml:space="preserve">Endpoints. The primary endpoint was upper-limb motor outcome at 6 weeks (FMUE_6w; Fugl–Meyer Upper Extremity, parts A–D). The secondary endpoint was FMUE at 24 weeks (FMUE_24w). Because outcome variability was reduced at 24 </w:t>
      </w:r>
      <w:r w:rsidRPr="003F5D74">
        <w:rPr>
          <w:rFonts w:ascii="Arial" w:hAnsi="Arial" w:cs="Arial"/>
        </w:rPr>
        <w:lastRenderedPageBreak/>
        <w:t>weeks due to ceiling effects, this endpoint was additionally examined using ceiling-aware sensitivity models (see below).</w:t>
      </w:r>
      <w:r>
        <w:rPr>
          <w:rFonts w:ascii="Arial" w:hAnsi="Arial" w:cs="Arial"/>
        </w:rPr>
        <w:t xml:space="preserve"> </w:t>
      </w:r>
    </w:p>
    <w:p w14:paraId="0663261F" w14:textId="77777777" w:rsidR="0059013C" w:rsidRDefault="003F5D74" w:rsidP="0059013C">
      <w:pPr>
        <w:pStyle w:val="Ueberschrift02"/>
      </w:pPr>
      <w:r w:rsidRPr="003F5D74">
        <w:t xml:space="preserve">A priori candidate markers </w:t>
      </w:r>
    </w:p>
    <w:p w14:paraId="543B450A" w14:textId="6A602B1F" w:rsidR="003F5D74" w:rsidRPr="003F5D74" w:rsidRDefault="00151C17" w:rsidP="003F5D74">
      <w:pPr>
        <w:spacing w:after="283"/>
        <w:rPr>
          <w:rFonts w:ascii="Arial" w:hAnsi="Arial" w:cs="Arial"/>
        </w:rPr>
      </w:pPr>
      <w:r w:rsidRPr="00151C17">
        <w:rPr>
          <w:rFonts w:ascii="Arial" w:hAnsi="Arial" w:cs="Arial"/>
        </w:rPr>
        <w:t>Based on the study hypotheses and prior mechanistic work, two acute-stage predictors were specified a priori. The primary candidate marker was interhemispheric DMN flexibility, quantified as the task-induced change in resting-state DMN connectivity from pre- to post-task rest (ΔDMN_inter; Fisher z units). A secondary candidate marker was motor learning performance during the MST, quantified as the learning slope across the first seven blocks (MST slope), motivated by its behavioural relevance in the chronic-stage study and its potential to capture individual learning capacity early after stroke.</w:t>
      </w:r>
    </w:p>
    <w:p w14:paraId="7C7C5B51" w14:textId="77777777" w:rsidR="0059013C" w:rsidRDefault="003F5D74" w:rsidP="0059013C">
      <w:pPr>
        <w:pStyle w:val="Ueberschrift02"/>
      </w:pPr>
      <w:r w:rsidRPr="003F5D74">
        <w:t xml:space="preserve">Base covariates </w:t>
      </w:r>
    </w:p>
    <w:p w14:paraId="70AF0DFF" w14:textId="30F7DCA0" w:rsidR="003F5D74" w:rsidRPr="003F5D74" w:rsidRDefault="008B676F" w:rsidP="003F5D74">
      <w:pPr>
        <w:spacing w:after="283"/>
        <w:rPr>
          <w:rFonts w:ascii="Arial" w:hAnsi="Arial" w:cs="Arial"/>
        </w:rPr>
      </w:pPr>
      <w:r w:rsidRPr="008B676F">
        <w:rPr>
          <w:rFonts w:ascii="Arial" w:hAnsi="Arial" w:cs="Arial"/>
        </w:rPr>
        <w:t>All prognostic models included an a priori base covariate set to account for baseline impairment and major clinical confounding while limiting overfitting: baseline FMUE (</w:t>
      </w:r>
      <w:proofErr w:type="spellStart"/>
      <w:r w:rsidRPr="008B676F">
        <w:rPr>
          <w:rFonts w:ascii="Arial" w:hAnsi="Arial" w:cs="Arial"/>
        </w:rPr>
        <w:t>FMUE_baseline</w:t>
      </w:r>
      <w:proofErr w:type="spellEnd"/>
      <w:r w:rsidRPr="008B676F">
        <w:rPr>
          <w:rFonts w:ascii="Arial" w:hAnsi="Arial" w:cs="Arial"/>
        </w:rPr>
        <w:t>), time from stroke onset to MRI/behavioural examination (days to scan), and log-transformed lesion volume (log lesion volume).</w:t>
      </w:r>
    </w:p>
    <w:p w14:paraId="7DD35F76" w14:textId="60F9E8E9" w:rsidR="003F5D74" w:rsidRPr="003F5D74" w:rsidRDefault="008B676F" w:rsidP="003F5D74">
      <w:pPr>
        <w:spacing w:after="283"/>
        <w:rPr>
          <w:rFonts w:ascii="Arial" w:hAnsi="Arial" w:cs="Arial"/>
        </w:rPr>
      </w:pPr>
      <w:r w:rsidRPr="008B676F">
        <w:rPr>
          <w:rFonts w:ascii="Arial" w:hAnsi="Arial" w:cs="Arial"/>
        </w:rPr>
        <w:t xml:space="preserve">For </w:t>
      </w:r>
      <w:r w:rsidR="00E33D8F">
        <w:rPr>
          <w:rFonts w:ascii="Arial" w:hAnsi="Arial" w:cs="Arial"/>
        </w:rPr>
        <w:t>both</w:t>
      </w:r>
      <w:r w:rsidRPr="008B676F">
        <w:rPr>
          <w:rFonts w:ascii="Arial" w:hAnsi="Arial" w:cs="Arial"/>
        </w:rPr>
        <w:t xml:space="preserve"> endpoint</w:t>
      </w:r>
      <w:r w:rsidR="00E33D8F">
        <w:rPr>
          <w:rFonts w:ascii="Arial" w:hAnsi="Arial" w:cs="Arial"/>
        </w:rPr>
        <w:t>s</w:t>
      </w:r>
      <w:r w:rsidRPr="008B676F">
        <w:rPr>
          <w:rFonts w:ascii="Arial" w:hAnsi="Arial" w:cs="Arial"/>
        </w:rPr>
        <w:t>, a limited set of hierarchical models was fitted to quantify incremental explained variance without data-driven model selection. In line with the primary hypothesis, we first tested whether adding ΔDMN_inter improves prediction beyond the base model. We then assessed the additional contribution of MST slope and the joint model to evaluate whether behavioural learning explains variance independent of ΔDMN_inter (and vice versa):</w:t>
      </w:r>
    </w:p>
    <w:p w14:paraId="31023957" w14:textId="43A7259E" w:rsidR="003F5D74" w:rsidRPr="000479A7" w:rsidRDefault="003F5D74" w:rsidP="000479A7">
      <w:pPr>
        <w:pStyle w:val="Listenabsatz"/>
        <w:numPr>
          <w:ilvl w:val="0"/>
          <w:numId w:val="17"/>
        </w:numPr>
        <w:spacing w:after="283"/>
        <w:rPr>
          <w:rFonts w:ascii="Arial" w:hAnsi="Arial" w:cs="Arial"/>
        </w:rPr>
      </w:pPr>
      <w:r w:rsidRPr="000479A7">
        <w:rPr>
          <w:rFonts w:ascii="Arial" w:hAnsi="Arial" w:cs="Arial"/>
        </w:rPr>
        <w:t xml:space="preserve">Base model: </w:t>
      </w:r>
      <w:proofErr w:type="spellStart"/>
      <w:r w:rsidRPr="000479A7">
        <w:rPr>
          <w:rFonts w:ascii="Arial" w:hAnsi="Arial" w:cs="Arial"/>
        </w:rPr>
        <w:t>FMUE_baseline</w:t>
      </w:r>
      <w:proofErr w:type="spellEnd"/>
      <w:r w:rsidRPr="000479A7">
        <w:rPr>
          <w:rFonts w:ascii="Arial" w:hAnsi="Arial" w:cs="Arial"/>
        </w:rPr>
        <w:t xml:space="preserve"> + </w:t>
      </w:r>
      <w:r w:rsidR="003828CE" w:rsidRPr="000479A7">
        <w:rPr>
          <w:rFonts w:ascii="Arial" w:hAnsi="Arial" w:cs="Arial"/>
        </w:rPr>
        <w:t>days to scan</w:t>
      </w:r>
      <w:r w:rsidRPr="000479A7">
        <w:rPr>
          <w:rFonts w:ascii="Arial" w:hAnsi="Arial" w:cs="Arial"/>
        </w:rPr>
        <w:t xml:space="preserve"> + </w:t>
      </w:r>
      <w:r w:rsidR="003828CE" w:rsidRPr="000479A7">
        <w:rPr>
          <w:rFonts w:ascii="Arial" w:hAnsi="Arial" w:cs="Arial"/>
        </w:rPr>
        <w:t>log lesion volume</w:t>
      </w:r>
    </w:p>
    <w:p w14:paraId="3D5E81AB" w14:textId="0E566AFD" w:rsidR="003F5D74" w:rsidRPr="000479A7" w:rsidRDefault="003F5D74" w:rsidP="000479A7">
      <w:pPr>
        <w:pStyle w:val="Listenabsatz"/>
        <w:numPr>
          <w:ilvl w:val="0"/>
          <w:numId w:val="17"/>
        </w:numPr>
        <w:spacing w:after="283"/>
        <w:rPr>
          <w:rFonts w:ascii="Arial" w:hAnsi="Arial" w:cs="Arial"/>
        </w:rPr>
      </w:pPr>
      <w:r w:rsidRPr="000479A7">
        <w:rPr>
          <w:rFonts w:ascii="Arial" w:hAnsi="Arial" w:cs="Arial"/>
        </w:rPr>
        <w:t xml:space="preserve">Base + </w:t>
      </w:r>
      <w:r w:rsidR="00722694" w:rsidRPr="000479A7">
        <w:rPr>
          <w:rFonts w:ascii="Arial" w:hAnsi="Arial" w:cs="Arial"/>
        </w:rPr>
        <w:t>ΔDMN_inter</w:t>
      </w:r>
      <w:r w:rsidR="006E790C">
        <w:rPr>
          <w:rFonts w:ascii="Arial" w:hAnsi="Arial" w:cs="Arial"/>
        </w:rPr>
        <w:t xml:space="preserve"> </w:t>
      </w:r>
      <w:r w:rsidR="006E790C" w:rsidRPr="006E790C">
        <w:rPr>
          <w:rFonts w:ascii="Arial" w:hAnsi="Arial" w:cs="Arial"/>
        </w:rPr>
        <w:t>(primary test)</w:t>
      </w:r>
    </w:p>
    <w:p w14:paraId="6DA14666" w14:textId="7B1750BC" w:rsidR="003F5D74" w:rsidRPr="000479A7" w:rsidRDefault="003F5D74" w:rsidP="000479A7">
      <w:pPr>
        <w:pStyle w:val="Listenabsatz"/>
        <w:numPr>
          <w:ilvl w:val="0"/>
          <w:numId w:val="17"/>
        </w:numPr>
        <w:spacing w:after="283"/>
        <w:rPr>
          <w:rFonts w:ascii="Arial" w:hAnsi="Arial" w:cs="Arial"/>
        </w:rPr>
      </w:pPr>
      <w:r w:rsidRPr="000479A7">
        <w:rPr>
          <w:rFonts w:ascii="Arial" w:hAnsi="Arial" w:cs="Arial"/>
        </w:rPr>
        <w:lastRenderedPageBreak/>
        <w:t xml:space="preserve">Base + </w:t>
      </w:r>
      <w:r w:rsidR="00722694" w:rsidRPr="000479A7">
        <w:rPr>
          <w:rFonts w:ascii="Arial" w:hAnsi="Arial" w:cs="Arial"/>
        </w:rPr>
        <w:t>MST slope</w:t>
      </w:r>
      <w:r w:rsidR="006E790C">
        <w:rPr>
          <w:rFonts w:ascii="Arial" w:hAnsi="Arial" w:cs="Arial"/>
        </w:rPr>
        <w:t xml:space="preserve"> </w:t>
      </w:r>
      <w:r w:rsidR="006E790C" w:rsidRPr="006E790C">
        <w:rPr>
          <w:rFonts w:ascii="Arial" w:hAnsi="Arial" w:cs="Arial"/>
        </w:rPr>
        <w:t>(secondary test)</w:t>
      </w:r>
    </w:p>
    <w:p w14:paraId="5F16A99E" w14:textId="43B50E65" w:rsidR="003F5D74" w:rsidRPr="000479A7" w:rsidRDefault="003F5D74" w:rsidP="000479A7">
      <w:pPr>
        <w:pStyle w:val="Listenabsatz"/>
        <w:numPr>
          <w:ilvl w:val="0"/>
          <w:numId w:val="17"/>
        </w:numPr>
        <w:spacing w:after="283"/>
        <w:rPr>
          <w:rFonts w:ascii="Arial" w:hAnsi="Arial" w:cs="Arial"/>
        </w:rPr>
      </w:pPr>
      <w:r w:rsidRPr="000479A7">
        <w:rPr>
          <w:rFonts w:ascii="Arial" w:hAnsi="Arial" w:cs="Arial"/>
        </w:rPr>
        <w:t xml:space="preserve">Full model: Base + </w:t>
      </w:r>
      <w:r w:rsidR="00722694" w:rsidRPr="000479A7">
        <w:rPr>
          <w:rFonts w:ascii="Arial" w:hAnsi="Arial" w:cs="Arial"/>
        </w:rPr>
        <w:t>ΔDMN_inter</w:t>
      </w:r>
      <w:r w:rsidRPr="000479A7">
        <w:rPr>
          <w:rFonts w:ascii="Arial" w:hAnsi="Arial" w:cs="Arial"/>
        </w:rPr>
        <w:t xml:space="preserve"> + </w:t>
      </w:r>
      <w:r w:rsidR="00722694" w:rsidRPr="000479A7">
        <w:rPr>
          <w:rFonts w:ascii="Arial" w:hAnsi="Arial" w:cs="Arial"/>
        </w:rPr>
        <w:t>MST slope</w:t>
      </w:r>
      <w:r w:rsidR="006E790C">
        <w:rPr>
          <w:rFonts w:ascii="Arial" w:hAnsi="Arial" w:cs="Arial"/>
        </w:rPr>
        <w:t xml:space="preserve"> </w:t>
      </w:r>
      <w:r w:rsidR="006E790C" w:rsidRPr="006E790C">
        <w:rPr>
          <w:rFonts w:ascii="Arial" w:hAnsi="Arial" w:cs="Arial"/>
        </w:rPr>
        <w:t>(shared vs independent contributions; order-sensitive ΔR² comparisons)</w:t>
      </w:r>
    </w:p>
    <w:p w14:paraId="03760844" w14:textId="2270DD68" w:rsidR="003F5D74" w:rsidRPr="003F5D74" w:rsidRDefault="00B43638" w:rsidP="003F5D74">
      <w:pPr>
        <w:spacing w:after="283"/>
        <w:rPr>
          <w:rFonts w:ascii="Arial" w:hAnsi="Arial" w:cs="Arial"/>
        </w:rPr>
      </w:pPr>
      <w:r w:rsidRPr="00B43638">
        <w:rPr>
          <w:rFonts w:ascii="Arial" w:hAnsi="Arial" w:cs="Arial"/>
        </w:rPr>
        <w:t>As a specificity check (negative control), interhemispheric motor-network connectivity modulation (</w:t>
      </w:r>
      <w:proofErr w:type="spellStart"/>
      <w:r w:rsidRPr="00B43638">
        <w:rPr>
          <w:rFonts w:ascii="Arial" w:hAnsi="Arial" w:cs="Arial"/>
        </w:rPr>
        <w:t>ΔMotor_inter</w:t>
      </w:r>
      <w:proofErr w:type="spellEnd"/>
      <w:r w:rsidRPr="00B43638">
        <w:rPr>
          <w:rFonts w:ascii="Arial" w:hAnsi="Arial" w:cs="Arial"/>
        </w:rPr>
        <w:t>) was added in separate analyses to the base and full models.</w:t>
      </w:r>
    </w:p>
    <w:p w14:paraId="0F5F00B5" w14:textId="77777777" w:rsidR="0059013C" w:rsidRDefault="003F5D74" w:rsidP="0059013C">
      <w:pPr>
        <w:pStyle w:val="Ueberschrift02"/>
      </w:pPr>
      <w:r w:rsidRPr="003F5D74">
        <w:t xml:space="preserve">Estimation and reporting </w:t>
      </w:r>
    </w:p>
    <w:p w14:paraId="2A35C4E1" w14:textId="54D1CAD4" w:rsidR="003F5D74" w:rsidRDefault="003F5D74" w:rsidP="003F5D74">
      <w:pPr>
        <w:spacing w:after="283"/>
        <w:rPr>
          <w:rFonts w:ascii="Arial" w:hAnsi="Arial" w:cs="Arial"/>
        </w:rPr>
      </w:pPr>
      <w:r w:rsidRPr="003F5D74">
        <w:rPr>
          <w:rFonts w:ascii="Arial" w:hAnsi="Arial" w:cs="Arial"/>
        </w:rPr>
        <w:t xml:space="preserve">Models were estimated using ordinary least squares regression. To reduce sensitivity to heteroskedasticity and influential observations, inference was based on HC3 robust standard errors. Continuous variables were z-standardized prior to modelling; coefficients are therefore reported as standardized regression coefficients with 95% confidence intervals. Model fit was summarized using R² and adjusted R². Incremental prognostic information was quantified by ΔR² when adding </w:t>
      </w:r>
      <w:r w:rsidR="00722694">
        <w:rPr>
          <w:rFonts w:ascii="Arial" w:hAnsi="Arial" w:cs="Arial"/>
        </w:rPr>
        <w:t>ΔDMN_inter</w:t>
      </w:r>
      <w:r w:rsidRPr="003F5D74">
        <w:rPr>
          <w:rFonts w:ascii="Arial" w:hAnsi="Arial" w:cs="Arial"/>
        </w:rPr>
        <w:t xml:space="preserve"> and/or </w:t>
      </w:r>
      <w:r w:rsidR="00722694">
        <w:rPr>
          <w:rFonts w:ascii="Arial" w:hAnsi="Arial" w:cs="Arial"/>
        </w:rPr>
        <w:t>MST slope</w:t>
      </w:r>
      <w:r w:rsidRPr="003F5D74">
        <w:rPr>
          <w:rFonts w:ascii="Arial" w:hAnsi="Arial" w:cs="Arial"/>
        </w:rPr>
        <w:t xml:space="preserve"> to the base model, including order-sensitive comparisons (adding </w:t>
      </w:r>
      <w:r w:rsidR="00722694">
        <w:rPr>
          <w:rFonts w:ascii="Arial" w:hAnsi="Arial" w:cs="Arial"/>
        </w:rPr>
        <w:t>ΔDMN_inter</w:t>
      </w:r>
      <w:r w:rsidRPr="003F5D74">
        <w:rPr>
          <w:rFonts w:ascii="Arial" w:hAnsi="Arial" w:cs="Arial"/>
        </w:rPr>
        <w:t xml:space="preserve"> after </w:t>
      </w:r>
      <w:r w:rsidR="00722694">
        <w:rPr>
          <w:rFonts w:ascii="Arial" w:hAnsi="Arial" w:cs="Arial"/>
        </w:rPr>
        <w:t>MST slope</w:t>
      </w:r>
      <w:r w:rsidRPr="003F5D74">
        <w:rPr>
          <w:rFonts w:ascii="Arial" w:hAnsi="Arial" w:cs="Arial"/>
        </w:rPr>
        <w:t xml:space="preserve"> and vice versa).</w:t>
      </w:r>
    </w:p>
    <w:p w14:paraId="0D775495" w14:textId="5D5BE977" w:rsidR="005B25D0" w:rsidRDefault="00303F59" w:rsidP="003A4A2B">
      <w:pPr>
        <w:pStyle w:val="Ueberschrift02"/>
      </w:pPr>
      <w:r>
        <w:t>Statistical Power</w:t>
      </w:r>
    </w:p>
    <w:p w14:paraId="0440F27D" w14:textId="4BF7F165" w:rsidR="00303F59" w:rsidRPr="003F5D74" w:rsidRDefault="003A4A2B" w:rsidP="003A4A2B">
      <w:pPr>
        <w:spacing w:after="283"/>
        <w:rPr>
          <w:rFonts w:ascii="Arial" w:hAnsi="Arial" w:cs="Arial"/>
        </w:rPr>
      </w:pPr>
      <w:r w:rsidRPr="003A4A2B">
        <w:rPr>
          <w:rFonts w:ascii="Arial" w:hAnsi="Arial" w:cs="Arial"/>
        </w:rPr>
        <w:t>A priori sensitivity power analysis (two-sided α=0.05) indicated that with N=28 (</w:t>
      </w:r>
      <w:proofErr w:type="spellStart"/>
      <w:r w:rsidRPr="003A4A2B">
        <w:rPr>
          <w:rFonts w:ascii="Arial" w:hAnsi="Arial" w:cs="Arial"/>
        </w:rPr>
        <w:t>df</w:t>
      </w:r>
      <w:proofErr w:type="spellEnd"/>
      <w:r w:rsidRPr="003A4A2B">
        <w:rPr>
          <w:rFonts w:ascii="Arial" w:hAnsi="Arial" w:cs="Arial"/>
        </w:rPr>
        <w:t>=23), the study had 80% power to detect a partial correlation of approximately r≈0.52 (partial R²≈0.27) for ΔDMN_inter in the regression model adjusted for baseline FMUE, time since stroke, and lesion volume. In the model additionally adjusting for learning (</w:t>
      </w:r>
      <w:proofErr w:type="spellStart"/>
      <w:r w:rsidRPr="003A4A2B">
        <w:rPr>
          <w:rFonts w:ascii="Arial" w:hAnsi="Arial" w:cs="Arial"/>
        </w:rPr>
        <w:t>df</w:t>
      </w:r>
      <w:proofErr w:type="spellEnd"/>
      <w:r w:rsidRPr="003A4A2B">
        <w:rPr>
          <w:rFonts w:ascii="Arial" w:hAnsi="Arial" w:cs="Arial"/>
        </w:rPr>
        <w:t>=22), 80% power corresponds to r≈0.53 (partial R²≈0.28). Thus, the study was adequately</w:t>
      </w:r>
      <w:r w:rsidR="00DF6897">
        <w:rPr>
          <w:rFonts w:ascii="Arial" w:hAnsi="Arial" w:cs="Arial"/>
        </w:rPr>
        <w:t xml:space="preserve"> </w:t>
      </w:r>
      <w:r w:rsidRPr="003A4A2B">
        <w:rPr>
          <w:rFonts w:ascii="Arial" w:hAnsi="Arial" w:cs="Arial"/>
        </w:rPr>
        <w:t>powered for medium-to-large effects but underpowered for small-to-medium effects. To assess the stability and precision of observed effects, extensive robustness checks were performed</w:t>
      </w:r>
      <w:r w:rsidR="00AD5D67">
        <w:rPr>
          <w:rFonts w:ascii="Arial" w:hAnsi="Arial" w:cs="Arial"/>
        </w:rPr>
        <w:t xml:space="preserve"> </w:t>
      </w:r>
      <w:r w:rsidR="00AD5D67">
        <w:rPr>
          <w:rFonts w:ascii="Arial" w:hAnsi="Arial" w:cs="Arial"/>
        </w:rPr>
        <w:fldChar w:fldCharType="begin"/>
      </w:r>
      <w:r w:rsidR="00AD5D67">
        <w:rPr>
          <w:rFonts w:ascii="Arial" w:hAnsi="Arial" w:cs="Arial"/>
        </w:rPr>
        <w:instrText xml:space="preserve"> ADDIN ZOTERO_ITEM CSL_CITATION {"citationID":"D5QV7tc8","properties":{"formattedCitation":"(Riley et al., 2019)","plainCitation":"(Riley et al., 2019)","noteIndex":0},"citationItems":[{"id":13163,"uris":["http://zotero.org/groups/2239043/items/4Q5SKB4C"],"itemData":{"id":13163,"type":"article-journal","abstract":"In the medical literature, hundreds of prediction models are being developed to predict health outcomes in individuals. For continuous outcomes, typically a linear regression model is developed to predict an individual's outcome value conditional on values of multiple predictors (covariates). To improve model development and reduce the potential for overfitting, a suitable sample size is required in terms of the number of subjects (\n              n\n              ) relative to the number of predictor parameters (\n              p\n              ) for potential inclusion. We propose that the minimum value of\n              n\n              should meet the following four key criteria: (i) small optimism in predictor effect estimates as defined by a global shrinkage factor of\n              ≥\n              0.9; (ii) small absolute difference of\n              ≤\n              0.05 in the apparent and adjusted\n              \n                R\n                2\n              \n              ; (iii) precise estimation (a margin of error\n              ≤\n              10% of the true value) of the model's residual standard deviation; and similarly, (iv) precise estimation of the mean predicted outcome value (model intercept). The criteria require prespecification of the user's chosen\n              p\n              and the model's anticipated\n              \n                R\n                2\n              \n              as informed by previous studies. The value of\n              n\n              that meets all four criteria provides the minimum sample size required for model development. In an applied example, a new model to predict lung function in African</w:instrText>
      </w:r>
      <w:r w:rsidR="00AD5D67">
        <w:rPr>
          <w:rFonts w:ascii="Cambria Math" w:hAnsi="Cambria Math" w:cs="Cambria Math"/>
        </w:rPr>
        <w:instrText>‐</w:instrText>
      </w:r>
      <w:r w:rsidR="00AD5D67">
        <w:rPr>
          <w:rFonts w:ascii="Arial" w:hAnsi="Arial" w:cs="Arial"/>
        </w:rPr>
        <w:instrText xml:space="preserve">American women using 25 predictor parameters requires at least 918 subjects to meet all criteria, corresponding to at least 36.7 subjects per predictor parameter. Even larger sample sizes may be needed to additionally ensure precise estimates of key predictor effects, especially when important categorical predictors have low prevalence in certain categories.","container-title":"Statistics in Medicine","DOI":"10.1002/sim.7993","ISSN":"0277-6715, 1097-0258","issue":"7","journalAbbreviation":"Statistics in Medicine","language":"en","page":"1262-1275","source":"DOI.org (Crossref)","title":"Minimum sample size for developing a multivariable prediction model: Part I – Continuous outcomes","title-short":"Minimum sample size for developing a multivariable prediction model","volume":"38","author":[{"family":"Riley","given":"Richard D."},{"family":"Snell","given":"Kym I.E."},{"family":"Ensor","given":"Joie"},{"family":"Burke","given":"Danielle L."},{"family":"Harrell","given":"Frank E."},{"family":"Moons","given":"Karel G.M."},{"family":"Collins","given":"Gary S."}],"issued":{"date-parts":[["2019",3,30]]}}}],"schema":"https://github.com/citation-style-language/schema/raw/master/csl-citation.json"} </w:instrText>
      </w:r>
      <w:r w:rsidR="00AD5D67">
        <w:rPr>
          <w:rFonts w:ascii="Arial" w:hAnsi="Arial" w:cs="Arial"/>
        </w:rPr>
        <w:fldChar w:fldCharType="separate"/>
      </w:r>
      <w:r w:rsidR="00AD5D67" w:rsidRPr="00AD5D67">
        <w:rPr>
          <w:rFonts w:ascii="Arial" w:hAnsi="Arial" w:cs="Arial"/>
        </w:rPr>
        <w:t>(Riley et al., 2019)</w:t>
      </w:r>
      <w:r w:rsidR="00AD5D67">
        <w:rPr>
          <w:rFonts w:ascii="Arial" w:hAnsi="Arial" w:cs="Arial"/>
        </w:rPr>
        <w:fldChar w:fldCharType="end"/>
      </w:r>
      <w:r>
        <w:rPr>
          <w:rFonts w:ascii="Arial" w:hAnsi="Arial" w:cs="Arial"/>
        </w:rPr>
        <w:t>.</w:t>
      </w:r>
    </w:p>
    <w:p w14:paraId="731B2A5E" w14:textId="77777777" w:rsidR="0059013C" w:rsidRDefault="00713CDE" w:rsidP="0059013C">
      <w:pPr>
        <w:pStyle w:val="Ueberschrift02"/>
      </w:pPr>
      <w:r w:rsidRPr="00713CDE">
        <w:lastRenderedPageBreak/>
        <w:t>Diagnostics, missing data, and robustness</w:t>
      </w:r>
    </w:p>
    <w:p w14:paraId="72C15B80" w14:textId="74354E4F" w:rsidR="003F5D74" w:rsidRPr="003F5D74" w:rsidRDefault="00713CDE" w:rsidP="003F5D74">
      <w:pPr>
        <w:spacing w:after="283"/>
        <w:rPr>
          <w:rFonts w:ascii="Arial" w:hAnsi="Arial" w:cs="Arial"/>
        </w:rPr>
      </w:pPr>
      <w:r w:rsidRPr="00713CDE">
        <w:rPr>
          <w:rFonts w:ascii="Arial" w:hAnsi="Arial" w:cs="Arial"/>
        </w:rPr>
        <w:t>Regression assumptions were evaluated using standard residual and leverage diagnostics. Multicollinearity was assessed using variance inflation factors (VIF). Influential observations were screened using Cook’s distance (threshold 4/N). Robustness analyses comprised leave-one-out refits and percentile bootstrap resampling (5,000 iterations) to assess stability of coefficients and incremental explained variance (ΔR²); additional sensitivity analyses addressed ceiling effects for the 24-week outcome (see Supplement).</w:t>
      </w:r>
      <w:r>
        <w:rPr>
          <w:rFonts w:ascii="Arial" w:hAnsi="Arial" w:cs="Arial"/>
        </w:rPr>
        <w:t xml:space="preserve"> </w:t>
      </w:r>
      <w:r w:rsidR="003F5D74" w:rsidRPr="003F5D74">
        <w:rPr>
          <w:rFonts w:ascii="Arial" w:hAnsi="Arial" w:cs="Arial"/>
        </w:rPr>
        <w:t>Prognostic models used complete-case datasets; to ensure comparability across hierarchical models, analyses were restricted to participants with complete data for all variables required for the respective model set. To characterize uncertainty under small-sample conditions, percentile bootstrap resampling and leave-one-out refits were performed for the full model, focusing on the distributions of key coefficients (</w:t>
      </w:r>
      <w:r w:rsidR="00722694">
        <w:rPr>
          <w:rFonts w:ascii="Arial" w:hAnsi="Arial" w:cs="Arial"/>
        </w:rPr>
        <w:t>ΔDMN_inter</w:t>
      </w:r>
      <w:r w:rsidR="003F5D74" w:rsidRPr="003F5D74">
        <w:rPr>
          <w:rFonts w:ascii="Arial" w:hAnsi="Arial" w:cs="Arial"/>
        </w:rPr>
        <w:t xml:space="preserve">, </w:t>
      </w:r>
      <w:r w:rsidR="00722694">
        <w:rPr>
          <w:rFonts w:ascii="Arial" w:hAnsi="Arial" w:cs="Arial"/>
        </w:rPr>
        <w:t>MST slope</w:t>
      </w:r>
      <w:r w:rsidR="003F5D74" w:rsidRPr="003F5D74">
        <w:rPr>
          <w:rFonts w:ascii="Arial" w:hAnsi="Arial" w:cs="Arial"/>
        </w:rPr>
        <w:t>) and ΔR² values (Supplement).</w:t>
      </w:r>
    </w:p>
    <w:p w14:paraId="61E0D481" w14:textId="77777777" w:rsidR="0059013C" w:rsidRDefault="003F5D74" w:rsidP="0059013C">
      <w:pPr>
        <w:pStyle w:val="Ueberschrift02"/>
      </w:pPr>
      <w:r w:rsidRPr="003F5D74">
        <w:t xml:space="preserve">Ceiling-aware sensitivity analyses (FMUE_24w) </w:t>
      </w:r>
    </w:p>
    <w:p w14:paraId="0B975B78" w14:textId="30E1CF77" w:rsidR="00745D30" w:rsidRDefault="003F5D74" w:rsidP="003F5D74">
      <w:pPr>
        <w:spacing w:after="283"/>
        <w:rPr>
          <w:rFonts w:ascii="Arial" w:hAnsi="Arial" w:cs="Arial"/>
        </w:rPr>
      </w:pPr>
      <w:r w:rsidRPr="003F5D74">
        <w:rPr>
          <w:rFonts w:ascii="Arial" w:hAnsi="Arial" w:cs="Arial"/>
        </w:rPr>
        <w:t>Given the presence of ceiling effects at 24 weeks, we complemented the linear regression by (</w:t>
      </w:r>
      <w:proofErr w:type="spellStart"/>
      <w:r w:rsidRPr="003F5D74">
        <w:rPr>
          <w:rFonts w:ascii="Arial" w:hAnsi="Arial" w:cs="Arial"/>
        </w:rPr>
        <w:t>i</w:t>
      </w:r>
      <w:proofErr w:type="spellEnd"/>
      <w:r w:rsidRPr="003F5D74">
        <w:rPr>
          <w:rFonts w:ascii="Arial" w:hAnsi="Arial" w:cs="Arial"/>
        </w:rPr>
        <w:t>) logistic regression modelling perfect outcome (FMUE_24w = maximum score) and (ii) ordinal regression after discretizing FMUE_24w into three ordered categories (≤55, 56–65, 66). These analyses were interpreted as supportive, emphasizing consistency of effect direction rather than statistical significance.</w:t>
      </w:r>
    </w:p>
    <w:p w14:paraId="4EDB6977" w14:textId="1151BD07" w:rsidR="00BB75A5" w:rsidRPr="007E349F" w:rsidRDefault="00DF6897" w:rsidP="0059013C">
      <w:pPr>
        <w:pStyle w:val="Ueberschrift01"/>
      </w:pPr>
      <w:r>
        <w:t>R</w:t>
      </w:r>
      <w:r w:rsidR="00236DC6" w:rsidRPr="007E349F">
        <w:t>esults</w:t>
      </w:r>
    </w:p>
    <w:p w14:paraId="4ECD9180" w14:textId="77777777" w:rsidR="00CF00E5" w:rsidRPr="005B5E69" w:rsidRDefault="00CF00E5" w:rsidP="0059013C">
      <w:pPr>
        <w:pStyle w:val="Ueberschrift02"/>
      </w:pPr>
      <w:r w:rsidRPr="005B5E69">
        <w:t>Recruitment and data completeness:</w:t>
      </w:r>
    </w:p>
    <w:p w14:paraId="683F1AE1" w14:textId="79150E64" w:rsidR="00745D30" w:rsidRDefault="00DD4A99" w:rsidP="004413DC">
      <w:pPr>
        <w:spacing w:after="120"/>
        <w:rPr>
          <w:rFonts w:ascii="Arial" w:hAnsi="Arial" w:cs="Arial"/>
          <w:color w:val="000000"/>
        </w:rPr>
      </w:pPr>
      <w:r w:rsidRPr="00DD4A99">
        <w:rPr>
          <w:rFonts w:ascii="Arial" w:hAnsi="Arial" w:cs="Arial"/>
          <w:color w:val="000000"/>
        </w:rPr>
        <w:t xml:space="preserve">Thirty-two patients were screened. Four were not included in the final cohort: two due to excessive head motion during MRI (maximum displacement &gt; </w:t>
      </w:r>
      <w:r w:rsidR="00FD511A">
        <w:rPr>
          <w:rFonts w:ascii="Arial" w:hAnsi="Arial" w:cs="Arial"/>
          <w:color w:val="000000"/>
        </w:rPr>
        <w:t>3</w:t>
      </w:r>
      <w:r w:rsidR="00A10356">
        <w:rPr>
          <w:rFonts w:ascii="Arial" w:hAnsi="Arial" w:cs="Arial"/>
          <w:color w:val="000000"/>
        </w:rPr>
        <w:t>mm</w:t>
      </w:r>
      <w:r w:rsidRPr="00DD4A99">
        <w:rPr>
          <w:rFonts w:ascii="Arial" w:hAnsi="Arial" w:cs="Arial"/>
          <w:color w:val="000000"/>
        </w:rPr>
        <w:t xml:space="preserve">) and two due to </w:t>
      </w:r>
      <w:r w:rsidRPr="00DD4A99">
        <w:rPr>
          <w:rFonts w:ascii="Arial" w:hAnsi="Arial" w:cs="Arial"/>
          <w:color w:val="000000"/>
        </w:rPr>
        <w:lastRenderedPageBreak/>
        <w:t>incomplete clinical assessments. The final cohort comprised 28 patients with complete MRI and behavioural data.</w:t>
      </w:r>
      <w:r w:rsidR="006D0B10" w:rsidRPr="006D0B10">
        <w:rPr>
          <w:rFonts w:ascii="Arial" w:hAnsi="Arial" w:cs="Arial"/>
          <w:color w:val="000000"/>
        </w:rPr>
        <w:t xml:space="preserve"> Follow-up clinical assessments were available at 6 weeks and at 24 weeks (Fugl–Meyer Upper Extremity and additional clinical scales as detailed in Supplementary Table S2). All neuroimaging analyses (task-based and resting-state fMRI) were performed on complete MRI datasets from all 28 included patients.</w:t>
      </w:r>
    </w:p>
    <w:p w14:paraId="46699B76" w14:textId="1A030B28" w:rsidR="00EC09AB" w:rsidRPr="005B5E69" w:rsidRDefault="00236DC6" w:rsidP="0059013C">
      <w:pPr>
        <w:pStyle w:val="Ueberschrift02"/>
      </w:pPr>
      <w:r w:rsidRPr="005B5E69">
        <w:t xml:space="preserve">Clinical assessment </w:t>
      </w:r>
      <w:r w:rsidR="00391D8E" w:rsidRPr="005B5E69">
        <w:t>of motor and cognitive function</w:t>
      </w:r>
      <w:r w:rsidR="00A83210" w:rsidRPr="005B5E69">
        <w:t>:</w:t>
      </w:r>
    </w:p>
    <w:p w14:paraId="2ED6F612" w14:textId="15B40695" w:rsidR="00EC09AB" w:rsidRDefault="005B5E69" w:rsidP="0063090F">
      <w:pPr>
        <w:pBdr>
          <w:top w:val="nil"/>
          <w:left w:val="nil"/>
          <w:bottom w:val="nil"/>
          <w:right w:val="nil"/>
          <w:between w:val="nil"/>
        </w:pBdr>
        <w:spacing w:after="283"/>
        <w:rPr>
          <w:rFonts w:ascii="Arial" w:hAnsi="Arial" w:cs="Arial"/>
        </w:rPr>
      </w:pPr>
      <w:bookmarkStart w:id="2" w:name="_3znysh7" w:colFirst="0" w:colLast="0"/>
      <w:bookmarkEnd w:id="2"/>
      <w:r w:rsidRPr="005B5E69">
        <w:rPr>
          <w:rFonts w:ascii="Arial" w:hAnsi="Arial" w:cs="Arial"/>
        </w:rPr>
        <w:t>At stroke onset, patients presented with a mean NIHSS score of 5.1 ± 3.0 (SD) and showed substantial improvement over follow-up (6 weeks: 0.9 ± 0.9; 24 weeks: 0.5 ± 0.6). Upper-limb motor function improved as reflected by the Fugl–Meyer Upper Extremity score (parts A–D), increasing from 54.1 ± 10.3 in the acute stage to 60.2 ± 5.4 at 6 weeks and 62.0 ± 5.1 at 24 weeks. Functional independence (</w:t>
      </w:r>
      <w:proofErr w:type="spellStart"/>
      <w:r w:rsidRPr="005B5E69">
        <w:rPr>
          <w:rFonts w:ascii="Arial" w:hAnsi="Arial" w:cs="Arial"/>
        </w:rPr>
        <w:t>mRS</w:t>
      </w:r>
      <w:proofErr w:type="spellEnd"/>
      <w:r w:rsidRPr="005B5E69">
        <w:rPr>
          <w:rFonts w:ascii="Arial" w:hAnsi="Arial" w:cs="Arial"/>
        </w:rPr>
        <w:t>) improved over time (2.0 ± 1.2 acute, 1.3 ± 0.8 at 6 weeks, 1.0 ± 0.6 at 24 weeks). Cognitive performance (MoCA) was lower in patients than controls in the acute stage (22.6 ± 3.8 vs. 26.8 ± 1.9, p &lt; 0.001) and improved longitudinally (24.6 ± 4.2 at 6 weeks; 26.7 ± 3.1 at 24 weeks). Detailed clinical values are provided in Supplementary Table S2.</w:t>
      </w:r>
    </w:p>
    <w:p w14:paraId="5F3725B4" w14:textId="4EB2D397" w:rsidR="005B5E69" w:rsidRPr="005B5E69" w:rsidRDefault="005B5E69" w:rsidP="0059013C">
      <w:pPr>
        <w:pStyle w:val="Ueberschrift02"/>
      </w:pPr>
      <w:r w:rsidRPr="005B5E69">
        <w:t>Mechanistic markers during motor sequence learning (patients vs controls)</w:t>
      </w:r>
    </w:p>
    <w:p w14:paraId="07AAEDE7" w14:textId="64CBFB4F" w:rsidR="00EC09AB" w:rsidRPr="007E349F" w:rsidRDefault="00391D8E" w:rsidP="0063090F">
      <w:pPr>
        <w:pBdr>
          <w:top w:val="nil"/>
          <w:left w:val="nil"/>
          <w:bottom w:val="nil"/>
          <w:right w:val="nil"/>
          <w:between w:val="nil"/>
        </w:pBdr>
        <w:spacing w:after="283"/>
        <w:rPr>
          <w:rFonts w:ascii="Arial" w:hAnsi="Arial" w:cs="Arial"/>
        </w:rPr>
      </w:pPr>
      <w:r w:rsidRPr="007E349F">
        <w:rPr>
          <w:rFonts w:ascii="Arial" w:hAnsi="Arial" w:cs="Arial"/>
        </w:rPr>
        <w:t>Behavioural task performance</w:t>
      </w:r>
      <w:r w:rsidR="00A83210" w:rsidRPr="007E349F">
        <w:rPr>
          <w:rFonts w:ascii="Arial" w:hAnsi="Arial" w:cs="Arial"/>
        </w:rPr>
        <w:t xml:space="preserve">: </w:t>
      </w:r>
    </w:p>
    <w:p w14:paraId="29C4085A" w14:textId="3269677E" w:rsidR="0063090F" w:rsidRPr="0063090F" w:rsidRDefault="0063090F" w:rsidP="0063090F">
      <w:pPr>
        <w:pStyle w:val="StandardWeb"/>
        <w:rPr>
          <w:rFonts w:ascii="Arial" w:hAnsi="Arial" w:cs="Arial"/>
        </w:rPr>
      </w:pPr>
      <w:r w:rsidRPr="0063090F">
        <w:rPr>
          <w:rFonts w:ascii="Arial" w:hAnsi="Arial" w:cs="Arial"/>
        </w:rPr>
        <w:t>No adverse events occurred during MRI acquisition or task performance. Motor sequence learning was reduced in acute stroke patients compared with controls, despite task execution with the unaffected hand (</w:t>
      </w:r>
      <w:r w:rsidR="00722694">
        <w:rPr>
          <w:rFonts w:ascii="Arial" w:hAnsi="Arial" w:cs="Arial"/>
        </w:rPr>
        <w:t>MST slope</w:t>
      </w:r>
      <w:r w:rsidRPr="0063090F">
        <w:rPr>
          <w:rFonts w:ascii="Arial" w:hAnsi="Arial" w:cs="Arial"/>
        </w:rPr>
        <w:t>: 0.</w:t>
      </w:r>
      <w:r w:rsidR="003527EE">
        <w:rPr>
          <w:rFonts w:ascii="Arial" w:hAnsi="Arial" w:cs="Arial"/>
        </w:rPr>
        <w:t>39</w:t>
      </w:r>
      <w:r w:rsidRPr="0063090F">
        <w:rPr>
          <w:rFonts w:ascii="Arial" w:hAnsi="Arial" w:cs="Arial"/>
        </w:rPr>
        <w:t xml:space="preserve"> ± 0.06 vs. 0.77 ± 0.07; Welch t = 4.13, p = 1.28×10</w:t>
      </w:r>
      <w:r w:rsidRPr="0063090F">
        <w:rPr>
          <w:rFonts w:ascii="Cambria Math" w:hAnsi="Cambria Math" w:cs="Cambria Math"/>
        </w:rPr>
        <w:t>⁻</w:t>
      </w:r>
      <w:r w:rsidRPr="0063090F">
        <w:rPr>
          <w:rFonts w:ascii="Arial" w:hAnsi="Arial" w:cs="Arial"/>
        </w:rPr>
        <w:t>⁴; Hedges g = 1.09)</w:t>
      </w:r>
      <w:r w:rsidR="005956EB">
        <w:rPr>
          <w:rFonts w:ascii="Arial" w:hAnsi="Arial" w:cs="Arial"/>
        </w:rPr>
        <w:t>.</w:t>
      </w:r>
    </w:p>
    <w:p w14:paraId="55DC26E2" w14:textId="25592FFE" w:rsidR="0063090F" w:rsidRPr="0063090F" w:rsidRDefault="0063090F" w:rsidP="0059013C">
      <w:pPr>
        <w:pStyle w:val="Ueberschrift02"/>
      </w:pPr>
      <w:r w:rsidRPr="0063090F">
        <w:t>Task-related activity modulation</w:t>
      </w:r>
      <w:r w:rsidR="008B4167">
        <w:t xml:space="preserve"> (secondary analysis)</w:t>
      </w:r>
    </w:p>
    <w:p w14:paraId="3A8DEE6F" w14:textId="50648A89" w:rsidR="0063090F" w:rsidRPr="0063090F" w:rsidRDefault="00B20056" w:rsidP="0063090F">
      <w:pPr>
        <w:pStyle w:val="StandardWeb"/>
        <w:rPr>
          <w:rFonts w:ascii="Arial" w:hAnsi="Arial" w:cs="Arial"/>
        </w:rPr>
      </w:pPr>
      <w:r w:rsidRPr="00B20056">
        <w:rPr>
          <w:rFonts w:ascii="Arial" w:hAnsi="Arial" w:cs="Arial"/>
        </w:rPr>
        <w:lastRenderedPageBreak/>
        <w:t xml:space="preserve">During task performance, stroke patients showed altered activation–deactivation patterns in motor and DMN regions compared with controls, consistent with distributed network effects already in the acute stage. Patients exhibited reduced modulation in the motor network alongside stronger DMN deactivation. Hemispheric balance measures further suggested reduced task-related engagement of the </w:t>
      </w:r>
      <w:proofErr w:type="spellStart"/>
      <w:r w:rsidRPr="00B20056">
        <w:rPr>
          <w:rFonts w:ascii="Arial" w:hAnsi="Arial" w:cs="Arial"/>
        </w:rPr>
        <w:t>ipsilesional</w:t>
      </w:r>
      <w:proofErr w:type="spellEnd"/>
      <w:r w:rsidRPr="00B20056">
        <w:rPr>
          <w:rFonts w:ascii="Arial" w:hAnsi="Arial" w:cs="Arial"/>
        </w:rPr>
        <w:t xml:space="preserve"> motor system. Notably, in the </w:t>
      </w:r>
      <w:proofErr w:type="spellStart"/>
      <w:r w:rsidRPr="00B20056">
        <w:rPr>
          <w:rFonts w:ascii="Arial" w:hAnsi="Arial" w:cs="Arial"/>
        </w:rPr>
        <w:t>ipsilesional</w:t>
      </w:r>
      <w:proofErr w:type="spellEnd"/>
      <w:r w:rsidRPr="00B20056">
        <w:rPr>
          <w:rFonts w:ascii="Arial" w:hAnsi="Arial" w:cs="Arial"/>
        </w:rPr>
        <w:t xml:space="preserve"> motor cortex, controls showed the expected activation whereas patients exhibited deactivation (p &lt; 0.0001). Detailed ROI estimates and hemispheric balance statistics are reported in the Supplement </w:t>
      </w:r>
      <w:r w:rsidR="008632A8" w:rsidRPr="008632A8">
        <w:rPr>
          <w:rFonts w:ascii="Arial" w:hAnsi="Arial" w:cs="Arial"/>
        </w:rPr>
        <w:t>(Supplementary</w:t>
      </w:r>
      <w:r w:rsidR="008632A8">
        <w:rPr>
          <w:rFonts w:ascii="Arial" w:hAnsi="Arial" w:cs="Arial"/>
        </w:rPr>
        <w:t xml:space="preserve"> Fig.</w:t>
      </w:r>
      <w:r w:rsidRPr="00B20056">
        <w:rPr>
          <w:rFonts w:ascii="Arial" w:hAnsi="Arial" w:cs="Arial"/>
        </w:rPr>
        <w:t xml:space="preserve"> S2).</w:t>
      </w:r>
    </w:p>
    <w:p w14:paraId="273A9F3F" w14:textId="77777777" w:rsidR="0063090F" w:rsidRPr="0063090F" w:rsidRDefault="0063090F" w:rsidP="0059013C">
      <w:pPr>
        <w:pStyle w:val="Ueberschrift02"/>
      </w:pPr>
      <w:r w:rsidRPr="0063090F">
        <w:t>Task-induced resting-state connectivity changes (post–pre)</w:t>
      </w:r>
    </w:p>
    <w:p w14:paraId="71FBA00A" w14:textId="09C623DC" w:rsidR="0063090F" w:rsidRDefault="000477B4" w:rsidP="0063090F">
      <w:pPr>
        <w:pStyle w:val="StandardWeb"/>
        <w:rPr>
          <w:rFonts w:ascii="Arial" w:hAnsi="Arial" w:cs="Arial"/>
        </w:rPr>
      </w:pPr>
      <w:r w:rsidRPr="000477B4">
        <w:rPr>
          <w:rFonts w:ascii="Arial" w:hAnsi="Arial" w:cs="Arial"/>
        </w:rPr>
        <w:t>Task-induced connectivity modulation differed between groups in the pre-specified metrics (Welch tests; FDR correction across three metrics). Compared with controls, stroke patients showed a marked reduction of interhemispheric DMN flexibility (ΔDMN_</w:t>
      </w:r>
      <w:proofErr w:type="gramStart"/>
      <w:r w:rsidRPr="000477B4">
        <w:rPr>
          <w:rFonts w:ascii="Arial" w:hAnsi="Arial" w:cs="Arial"/>
        </w:rPr>
        <w:t>inter:</w:t>
      </w:r>
      <w:proofErr w:type="gramEnd"/>
      <w:r w:rsidRPr="000477B4">
        <w:rPr>
          <w:rFonts w:ascii="Arial" w:hAnsi="Arial" w:cs="Arial"/>
        </w:rPr>
        <w:t xml:space="preserve"> controls 0.025 ± 0.016 vs stroke −0.032 ± 0.017; p = 0.018, </w:t>
      </w:r>
      <w:proofErr w:type="spellStart"/>
      <w:r w:rsidRPr="000477B4">
        <w:rPr>
          <w:rFonts w:ascii="Arial" w:hAnsi="Arial" w:cs="Arial"/>
        </w:rPr>
        <w:t>q_FDR</w:t>
      </w:r>
      <w:proofErr w:type="spellEnd"/>
      <w:r w:rsidRPr="000477B4">
        <w:rPr>
          <w:rFonts w:ascii="Arial" w:hAnsi="Arial" w:cs="Arial"/>
        </w:rPr>
        <w:t xml:space="preserve"> = 0.027; g = 0.64), our primary candidate marker. A similar pattern was observed for within-hemisphere DMN modulation in the right hemisphere (</w:t>
      </w:r>
      <w:proofErr w:type="spellStart"/>
      <w:r w:rsidRPr="000477B4">
        <w:rPr>
          <w:rFonts w:ascii="Arial" w:hAnsi="Arial" w:cs="Arial"/>
        </w:rPr>
        <w:t>ΔDMN_right</w:t>
      </w:r>
      <w:proofErr w:type="spellEnd"/>
      <w:r w:rsidRPr="000477B4">
        <w:rPr>
          <w:rFonts w:ascii="Arial" w:hAnsi="Arial" w:cs="Arial"/>
        </w:rPr>
        <w:t xml:space="preserve">: controls 0.039 ± 0.022 vs stroke −0.031 ± 0.026; p = 0.049, </w:t>
      </w:r>
      <w:proofErr w:type="spellStart"/>
      <w:r w:rsidRPr="000477B4">
        <w:rPr>
          <w:rFonts w:ascii="Arial" w:hAnsi="Arial" w:cs="Arial"/>
        </w:rPr>
        <w:t>q_FDR</w:t>
      </w:r>
      <w:proofErr w:type="spellEnd"/>
      <w:r w:rsidRPr="000477B4">
        <w:rPr>
          <w:rFonts w:ascii="Arial" w:hAnsi="Arial" w:cs="Arial"/>
        </w:rPr>
        <w:t xml:space="preserve"> = 0.049; g = 0.53). In contrast, interhemispheric motor-network connectivity modulation showed an opposite group effect (</w:t>
      </w:r>
      <w:proofErr w:type="spellStart"/>
      <w:r w:rsidRPr="000477B4">
        <w:rPr>
          <w:rFonts w:ascii="Arial" w:hAnsi="Arial" w:cs="Arial"/>
        </w:rPr>
        <w:t>ΔMotor_inter</w:t>
      </w:r>
      <w:proofErr w:type="spellEnd"/>
      <w:r w:rsidRPr="000477B4">
        <w:rPr>
          <w:rFonts w:ascii="Arial" w:hAnsi="Arial" w:cs="Arial"/>
        </w:rPr>
        <w:t xml:space="preserve">; negative control: controls −0.065 ± 0.022 vs stroke 0.016 ± 0.021; p = 0.009, </w:t>
      </w:r>
      <w:proofErr w:type="spellStart"/>
      <w:r w:rsidRPr="000477B4">
        <w:rPr>
          <w:rFonts w:ascii="Arial" w:hAnsi="Arial" w:cs="Arial"/>
        </w:rPr>
        <w:t>q_FDR</w:t>
      </w:r>
      <w:proofErr w:type="spellEnd"/>
      <w:r w:rsidRPr="000477B4">
        <w:rPr>
          <w:rFonts w:ascii="Arial" w:hAnsi="Arial" w:cs="Arial"/>
        </w:rPr>
        <w:t xml:space="preserve"> = 0.027; g = −0.71</w:t>
      </w:r>
      <w:r w:rsidR="00B03A70">
        <w:rPr>
          <w:rFonts w:ascii="Arial" w:hAnsi="Arial" w:cs="Arial"/>
        </w:rPr>
        <w:t>, Fig</w:t>
      </w:r>
      <w:r w:rsidR="00C17425">
        <w:rPr>
          <w:rFonts w:ascii="Arial" w:hAnsi="Arial" w:cs="Arial"/>
        </w:rPr>
        <w:t>.</w:t>
      </w:r>
      <w:r w:rsidR="00B03A70">
        <w:rPr>
          <w:rFonts w:ascii="Arial" w:hAnsi="Arial" w:cs="Arial"/>
        </w:rPr>
        <w:t xml:space="preserve"> 1)</w:t>
      </w:r>
      <w:r w:rsidRPr="000477B4">
        <w:rPr>
          <w:rFonts w:ascii="Arial" w:hAnsi="Arial" w:cs="Arial"/>
        </w:rPr>
        <w:t>.</w:t>
      </w:r>
    </w:p>
    <w:p w14:paraId="0693D6EE" w14:textId="77777777" w:rsidR="008D363F" w:rsidRDefault="008D363F" w:rsidP="008D363F">
      <w:pPr>
        <w:pStyle w:val="StandardWeb"/>
        <w:spacing w:line="360" w:lineRule="auto"/>
        <w:rPr>
          <w:rFonts w:ascii="Arial" w:hAnsi="Arial" w:cs="Arial"/>
          <w:b/>
          <w:i/>
        </w:rPr>
      </w:pPr>
    </w:p>
    <w:p w14:paraId="70A9103F" w14:textId="77777777" w:rsidR="008D363F" w:rsidRPr="004158B2" w:rsidRDefault="008D363F" w:rsidP="008D363F">
      <w:r>
        <w:rPr>
          <w:noProof/>
        </w:rPr>
        <w:lastRenderedPageBreak/>
        <w:drawing>
          <wp:inline distT="0" distB="0" distL="0" distR="0" wp14:anchorId="79632584" wp14:editId="6BA32765">
            <wp:extent cx="5760720" cy="5760720"/>
            <wp:effectExtent l="0" t="0" r="0" b="0"/>
            <wp:docPr id="14914903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0326" name="Grafik 1491490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20E12C09" w14:textId="77777777" w:rsidR="008D363F" w:rsidRPr="0095160C" w:rsidRDefault="008D363F" w:rsidP="008D363F">
      <w:pPr>
        <w:pStyle w:val="Listenabsatz"/>
        <w:spacing w:after="120"/>
        <w:ind w:left="0"/>
        <w:rPr>
          <w:rFonts w:ascii="Arial" w:hAnsi="Arial" w:cs="Arial"/>
        </w:rPr>
      </w:pPr>
      <w:r w:rsidRPr="007E349F">
        <w:rPr>
          <w:rStyle w:val="Fett"/>
          <w:rFonts w:ascii="Arial" w:hAnsi="Arial" w:cs="Arial"/>
        </w:rPr>
        <w:t xml:space="preserve">Figure </w:t>
      </w:r>
      <w:r>
        <w:rPr>
          <w:rStyle w:val="Fett"/>
          <w:rFonts w:ascii="Arial" w:hAnsi="Arial" w:cs="Arial"/>
        </w:rPr>
        <w:t>1</w:t>
      </w:r>
      <w:r w:rsidRPr="007E349F">
        <w:rPr>
          <w:rStyle w:val="Fett"/>
          <w:rFonts w:ascii="Arial" w:hAnsi="Arial" w:cs="Arial"/>
        </w:rPr>
        <w:t>. Task-induced changes in functional connectivity (post–pre).</w:t>
      </w:r>
      <w:r w:rsidRPr="007E349F">
        <w:rPr>
          <w:rFonts w:ascii="Arial" w:hAnsi="Arial" w:cs="Arial"/>
        </w:rPr>
        <w:br/>
      </w:r>
      <w:r w:rsidRPr="008D363F">
        <w:rPr>
          <w:rFonts w:ascii="Arial" w:hAnsi="Arial" w:cs="Arial"/>
          <w:sz w:val="22"/>
          <w:szCs w:val="22"/>
        </w:rPr>
        <w:t xml:space="preserve">Mean change (± SE) in resting-state functional connectivity from pre- to post-task in acute stroke patients and healthy controls. Bars show Fisher z-transformed changes in interhemispheric and right </w:t>
      </w:r>
      <w:proofErr w:type="spellStart"/>
      <w:r w:rsidRPr="008D363F">
        <w:rPr>
          <w:rFonts w:ascii="Arial" w:hAnsi="Arial" w:cs="Arial"/>
          <w:sz w:val="22"/>
          <w:szCs w:val="22"/>
        </w:rPr>
        <w:t>intrahemispheric</w:t>
      </w:r>
      <w:proofErr w:type="spellEnd"/>
      <w:r w:rsidRPr="008D363F">
        <w:rPr>
          <w:rFonts w:ascii="Arial" w:hAnsi="Arial" w:cs="Arial"/>
          <w:sz w:val="22"/>
          <w:szCs w:val="22"/>
        </w:rPr>
        <w:t xml:space="preserve"> connectivity within the motor network and the default mode network, displayed separately for stroke patients and controls.</w:t>
      </w:r>
    </w:p>
    <w:p w14:paraId="0E4EF82F" w14:textId="77777777" w:rsidR="008D363F" w:rsidRPr="008D363F" w:rsidRDefault="008D363F" w:rsidP="008D363F"/>
    <w:p w14:paraId="381E7BF5" w14:textId="2F20E7B3" w:rsidR="0063090F" w:rsidRPr="0063090F" w:rsidRDefault="0063090F" w:rsidP="0059013C">
      <w:pPr>
        <w:pStyle w:val="Ueberschrift02"/>
      </w:pPr>
      <w:r w:rsidRPr="0063090F">
        <w:t xml:space="preserve">Behavioural–network decoupling </w:t>
      </w:r>
    </w:p>
    <w:p w14:paraId="78F6D37A" w14:textId="2E8B314A" w:rsidR="00C252D5" w:rsidRPr="00C252D5" w:rsidRDefault="00C252D5" w:rsidP="000F39FF">
      <w:pPr>
        <w:pStyle w:val="StandardWeb"/>
        <w:contextualSpacing/>
        <w:rPr>
          <w:rFonts w:ascii="Arial" w:hAnsi="Arial" w:cs="Arial"/>
        </w:rPr>
      </w:pPr>
      <w:r w:rsidRPr="00C252D5">
        <w:rPr>
          <w:rFonts w:ascii="Arial" w:hAnsi="Arial" w:cs="Arial"/>
        </w:rPr>
        <w:t xml:space="preserve">We next examined whether acute DMN flexibility was coupled to motor sequence learning. Interhemispheric DMN flexibility (ΔDMN_inter), our primary candidate marker </w:t>
      </w:r>
      <w:r w:rsidRPr="00C252D5">
        <w:rPr>
          <w:rFonts w:ascii="Arial" w:hAnsi="Arial" w:cs="Arial"/>
        </w:rPr>
        <w:lastRenderedPageBreak/>
        <w:t xml:space="preserve">for outcome prediction, was not significantly associated with learning performance in either group (controls: </w:t>
      </w:r>
      <w:r w:rsidR="001A09CB">
        <w:rPr>
          <w:rFonts w:ascii="Arial" w:hAnsi="Arial" w:cs="Arial"/>
        </w:rPr>
        <w:t>r</w:t>
      </w:r>
      <w:r w:rsidRPr="00C252D5">
        <w:rPr>
          <w:rFonts w:ascii="Arial" w:hAnsi="Arial" w:cs="Arial"/>
        </w:rPr>
        <w:t xml:space="preserve"> = 0.</w:t>
      </w:r>
      <w:r w:rsidR="00EA5701">
        <w:rPr>
          <w:rFonts w:ascii="Arial" w:hAnsi="Arial" w:cs="Arial"/>
        </w:rPr>
        <w:t>26</w:t>
      </w:r>
      <w:r w:rsidRPr="00C252D5">
        <w:rPr>
          <w:rFonts w:ascii="Arial" w:hAnsi="Arial" w:cs="Arial"/>
        </w:rPr>
        <w:t>, p = 0.</w:t>
      </w:r>
      <w:r w:rsidR="00EA5701">
        <w:rPr>
          <w:rFonts w:ascii="Arial" w:hAnsi="Arial" w:cs="Arial"/>
        </w:rPr>
        <w:t>17</w:t>
      </w:r>
      <w:r w:rsidRPr="00C252D5">
        <w:rPr>
          <w:rFonts w:ascii="Arial" w:hAnsi="Arial" w:cs="Arial"/>
        </w:rPr>
        <w:t xml:space="preserve">; stroke: </w:t>
      </w:r>
      <w:r w:rsidR="00EA5701">
        <w:rPr>
          <w:rFonts w:ascii="Arial" w:hAnsi="Arial" w:cs="Arial"/>
        </w:rPr>
        <w:t>r</w:t>
      </w:r>
      <w:r w:rsidRPr="00C252D5">
        <w:rPr>
          <w:rFonts w:ascii="Arial" w:hAnsi="Arial" w:cs="Arial"/>
        </w:rPr>
        <w:t xml:space="preserve"> = −0.</w:t>
      </w:r>
      <w:r w:rsidR="00897B39">
        <w:rPr>
          <w:rFonts w:ascii="Arial" w:hAnsi="Arial" w:cs="Arial"/>
        </w:rPr>
        <w:t>22</w:t>
      </w:r>
      <w:r w:rsidRPr="00C252D5">
        <w:rPr>
          <w:rFonts w:ascii="Arial" w:hAnsi="Arial" w:cs="Arial"/>
        </w:rPr>
        <w:t>, p = 0.</w:t>
      </w:r>
      <w:r w:rsidR="00897B39">
        <w:rPr>
          <w:rFonts w:ascii="Arial" w:hAnsi="Arial" w:cs="Arial"/>
        </w:rPr>
        <w:t>27</w:t>
      </w:r>
      <w:r w:rsidRPr="00C252D5">
        <w:rPr>
          <w:rFonts w:ascii="Arial" w:hAnsi="Arial" w:cs="Arial"/>
        </w:rPr>
        <w:t xml:space="preserve">), and the difference between correlation coefficients </w:t>
      </w:r>
      <w:r w:rsidR="002A267B">
        <w:rPr>
          <w:rFonts w:ascii="Arial" w:hAnsi="Arial" w:cs="Arial"/>
        </w:rPr>
        <w:t xml:space="preserve">did not reach statistical </w:t>
      </w:r>
      <w:r w:rsidRPr="00C252D5">
        <w:rPr>
          <w:rFonts w:ascii="Arial" w:hAnsi="Arial" w:cs="Arial"/>
        </w:rPr>
        <w:t>significan</w:t>
      </w:r>
      <w:r w:rsidR="002A267B">
        <w:rPr>
          <w:rFonts w:ascii="Arial" w:hAnsi="Arial" w:cs="Arial"/>
        </w:rPr>
        <w:t>ce</w:t>
      </w:r>
      <w:r w:rsidRPr="00C252D5">
        <w:rPr>
          <w:rFonts w:ascii="Arial" w:hAnsi="Arial" w:cs="Arial"/>
        </w:rPr>
        <w:t xml:space="preserve"> (Fisher z = 1.</w:t>
      </w:r>
      <w:r w:rsidR="001A09CB">
        <w:rPr>
          <w:rFonts w:ascii="Arial" w:hAnsi="Arial" w:cs="Arial"/>
        </w:rPr>
        <w:t>74</w:t>
      </w:r>
      <w:r w:rsidRPr="00C252D5">
        <w:rPr>
          <w:rFonts w:ascii="Arial" w:hAnsi="Arial" w:cs="Arial"/>
        </w:rPr>
        <w:t>, p = 0.</w:t>
      </w:r>
      <w:r w:rsidR="00653983">
        <w:rPr>
          <w:rFonts w:ascii="Arial" w:hAnsi="Arial" w:cs="Arial"/>
        </w:rPr>
        <w:t>08</w:t>
      </w:r>
      <w:r w:rsidRPr="00C252D5">
        <w:rPr>
          <w:rFonts w:ascii="Arial" w:hAnsi="Arial" w:cs="Arial"/>
        </w:rPr>
        <w:t>).</w:t>
      </w:r>
    </w:p>
    <w:p w14:paraId="48CD8F5C" w14:textId="693FC674" w:rsidR="0063090F" w:rsidRDefault="00C252D5" w:rsidP="000F39FF">
      <w:pPr>
        <w:pStyle w:val="StandardWeb"/>
        <w:contextualSpacing/>
        <w:rPr>
          <w:rFonts w:ascii="Arial" w:hAnsi="Arial" w:cs="Arial"/>
        </w:rPr>
      </w:pPr>
      <w:r w:rsidRPr="00C252D5">
        <w:rPr>
          <w:rFonts w:ascii="Arial" w:hAnsi="Arial" w:cs="Arial"/>
        </w:rPr>
        <w:t>In a secondary hemisphere-specific analysis, within-hemisphere DMN modulation in the right hemisphere (</w:t>
      </w:r>
      <w:proofErr w:type="spellStart"/>
      <w:r w:rsidRPr="00C252D5">
        <w:rPr>
          <w:rFonts w:ascii="Arial" w:hAnsi="Arial" w:cs="Arial"/>
        </w:rPr>
        <w:t>ΔDMN_right</w:t>
      </w:r>
      <w:proofErr w:type="spellEnd"/>
      <w:r w:rsidRPr="00C252D5">
        <w:rPr>
          <w:rFonts w:ascii="Arial" w:hAnsi="Arial" w:cs="Arial"/>
        </w:rPr>
        <w:t>) showed a robust behaviour–network coupling in controls (</w:t>
      </w:r>
      <w:r w:rsidR="00F55426" w:rsidRPr="00F55426">
        <w:rPr>
          <w:rFonts w:ascii="Arial" w:hAnsi="Arial" w:cs="Arial"/>
        </w:rPr>
        <w:t>r = 0.60, p = 7.14×10</w:t>
      </w:r>
      <w:r w:rsidR="00F55426" w:rsidRPr="00F55426">
        <w:rPr>
          <w:rFonts w:ascii="Cambria Math" w:hAnsi="Cambria Math" w:cs="Cambria Math"/>
        </w:rPr>
        <w:t>⁻</w:t>
      </w:r>
      <w:r w:rsidR="00F55426" w:rsidRPr="00F55426">
        <w:rPr>
          <w:rFonts w:ascii="Arial" w:hAnsi="Arial" w:cs="Arial"/>
        </w:rPr>
        <w:t>⁴)</w:t>
      </w:r>
      <w:r w:rsidRPr="00C252D5">
        <w:rPr>
          <w:rFonts w:ascii="Arial" w:hAnsi="Arial" w:cs="Arial"/>
        </w:rPr>
        <w:t>, which was absent in stroke patients (</w:t>
      </w:r>
      <w:r w:rsidR="00DE47E2" w:rsidRPr="00DE47E2">
        <w:rPr>
          <w:rFonts w:ascii="Arial" w:hAnsi="Arial" w:cs="Arial"/>
        </w:rPr>
        <w:t>r = −0.07, p = 0.737</w:t>
      </w:r>
      <w:r w:rsidRPr="00C252D5">
        <w:rPr>
          <w:rFonts w:ascii="Arial" w:hAnsi="Arial" w:cs="Arial"/>
        </w:rPr>
        <w:t xml:space="preserve">). This yielded a significant between-group difference </w:t>
      </w:r>
      <w:r w:rsidR="002E199C" w:rsidRPr="002E199C">
        <w:rPr>
          <w:rFonts w:ascii="Arial" w:hAnsi="Arial" w:cs="Arial"/>
        </w:rPr>
        <w:t>(Fisher z = 2.69, p = 0.007)</w:t>
      </w:r>
      <w:r w:rsidRPr="00C252D5">
        <w:rPr>
          <w:rFonts w:ascii="Arial" w:hAnsi="Arial" w:cs="Arial"/>
        </w:rPr>
        <w:t>, consistent with behavioural–network decoupling in the acute stage.</w:t>
      </w:r>
    </w:p>
    <w:p w14:paraId="2718DF11" w14:textId="7D7445D5" w:rsidR="00233418" w:rsidRPr="0063090F" w:rsidRDefault="001B0DF9" w:rsidP="000F39FF">
      <w:pPr>
        <w:pStyle w:val="StandardWeb"/>
        <w:rPr>
          <w:rFonts w:ascii="Arial" w:hAnsi="Arial" w:cs="Arial"/>
        </w:rPr>
      </w:pPr>
      <w:r w:rsidRPr="001B0DF9">
        <w:rPr>
          <w:rFonts w:ascii="Arial" w:hAnsi="Arial" w:cs="Arial"/>
        </w:rPr>
        <w:t>Building on these mechanistic patient–control differences and the behavioural–network decoupling pattern, we next tested whether acute-stage markers provide incremental prognostic information for subsequent upper-limb motor outcome.</w:t>
      </w:r>
    </w:p>
    <w:p w14:paraId="11018B06" w14:textId="77777777" w:rsidR="0063090F" w:rsidRPr="0063090F" w:rsidRDefault="0063090F" w:rsidP="0059013C">
      <w:pPr>
        <w:pStyle w:val="Ueberschrift02"/>
      </w:pPr>
      <w:r w:rsidRPr="0063090F">
        <w:t>Prognostic value for motor recovery (stroke group)</w:t>
      </w:r>
    </w:p>
    <w:p w14:paraId="033F2D6A" w14:textId="77777777" w:rsidR="0063090F" w:rsidRPr="0063090F" w:rsidRDefault="0063090F" w:rsidP="007A2EBA">
      <w:pPr>
        <w:pStyle w:val="StandardWeb"/>
        <w:contextualSpacing/>
        <w:rPr>
          <w:rFonts w:ascii="Arial" w:hAnsi="Arial" w:cs="Arial"/>
        </w:rPr>
      </w:pPr>
      <w:r w:rsidRPr="0063090F">
        <w:rPr>
          <w:rFonts w:ascii="Arial" w:hAnsi="Arial" w:cs="Arial"/>
        </w:rPr>
        <w:t>Primary endpoint: FMUE at 6 weeks</w:t>
      </w:r>
    </w:p>
    <w:p w14:paraId="2DB87F5E" w14:textId="08310944" w:rsidR="007A2EBA" w:rsidRPr="007A2EBA" w:rsidRDefault="007A2EBA" w:rsidP="007A2EBA">
      <w:pPr>
        <w:pStyle w:val="StandardWeb"/>
        <w:contextualSpacing/>
        <w:rPr>
          <w:rFonts w:ascii="Arial" w:hAnsi="Arial" w:cs="Arial"/>
        </w:rPr>
      </w:pPr>
      <w:r w:rsidRPr="007A2EBA">
        <w:rPr>
          <w:rFonts w:ascii="Arial" w:hAnsi="Arial" w:cs="Arial"/>
        </w:rPr>
        <w:t>For the primary endpoint (FMUE_6w), the base model (</w:t>
      </w:r>
      <w:proofErr w:type="spellStart"/>
      <w:r w:rsidRPr="007A2EBA">
        <w:rPr>
          <w:rFonts w:ascii="Arial" w:hAnsi="Arial" w:cs="Arial"/>
        </w:rPr>
        <w:t>FMUE_baseline</w:t>
      </w:r>
      <w:proofErr w:type="spellEnd"/>
      <w:r w:rsidRPr="007A2EBA">
        <w:rPr>
          <w:rFonts w:ascii="Arial" w:hAnsi="Arial" w:cs="Arial"/>
        </w:rPr>
        <w:t xml:space="preserve">, </w:t>
      </w:r>
      <w:r w:rsidR="003828CE">
        <w:rPr>
          <w:rFonts w:ascii="Arial" w:hAnsi="Arial" w:cs="Arial"/>
        </w:rPr>
        <w:t>days to scan</w:t>
      </w:r>
      <w:r w:rsidRPr="007A2EBA">
        <w:rPr>
          <w:rFonts w:ascii="Arial" w:hAnsi="Arial" w:cs="Arial"/>
        </w:rPr>
        <w:t xml:space="preserve">, </w:t>
      </w:r>
      <w:r w:rsidR="003828CE">
        <w:rPr>
          <w:rFonts w:ascii="Arial" w:hAnsi="Arial" w:cs="Arial"/>
        </w:rPr>
        <w:t>log lesion volume</w:t>
      </w:r>
      <w:r w:rsidRPr="007A2EBA">
        <w:rPr>
          <w:rFonts w:ascii="Arial" w:hAnsi="Arial" w:cs="Arial"/>
        </w:rPr>
        <w:t xml:space="preserve">) explained R² = 0.253. Adding </w:t>
      </w:r>
      <w:r w:rsidR="00722694">
        <w:rPr>
          <w:rFonts w:ascii="Arial" w:hAnsi="Arial" w:cs="Arial"/>
        </w:rPr>
        <w:t>ΔDMN_inter</w:t>
      </w:r>
      <w:r w:rsidRPr="007A2EBA">
        <w:rPr>
          <w:rFonts w:ascii="Arial" w:hAnsi="Arial" w:cs="Arial"/>
        </w:rPr>
        <w:t xml:space="preserve"> improved model fit (R² = 0.337; ΔR² = 0.083 vs base), whereas adding </w:t>
      </w:r>
      <w:r w:rsidR="00722694">
        <w:rPr>
          <w:rFonts w:ascii="Arial" w:hAnsi="Arial" w:cs="Arial"/>
        </w:rPr>
        <w:t>MST slope</w:t>
      </w:r>
      <w:r w:rsidRPr="007A2EBA">
        <w:rPr>
          <w:rFonts w:ascii="Arial" w:hAnsi="Arial" w:cs="Arial"/>
        </w:rPr>
        <w:t xml:space="preserve"> alone did not materially change explained variance (R² = 0.253). The full model (Base + </w:t>
      </w:r>
      <w:r w:rsidR="00722694">
        <w:rPr>
          <w:rFonts w:ascii="Arial" w:hAnsi="Arial" w:cs="Arial"/>
        </w:rPr>
        <w:t>ΔDMN_inter</w:t>
      </w:r>
      <w:r w:rsidRPr="007A2EBA">
        <w:rPr>
          <w:rFonts w:ascii="Arial" w:hAnsi="Arial" w:cs="Arial"/>
        </w:rPr>
        <w:t xml:space="preserve"> + </w:t>
      </w:r>
      <w:r w:rsidR="00722694">
        <w:rPr>
          <w:rFonts w:ascii="Arial" w:hAnsi="Arial" w:cs="Arial"/>
        </w:rPr>
        <w:t>MST slope</w:t>
      </w:r>
      <w:r w:rsidRPr="007A2EBA">
        <w:rPr>
          <w:rFonts w:ascii="Arial" w:hAnsi="Arial" w:cs="Arial"/>
        </w:rPr>
        <w:t xml:space="preserve">) explained R² = 0.344 (ΔR² = 0.091 vs base). Order-sensitive comparisons indicated that incremental variance was primarily attributable to </w:t>
      </w:r>
      <w:r w:rsidR="00722694">
        <w:rPr>
          <w:rFonts w:ascii="Arial" w:hAnsi="Arial" w:cs="Arial"/>
        </w:rPr>
        <w:t>ΔDMN_inter</w:t>
      </w:r>
      <w:r w:rsidRPr="007A2EBA">
        <w:rPr>
          <w:rFonts w:ascii="Arial" w:hAnsi="Arial" w:cs="Arial"/>
        </w:rPr>
        <w:t xml:space="preserve"> (ΔR² adding </w:t>
      </w:r>
      <w:r w:rsidR="00722694">
        <w:rPr>
          <w:rFonts w:ascii="Arial" w:hAnsi="Arial" w:cs="Arial"/>
        </w:rPr>
        <w:t>ΔDMN_inter</w:t>
      </w:r>
      <w:r w:rsidRPr="007A2EBA">
        <w:rPr>
          <w:rFonts w:ascii="Arial" w:hAnsi="Arial" w:cs="Arial"/>
        </w:rPr>
        <w:t xml:space="preserve"> after </w:t>
      </w:r>
      <w:r w:rsidR="00722694">
        <w:rPr>
          <w:rFonts w:ascii="Arial" w:hAnsi="Arial" w:cs="Arial"/>
        </w:rPr>
        <w:t>MST slope</w:t>
      </w:r>
      <w:r w:rsidRPr="007A2EBA">
        <w:rPr>
          <w:rFonts w:ascii="Arial" w:hAnsi="Arial" w:cs="Arial"/>
        </w:rPr>
        <w:t xml:space="preserve"> = 0.0905), while </w:t>
      </w:r>
      <w:r w:rsidR="00722694">
        <w:rPr>
          <w:rFonts w:ascii="Arial" w:hAnsi="Arial" w:cs="Arial"/>
        </w:rPr>
        <w:t>MST slope</w:t>
      </w:r>
      <w:r w:rsidRPr="007A2EBA">
        <w:rPr>
          <w:rFonts w:ascii="Arial" w:hAnsi="Arial" w:cs="Arial"/>
        </w:rPr>
        <w:t xml:space="preserve"> added little beyond </w:t>
      </w:r>
      <w:r w:rsidR="00722694">
        <w:rPr>
          <w:rFonts w:ascii="Arial" w:hAnsi="Arial" w:cs="Arial"/>
        </w:rPr>
        <w:t>ΔDMN_inter</w:t>
      </w:r>
      <w:r w:rsidRPr="007A2EBA">
        <w:rPr>
          <w:rFonts w:ascii="Arial" w:hAnsi="Arial" w:cs="Arial"/>
        </w:rPr>
        <w:t xml:space="preserve"> (ΔR² adding </w:t>
      </w:r>
      <w:r w:rsidR="00722694">
        <w:rPr>
          <w:rFonts w:ascii="Arial" w:hAnsi="Arial" w:cs="Arial"/>
        </w:rPr>
        <w:t>MST slope</w:t>
      </w:r>
      <w:r w:rsidRPr="007A2EBA">
        <w:rPr>
          <w:rFonts w:ascii="Arial" w:hAnsi="Arial" w:cs="Arial"/>
        </w:rPr>
        <w:t xml:space="preserve"> after </w:t>
      </w:r>
      <w:r w:rsidR="00722694">
        <w:rPr>
          <w:rFonts w:ascii="Arial" w:hAnsi="Arial" w:cs="Arial"/>
        </w:rPr>
        <w:t>ΔDMN_inter</w:t>
      </w:r>
      <w:r w:rsidRPr="007A2EBA">
        <w:rPr>
          <w:rFonts w:ascii="Arial" w:hAnsi="Arial" w:cs="Arial"/>
        </w:rPr>
        <w:t xml:space="preserve"> = 0.0075). Inclusion of interhemispheric motor-network modulation as a negative control did not materially change conclusions.</w:t>
      </w:r>
      <w:r w:rsidR="007D737A">
        <w:rPr>
          <w:rFonts w:ascii="Arial" w:hAnsi="Arial" w:cs="Arial"/>
        </w:rPr>
        <w:t xml:space="preserve"> </w:t>
      </w:r>
      <w:r w:rsidR="007D737A" w:rsidRPr="007D737A">
        <w:rPr>
          <w:rFonts w:ascii="Arial" w:hAnsi="Arial" w:cs="Arial"/>
        </w:rPr>
        <w:t xml:space="preserve">Model summaries are shown in Table </w:t>
      </w:r>
      <w:r w:rsidR="007D737A">
        <w:rPr>
          <w:rFonts w:ascii="Arial" w:hAnsi="Arial" w:cs="Arial"/>
        </w:rPr>
        <w:t>1.</w:t>
      </w:r>
    </w:p>
    <w:p w14:paraId="0FA26874" w14:textId="6472CB2F" w:rsidR="007A2EBA" w:rsidRPr="007A2EBA" w:rsidRDefault="007A2EBA" w:rsidP="007A2EBA">
      <w:pPr>
        <w:pStyle w:val="StandardWeb"/>
        <w:contextualSpacing/>
        <w:rPr>
          <w:rFonts w:ascii="Arial" w:hAnsi="Arial" w:cs="Arial"/>
        </w:rPr>
      </w:pPr>
      <w:r w:rsidRPr="007A2EBA">
        <w:rPr>
          <w:rFonts w:ascii="Arial" w:hAnsi="Arial" w:cs="Arial"/>
        </w:rPr>
        <w:lastRenderedPageBreak/>
        <w:t xml:space="preserve">Resampling-based robustness analyses supported directionally consistent effects for </w:t>
      </w:r>
      <w:r w:rsidR="00722694">
        <w:rPr>
          <w:rFonts w:ascii="Arial" w:hAnsi="Arial" w:cs="Arial"/>
        </w:rPr>
        <w:t>ΔDMN_inter</w:t>
      </w:r>
      <w:r w:rsidRPr="007A2EBA">
        <w:rPr>
          <w:rFonts w:ascii="Arial" w:hAnsi="Arial" w:cs="Arial"/>
        </w:rPr>
        <w:t xml:space="preserve"> and stable ΔR² estimates (</w:t>
      </w:r>
      <w:r w:rsidR="00167CB6" w:rsidRPr="00167CB6">
        <w:rPr>
          <w:rFonts w:ascii="Arial" w:hAnsi="Arial" w:cs="Arial"/>
        </w:rPr>
        <w:t>Supplementary Table S3</w:t>
      </w:r>
      <w:r w:rsidRPr="007A2EBA">
        <w:rPr>
          <w:rFonts w:ascii="Arial" w:hAnsi="Arial" w:cs="Arial"/>
        </w:rPr>
        <w:t>).</w:t>
      </w:r>
    </w:p>
    <w:p w14:paraId="648DE149" w14:textId="77777777" w:rsidR="007A2EBA" w:rsidRPr="007A2EBA" w:rsidRDefault="007A2EBA" w:rsidP="007A2EBA">
      <w:pPr>
        <w:pStyle w:val="StandardWeb"/>
        <w:contextualSpacing/>
        <w:rPr>
          <w:rFonts w:ascii="Arial" w:hAnsi="Arial" w:cs="Arial"/>
        </w:rPr>
      </w:pPr>
    </w:p>
    <w:p w14:paraId="3208A1BC" w14:textId="77777777" w:rsidR="007A2EBA" w:rsidRPr="007A2EBA" w:rsidRDefault="007A2EBA" w:rsidP="00295A0B">
      <w:pPr>
        <w:pStyle w:val="Ueberschrift02"/>
      </w:pPr>
      <w:r w:rsidRPr="007A2EBA">
        <w:t>Secondary endpoint: FMUE_24w (ceiling-aware)</w:t>
      </w:r>
    </w:p>
    <w:p w14:paraId="2ED30D8E" w14:textId="4A17CF7F" w:rsidR="00045BF7" w:rsidRPr="00045BF7" w:rsidRDefault="007A2EBA" w:rsidP="007A2EBA">
      <w:pPr>
        <w:pStyle w:val="StandardWeb"/>
        <w:contextualSpacing/>
        <w:rPr>
          <w:rFonts w:ascii="Arial" w:hAnsi="Arial" w:cs="Arial"/>
        </w:rPr>
      </w:pPr>
      <w:r w:rsidRPr="007A2EBA">
        <w:rPr>
          <w:rFonts w:ascii="Arial" w:hAnsi="Arial" w:cs="Arial"/>
        </w:rPr>
        <w:t xml:space="preserve">For the secondary endpoint (FMUE_24w), explained variance was smaller (Base R² = 0.081; Full R² = 0.143; ΔR² = 0.062), consistent with reduced outcome variance at 24 weeks. </w:t>
      </w:r>
      <w:r w:rsidR="00722694">
        <w:rPr>
          <w:rFonts w:ascii="Arial" w:hAnsi="Arial" w:cs="Arial"/>
        </w:rPr>
        <w:t>ΔDMN_inter</w:t>
      </w:r>
      <w:r w:rsidRPr="007A2EBA">
        <w:rPr>
          <w:rFonts w:ascii="Arial" w:hAnsi="Arial" w:cs="Arial"/>
        </w:rPr>
        <w:t xml:space="preserve"> showed a modest incremental contribution (ΔR² = 0.048 when added to base), but results for this endpoint were interpreted cautiously due to ceiling effects</w:t>
      </w:r>
      <w:r w:rsidR="007D737A">
        <w:rPr>
          <w:rFonts w:ascii="Arial" w:hAnsi="Arial" w:cs="Arial"/>
        </w:rPr>
        <w:t xml:space="preserve">. </w:t>
      </w:r>
      <w:r w:rsidR="007D737A" w:rsidRPr="007D737A">
        <w:rPr>
          <w:rFonts w:ascii="Arial" w:hAnsi="Arial" w:cs="Arial"/>
        </w:rPr>
        <w:t xml:space="preserve">Model summaries are shown in Table </w:t>
      </w:r>
      <w:r w:rsidR="00295A0B">
        <w:rPr>
          <w:rFonts w:ascii="Arial" w:hAnsi="Arial" w:cs="Arial"/>
        </w:rPr>
        <w:t>2</w:t>
      </w:r>
      <w:r w:rsidR="007D737A">
        <w:rPr>
          <w:rFonts w:ascii="Arial" w:hAnsi="Arial" w:cs="Arial"/>
        </w:rPr>
        <w:t>;</w:t>
      </w:r>
      <w:r w:rsidRPr="007A2EBA">
        <w:rPr>
          <w:rFonts w:ascii="Arial" w:hAnsi="Arial" w:cs="Arial"/>
        </w:rPr>
        <w:t xml:space="preserve"> complementary ceiling-aware analyses are reported in the </w:t>
      </w:r>
      <w:r w:rsidR="00167CB6" w:rsidRPr="00167CB6">
        <w:rPr>
          <w:rFonts w:ascii="Arial" w:hAnsi="Arial" w:cs="Arial"/>
        </w:rPr>
        <w:t>Supplementary Table S3</w:t>
      </w:r>
      <w:r w:rsidRPr="007A2EBA">
        <w:rPr>
          <w:rFonts w:ascii="Arial" w:hAnsi="Arial" w:cs="Arial"/>
        </w:rPr>
        <w:t>.</w:t>
      </w:r>
    </w:p>
    <w:p w14:paraId="71BBD015" w14:textId="77777777" w:rsidR="00045BF7" w:rsidRPr="00045BF7" w:rsidRDefault="00045BF7" w:rsidP="00045BF7">
      <w:pPr>
        <w:pStyle w:val="StandardWeb"/>
        <w:contextualSpacing/>
        <w:rPr>
          <w:rFonts w:ascii="Arial" w:hAnsi="Arial" w:cs="Arial"/>
        </w:rPr>
      </w:pPr>
      <w:r w:rsidRPr="00045BF7">
        <w:rPr>
          <w:rFonts w:ascii="Arial" w:hAnsi="Arial" w:cs="Arial"/>
        </w:rPr>
        <w:t>Sensitivity analyses</w:t>
      </w:r>
    </w:p>
    <w:p w14:paraId="7BA6C0BF" w14:textId="77777777" w:rsidR="001D45CC" w:rsidRDefault="005D0181" w:rsidP="00045BF7">
      <w:pPr>
        <w:pStyle w:val="StandardWeb"/>
        <w:contextualSpacing/>
      </w:pPr>
      <w:r w:rsidRPr="005D0181">
        <w:rPr>
          <w:rFonts w:ascii="Arial" w:hAnsi="Arial" w:cs="Arial"/>
        </w:rPr>
        <w:t>In sensitivity analyses without hemisphere alignment, ΔR² estimates for ΔDMN_inter differed by &lt;0.005 compared with the primary analysis</w:t>
      </w:r>
      <w:r w:rsidR="00473258">
        <w:rPr>
          <w:rFonts w:ascii="Arial" w:hAnsi="Arial" w:cs="Arial"/>
        </w:rPr>
        <w:t xml:space="preserve"> </w:t>
      </w:r>
      <w:r w:rsidR="00473258" w:rsidRPr="00473258">
        <w:rPr>
          <w:rFonts w:ascii="Arial" w:hAnsi="Arial" w:cs="Arial"/>
        </w:rPr>
        <w:t>for the primary FMUE_6w prognostic model</w:t>
      </w:r>
      <w:r w:rsidRPr="005D0181">
        <w:rPr>
          <w:rFonts w:ascii="Arial" w:hAnsi="Arial" w:cs="Arial"/>
        </w:rPr>
        <w:t>, and regression coefficients remained directionally and statistically consistent.</w:t>
      </w:r>
      <w:r w:rsidR="001D45CC" w:rsidRPr="001D45CC">
        <w:t xml:space="preserve"> </w:t>
      </w:r>
    </w:p>
    <w:p w14:paraId="4C4FA9AA" w14:textId="77777777" w:rsidR="001D45CC" w:rsidRPr="001D45CC" w:rsidRDefault="001D45CC" w:rsidP="001D45CC">
      <w:pPr>
        <w:rPr>
          <w:rFonts w:ascii="Arial" w:hAnsi="Arial" w:cs="Arial"/>
        </w:rPr>
      </w:pPr>
    </w:p>
    <w:p w14:paraId="4275C191" w14:textId="77777777" w:rsidR="00EC09AB" w:rsidRPr="007E349F" w:rsidRDefault="00236DC6" w:rsidP="0059013C">
      <w:pPr>
        <w:pStyle w:val="Ueberschrift01"/>
      </w:pPr>
      <w:r w:rsidRPr="007E349F">
        <w:t>Discussion</w:t>
      </w:r>
    </w:p>
    <w:p w14:paraId="23D390EA" w14:textId="4DA194F1" w:rsidR="00F20E35" w:rsidRPr="00F20E35" w:rsidRDefault="00F20E35" w:rsidP="00F20E35">
      <w:pPr>
        <w:pStyle w:val="StandardWeb"/>
        <w:rPr>
          <w:rFonts w:ascii="Arial" w:hAnsi="Arial" w:cs="Arial"/>
        </w:rPr>
      </w:pPr>
      <w:r w:rsidRPr="00F20E35">
        <w:rPr>
          <w:rFonts w:ascii="Arial" w:hAnsi="Arial" w:cs="Arial"/>
        </w:rPr>
        <w:t>Stroke is increasingly conceptualized as a network disorder, in which a focal lesion triggers remote, system-wide dysfunction through disrupted structural and functional connections (“connectional/</w:t>
      </w:r>
      <w:proofErr w:type="spellStart"/>
      <w:r w:rsidRPr="00F20E35">
        <w:rPr>
          <w:rFonts w:ascii="Arial" w:hAnsi="Arial" w:cs="Arial"/>
        </w:rPr>
        <w:t>connectomal</w:t>
      </w:r>
      <w:proofErr w:type="spellEnd"/>
      <w:r w:rsidRPr="00F20E35">
        <w:rPr>
          <w:rFonts w:ascii="Arial" w:hAnsi="Arial" w:cs="Arial"/>
        </w:rPr>
        <w:t xml:space="preserve"> diaschisis”) </w:t>
      </w:r>
      <w:r w:rsidR="00355894">
        <w:rPr>
          <w:rFonts w:ascii="Arial" w:hAnsi="Arial" w:cs="Arial"/>
        </w:rPr>
        <w:fldChar w:fldCharType="begin"/>
      </w:r>
      <w:r w:rsidR="00355894">
        <w:rPr>
          <w:rFonts w:ascii="Arial" w:hAnsi="Arial" w:cs="Arial"/>
        </w:rPr>
        <w:instrText xml:space="preserve"> ADDIN ZOTERO_ITEM CSL_CITATION {"citationID":"VHAfMYhk","properties":{"formattedCitation":"(Carrera &amp; Tononi, 2014)","plainCitation":"(Carrera &amp; Tononi, 2014)","noteIndex":0},"citationItems":[{"id":13109,"uris":["http://zotero.org/groups/2239043/items/87W7JVVC"],"itemData":{"id":13109,"type":"article-journal","container-title":"Brain","DOI":"10.1093/brain/awu101","ISSN":"1460-2156, 0006-8950","issue":"9","language":"en","page":"2408-2422","source":"DOI.org (Crossref)","title":"Diaschisis: past, present, future","title-short":"Diaschisis","volume":"137","author":[{"family":"Carrera","given":"Emmanuel"},{"family":"Tononi","given":"Giulio"}],"issued":{"date-parts":[["2014",9]]}}}],"schema":"https://github.com/citation-style-language/schema/raw/master/csl-citation.json"} </w:instrText>
      </w:r>
      <w:r w:rsidR="00355894">
        <w:rPr>
          <w:rFonts w:ascii="Arial" w:hAnsi="Arial" w:cs="Arial"/>
        </w:rPr>
        <w:fldChar w:fldCharType="separate"/>
      </w:r>
      <w:r w:rsidR="00355894" w:rsidRPr="00355894">
        <w:rPr>
          <w:rFonts w:ascii="Arial" w:hAnsi="Arial" w:cs="Arial"/>
        </w:rPr>
        <w:t>(Carrera &amp; Tononi, 2014)</w:t>
      </w:r>
      <w:r w:rsidR="00355894">
        <w:rPr>
          <w:rFonts w:ascii="Arial" w:hAnsi="Arial" w:cs="Arial"/>
        </w:rPr>
        <w:fldChar w:fldCharType="end"/>
      </w:r>
      <w:r w:rsidRPr="00F20E35">
        <w:rPr>
          <w:rFonts w:ascii="Arial" w:hAnsi="Arial" w:cs="Arial"/>
        </w:rPr>
        <w:t>. In this acute cohort, we observed three converging findings: (</w:t>
      </w:r>
      <w:proofErr w:type="spellStart"/>
      <w:r w:rsidRPr="00F20E35">
        <w:rPr>
          <w:rFonts w:ascii="Arial" w:hAnsi="Arial" w:cs="Arial"/>
        </w:rPr>
        <w:t>i</w:t>
      </w:r>
      <w:proofErr w:type="spellEnd"/>
      <w:r w:rsidRPr="00F20E35">
        <w:rPr>
          <w:rFonts w:ascii="Arial" w:hAnsi="Arial" w:cs="Arial"/>
        </w:rPr>
        <w:t xml:space="preserve">) motor sequence learning was markedly impaired within days after stroke despite task execution with the clinically unaffected hand, (ii) prespecified interhemispheric DMN flexibility (ΔDMN_inter) provided incremental explanatory value for upper-limb outcome at 6 weeks beyond </w:t>
      </w:r>
      <w:r w:rsidRPr="00F20E35">
        <w:rPr>
          <w:rFonts w:ascii="Arial" w:hAnsi="Arial" w:cs="Arial"/>
        </w:rPr>
        <w:lastRenderedPageBreak/>
        <w:t>baseline impairment, time-to-scan, and lesion volume with stable directionality in robustness analyses, and (iii) the normal behaviour–network coupling between right-hemispheric DMN modulation (</w:t>
      </w:r>
      <w:proofErr w:type="spellStart"/>
      <w:r w:rsidRPr="00F20E35">
        <w:rPr>
          <w:rFonts w:ascii="Arial" w:hAnsi="Arial" w:cs="Arial"/>
        </w:rPr>
        <w:t>ΔDMN_right</w:t>
      </w:r>
      <w:proofErr w:type="spellEnd"/>
      <w:r w:rsidRPr="00F20E35">
        <w:rPr>
          <w:rFonts w:ascii="Arial" w:hAnsi="Arial" w:cs="Arial"/>
        </w:rPr>
        <w:t>) and learning seen in controls was absent in patients. Motor-network interhemispheric modulation served as a negative control and did not add prognostic signal.</w:t>
      </w:r>
    </w:p>
    <w:p w14:paraId="599DF56F" w14:textId="6C7BC1D2" w:rsidR="00F20E35" w:rsidRPr="00F20E35" w:rsidRDefault="00F20E35" w:rsidP="00F20E35">
      <w:pPr>
        <w:pStyle w:val="StandardWeb"/>
        <w:rPr>
          <w:rFonts w:ascii="Arial" w:hAnsi="Arial" w:cs="Arial"/>
        </w:rPr>
      </w:pPr>
      <w:r w:rsidRPr="00F20E35">
        <w:rPr>
          <w:rFonts w:ascii="Arial" w:hAnsi="Arial" w:cs="Arial"/>
        </w:rPr>
        <w:t xml:space="preserve">Large cohort work shows that post-stroke connectivity disruptions—especially reduced interhemispheric integration—relate to impairment across behavioural domains, supporting a distributed network account of deficits and recovery (Siegel et al., 2016). Mechanistically, such functional abnormalities often reflect white-matter disconnection rather than damage to a single cortical node </w:t>
      </w:r>
      <w:r w:rsidR="00355894">
        <w:rPr>
          <w:rFonts w:ascii="Arial" w:hAnsi="Arial" w:cs="Arial"/>
        </w:rPr>
        <w:fldChar w:fldCharType="begin"/>
      </w:r>
      <w:r w:rsidR="00355894">
        <w:rPr>
          <w:rFonts w:ascii="Arial" w:hAnsi="Arial" w:cs="Arial"/>
        </w:rPr>
        <w:instrText xml:space="preserve"> ADDIN ZOTERO_ITEM CSL_CITATION {"citationID":"SypXD3tA","properties":{"formattedCitation":"(Griffis et al., 2019)","plainCitation":"(Griffis et al., 2019)","noteIndex":0},"citationItems":[{"id":13118,"uris":["http://zotero.org/groups/2239043/items/5IV298LP"],"itemData":{"id":13118,"type":"article-journal","container-title":"Cell Reports","DOI":"10.1016/j.celrep.2019.07.100","ISSN":"22111247","issue":"10","journalAbbreviation":"Cell Reports","language":"en","page":"2527-2540.e9","source":"DOI.org (Crossref)","title":"Structural Disconnections Explain Brain Network Dysfunction after Stroke","volume":"28","author":[{"family":"Griffis","given":"Joseph C."},{"family":"Metcalf","given":"Nicholas V."},{"family":"Corbetta","given":"Maurizio"},{"family":"Shulman","given":"Gordon L."}],"issued":{"date-parts":[["2019",9]]}}}],"schema":"https://github.com/citation-style-language/schema/raw/master/csl-citation.json"} </w:instrText>
      </w:r>
      <w:r w:rsidR="00355894">
        <w:rPr>
          <w:rFonts w:ascii="Arial" w:hAnsi="Arial" w:cs="Arial"/>
        </w:rPr>
        <w:fldChar w:fldCharType="separate"/>
      </w:r>
      <w:r w:rsidR="00355894" w:rsidRPr="00355894">
        <w:rPr>
          <w:rFonts w:ascii="Arial" w:hAnsi="Arial" w:cs="Arial"/>
        </w:rPr>
        <w:t>(Griffis et al., 2019)</w:t>
      </w:r>
      <w:r w:rsidR="00355894">
        <w:rPr>
          <w:rFonts w:ascii="Arial" w:hAnsi="Arial" w:cs="Arial"/>
        </w:rPr>
        <w:fldChar w:fldCharType="end"/>
      </w:r>
      <w:r w:rsidRPr="00F20E35">
        <w:rPr>
          <w:rFonts w:ascii="Arial" w:hAnsi="Arial" w:cs="Arial"/>
        </w:rPr>
        <w:t xml:space="preserve">. Within this systems framework, the DMN is not merely “task-negative” but participates in demand-dependent reconfiguration and interactions with control/salience systems that coordinate internal–external mode switching </w:t>
      </w:r>
      <w:r w:rsidR="00425E3E">
        <w:rPr>
          <w:rFonts w:ascii="Arial" w:hAnsi="Arial" w:cs="Arial"/>
        </w:rPr>
        <w:fldChar w:fldCharType="begin"/>
      </w:r>
      <w:r w:rsidR="00425E3E">
        <w:rPr>
          <w:rFonts w:ascii="Arial" w:hAnsi="Arial" w:cs="Arial"/>
        </w:rPr>
        <w:instrText xml:space="preserve"> ADDIN ZOTERO_ITEM CSL_CITATION {"citationID":"gvVFmr9w","properties":{"formattedCitation":"(Menon, 2023; Menon &amp; Uddin, 2010; Spreng et al., 2010)","plainCitation":"(Menon, 2023; Menon &amp; Uddin, 2010; Spreng et al., 2010)","noteIndex":0},"citationItems":[{"id":13120,"uris":["http://zotero.org/groups/2239043/items/VEZGR9RS"],"itemData":{"id":13120,"type":"article-journal","container-title":"Neuron","DOI":"10.1016/j.neuron.2023.04.023","ISSN":"08966273","issue":"16","journalAbbreviation":"Neuron","language":"en","page":"2469-2487","source":"DOI.org (Crossref)","title":"20 years of the default mode network: A review and synthesis","title-short":"20 years of the default mode network","volume":"111","author":[{"family":"Menon","given":"Vinod"}],"issued":{"date-parts":[["2023",8]]}}},{"id":13111,"uris":["http://zotero.org/groups/2239043/items/WNS2L36Q"],"itemData":{"id":13111,"type":"article-journal","container-title":"Brain Structure and Function","DOI":"10.1007/s00429-010-0262-0","ISSN":"1863-2653, 1863-2661","issue":"5-6","journalAbbreviation":"Brain Struct Funct","language":"en","license":"http://www.springer.com/tdm","page":"655-667","source":"DOI.org (Crossref)","title":"Saliency, switching, attention and control: a network model of insula function","title-short":"Saliency, switching, attention and control","volume":"214","author":[{"family":"Menon","given":"Vinod"},{"family":"Uddin","given":"Lucina Q."}],"issued":{"date-parts":[["2010",6]]}}},{"id":13112,"uris":["http://zotero.org/groups/2239043/items/GHAD3UUV"],"itemData":{"id":13112,"type":"article-journal","container-title":"NeuroImage","DOI":"10.1016/j.neuroimage.2010.06.016","ISSN":"10538119","issue":"1","journalAbbreviation":"NeuroImage","language":"en","license":"https://www.elsevier.com/tdm/userlicense/1.0/","page":"303-317","source":"DOI.org (Crossref)","title":"Default network activity, coupled with the frontoparietal control network, supports goal-directed cognition","volume":"53","author":[{"family":"Spreng","given":"R. Nathan"},{"family":"Stevens","given":"W. Dale"},{"family":"Chamberlain","given":"Jon P."},{"family":"Gilmore","given":"Adrian W."},{"family":"Schacter","given":"Daniel L."}],"issued":{"date-parts":[["2010",10]]}}}],"schema":"https://github.com/citation-style-language/schema/raw/master/csl-citation.json"} </w:instrText>
      </w:r>
      <w:r w:rsidR="00425E3E">
        <w:rPr>
          <w:rFonts w:ascii="Arial" w:hAnsi="Arial" w:cs="Arial"/>
        </w:rPr>
        <w:fldChar w:fldCharType="separate"/>
      </w:r>
      <w:r w:rsidR="00425E3E" w:rsidRPr="00425E3E">
        <w:rPr>
          <w:rFonts w:ascii="Arial" w:hAnsi="Arial" w:cs="Arial"/>
        </w:rPr>
        <w:t>(Menon, 2023; Menon &amp; Uddin, 2010; Spreng et al., 2010)</w:t>
      </w:r>
      <w:r w:rsidR="00425E3E">
        <w:rPr>
          <w:rFonts w:ascii="Arial" w:hAnsi="Arial" w:cs="Arial"/>
        </w:rPr>
        <w:fldChar w:fldCharType="end"/>
      </w:r>
      <w:r w:rsidRPr="00F20E35">
        <w:rPr>
          <w:rFonts w:ascii="Arial" w:hAnsi="Arial" w:cs="Arial"/>
        </w:rPr>
        <w:t>.</w:t>
      </w:r>
    </w:p>
    <w:p w14:paraId="1BDD9930" w14:textId="77777777" w:rsidR="00F20E35" w:rsidRPr="00F20E35" w:rsidRDefault="00F20E35" w:rsidP="00F20E35">
      <w:pPr>
        <w:pStyle w:val="StandardWeb"/>
        <w:rPr>
          <w:rFonts w:ascii="Arial" w:hAnsi="Arial" w:cs="Arial"/>
        </w:rPr>
      </w:pPr>
    </w:p>
    <w:p w14:paraId="1F4A9590" w14:textId="77777777" w:rsidR="00F20E35" w:rsidRPr="00F20E35" w:rsidRDefault="00F20E35" w:rsidP="00F20E35">
      <w:pPr>
        <w:pStyle w:val="StandardWeb"/>
        <w:rPr>
          <w:rFonts w:ascii="Arial" w:hAnsi="Arial" w:cs="Arial"/>
        </w:rPr>
      </w:pPr>
      <w:r w:rsidRPr="00F20E35">
        <w:rPr>
          <w:rFonts w:ascii="Arial" w:hAnsi="Arial" w:cs="Arial"/>
        </w:rPr>
        <w:t xml:space="preserve">Two-component DMN resilience: modulation and reintegration. Together, our results motivate a two-component view of DMN-based network resilience after stroke. One component reflects adaptive, demand-sensitive modulation during learning (captured by </w:t>
      </w:r>
      <w:proofErr w:type="spellStart"/>
      <w:r w:rsidRPr="00F20E35">
        <w:rPr>
          <w:rFonts w:ascii="Arial" w:hAnsi="Arial" w:cs="Arial"/>
        </w:rPr>
        <w:t>ΔDMN_right</w:t>
      </w:r>
      <w:proofErr w:type="spellEnd"/>
      <w:r w:rsidRPr="00F20E35">
        <w:rPr>
          <w:rFonts w:ascii="Arial" w:hAnsi="Arial" w:cs="Arial"/>
        </w:rPr>
        <w:t>), which in intact brains aligns with behavioural gain but becomes behaviourally decoupled in the acute post-stroke phase. The second component reflects post-demand re-integration capacity (captured by ΔDMN_inter), indexing the ability to re-establish interhemispheric coordination after a behavioural challenge. This reintegration component is expected to relate more directly to near-term clinical outcome, whereas the modulation component is closer to task-bound resource allocation.</w:t>
      </w:r>
    </w:p>
    <w:p w14:paraId="5E64A941" w14:textId="77777777" w:rsidR="00F20E35" w:rsidRPr="00F20E35" w:rsidRDefault="00F20E35" w:rsidP="00F20E35">
      <w:pPr>
        <w:pStyle w:val="Ueberschrift02"/>
      </w:pPr>
      <w:r w:rsidRPr="00F20E35">
        <w:lastRenderedPageBreak/>
        <w:t>Acute interhemispheric DMN flexibility as an early outcome marker</w:t>
      </w:r>
    </w:p>
    <w:p w14:paraId="53456BE5" w14:textId="192537CD" w:rsidR="00F20E35" w:rsidRPr="00F20E35" w:rsidRDefault="00F20E35" w:rsidP="00F20E35">
      <w:pPr>
        <w:pStyle w:val="StandardWeb"/>
        <w:rPr>
          <w:rFonts w:ascii="Arial" w:hAnsi="Arial" w:cs="Arial"/>
        </w:rPr>
      </w:pPr>
      <w:r w:rsidRPr="00F20E35">
        <w:rPr>
          <w:rFonts w:ascii="Arial" w:hAnsi="Arial" w:cs="Arial"/>
        </w:rPr>
        <w:t xml:space="preserve">In this hypothesis-driven, prespecified modelling framework, ΔDMN_inter provided incremental explanatory value for FMUE at 6 weeks beyond baseline impairment, time-to-scan, and lesion volume. ΔDMN_inter should be interpreted as a conservative candidate marker: the predictor set was intentionally small, we avoided feature selection, and robustness checks emphasized stability of direction rather than maximal fit. Conceptually, interhemispheric coherence is a widespread axis of post-stroke dysfunction and relates to impairment across domains </w:t>
      </w:r>
      <w:r w:rsidR="00425E3E">
        <w:rPr>
          <w:rFonts w:ascii="Arial" w:hAnsi="Arial" w:cs="Arial"/>
        </w:rPr>
        <w:fldChar w:fldCharType="begin"/>
      </w:r>
      <w:r w:rsidR="00425E3E">
        <w:rPr>
          <w:rFonts w:ascii="Arial" w:hAnsi="Arial" w:cs="Arial"/>
        </w:rPr>
        <w:instrText xml:space="preserve"> ADDIN ZOTERO_ITEM CSL_CITATION {"citationID":"pWEE8NmL","properties":{"formattedCitation":"(Siegel et al., 2016)","plainCitation":"(Siegel et al., 2016)","noteIndex":0},"citationItems":[{"id":13116,"uris":["http://zotero.org/groups/2239043/items/V8VQDAZ5"],"itemData":{"id":13116,"type":"article-journal","abstract":"Significance\n            Since the early days of neuroscience, the relative merit of structural vs. functional network accounts in explaining neurological deficits has been intensely debated. Using a large stroke cohort and a machine-learning approach, we show that visual memory and verbal memory deficits are better predicted by functional connectivity than by lesion location, and visual and motor deficits are better predicted by lesion location than functional connectivity. In addition, we show that disruption to a subset of cortical areas predicts general cognitive deficit (spanning multiple behavior domains). These results shed light on the complementary value of structural vs. functional accounts of stroke, and provide a physiological mechanism for general multidomain deficits seen after stroke.\n          , \n            Deficits following stroke are classically attributed to focal damage, but recent evidence suggests a key role of distributed brain network disruption. We measured resting functional connectivity (FC), lesion topography, and behavior in multiple domains (attention, visual memory, verbal memory, language, motor, and visual) in a cohort of 132 stroke patients, and used machine-learning models to predict neurological impairment in individual subjects. We found that visual memory and verbal memory were better predicted by FC, whereas visual and motor impairments were better predicted by lesion topography. Attention and language deficits were well predicted by both. Next, we identified a general pattern of physiological network dysfunction consisting of decrease of interhemispheric integration and intrahemispheric segregation, which strongly related to behavioral impairment in multiple domains. Network-specific patterns of dysfunction predicted specific behavioral deficits, and loss of interhemispheric communication across a set of regions was associated with impairment across multiple behavioral domains. These results link key organizational features of brain networks to brain–behavior relationships in stroke.","container-title":"Proceedings of the National Academy of Sciences","DOI":"10.1073/pnas.1521083113","ISSN":"0027-8424, 1091-6490","issue":"30","journalAbbreviation":"Proc. Natl. Acad. Sci. U.S.A.","language":"en","source":"DOI.org (Crossref)","title":"Disruptions of network connectivity predict impairment in multiple behavioral domains after stroke","URL":"https://pnas.org/doi/full/10.1073/pnas.1521083113","volume":"113","author":[{"family":"Siegel","given":"Joshua Sarfaty"},{"family":"Ramsey","given":"Lenny E."},{"family":"Snyder","given":"Abraham Z."},{"family":"Metcalf","given":"Nicholas V."},{"family":"Chacko","given":"Ravi V."},{"family":"Weinberger","given":"Kilian"},{"family":"Baldassarre","given":"Antonello"},{"family":"Hacker","given":"Carl D."},{"family":"Shulman","given":"Gordon L."},{"family":"Corbetta","given":"Maurizio"}],"accessed":{"date-parts":[["2026",2,14]]},"issued":{"date-parts":[["2016",7,26]]}}}],"schema":"https://github.com/citation-style-language/schema/raw/master/csl-citation.json"} </w:instrText>
      </w:r>
      <w:r w:rsidR="00425E3E">
        <w:rPr>
          <w:rFonts w:ascii="Arial" w:hAnsi="Arial" w:cs="Arial"/>
        </w:rPr>
        <w:fldChar w:fldCharType="separate"/>
      </w:r>
      <w:r w:rsidR="00425E3E" w:rsidRPr="00425E3E">
        <w:rPr>
          <w:rFonts w:ascii="Arial" w:hAnsi="Arial" w:cs="Arial"/>
        </w:rPr>
        <w:t>(Siegel et al., 2016)</w:t>
      </w:r>
      <w:r w:rsidR="00425E3E">
        <w:rPr>
          <w:rFonts w:ascii="Arial" w:hAnsi="Arial" w:cs="Arial"/>
        </w:rPr>
        <w:fldChar w:fldCharType="end"/>
      </w:r>
      <w:r w:rsidRPr="00F20E35">
        <w:rPr>
          <w:rFonts w:ascii="Arial" w:hAnsi="Arial" w:cs="Arial"/>
        </w:rPr>
        <w:t xml:space="preserve">. Such functional disruptions often reflect white-matter disconnection </w:t>
      </w:r>
      <w:r w:rsidR="00425E3E">
        <w:rPr>
          <w:rFonts w:ascii="Arial" w:hAnsi="Arial" w:cs="Arial"/>
        </w:rPr>
        <w:fldChar w:fldCharType="begin"/>
      </w:r>
      <w:r w:rsidR="00425E3E">
        <w:rPr>
          <w:rFonts w:ascii="Arial" w:hAnsi="Arial" w:cs="Arial"/>
        </w:rPr>
        <w:instrText xml:space="preserve"> ADDIN ZOTERO_ITEM CSL_CITATION {"citationID":"Fqh3L9NQ","properties":{"formattedCitation":"(Griffis et al., 2019)","plainCitation":"(Griffis et al., 2019)","noteIndex":0},"citationItems":[{"id":13118,"uris":["http://zotero.org/groups/2239043/items/5IV298LP"],"itemData":{"id":13118,"type":"article-journal","container-title":"Cell Reports","DOI":"10.1016/j.celrep.2019.07.100","ISSN":"22111247","issue":"10","journalAbbreviation":"Cell Reports","language":"en","page":"2527-2540.e9","source":"DOI.org (Crossref)","title":"Structural Disconnections Explain Brain Network Dysfunction after Stroke","volume":"28","author":[{"family":"Griffis","given":"Joseph C."},{"family":"Metcalf","given":"Nicholas V."},{"family":"Corbetta","given":"Maurizio"},{"family":"Shulman","given":"Gordon L."}],"issued":{"date-parts":[["2019",9]]}}}],"schema":"https://github.com/citation-style-language/schema/raw/master/csl-citation.json"} </w:instrText>
      </w:r>
      <w:r w:rsidR="00425E3E">
        <w:rPr>
          <w:rFonts w:ascii="Arial" w:hAnsi="Arial" w:cs="Arial"/>
        </w:rPr>
        <w:fldChar w:fldCharType="separate"/>
      </w:r>
      <w:r w:rsidR="00425E3E" w:rsidRPr="00425E3E">
        <w:rPr>
          <w:rFonts w:ascii="Arial" w:hAnsi="Arial" w:cs="Arial"/>
        </w:rPr>
        <w:t>(Griffis et al., 2019)</w:t>
      </w:r>
      <w:r w:rsidR="00425E3E">
        <w:rPr>
          <w:rFonts w:ascii="Arial" w:hAnsi="Arial" w:cs="Arial"/>
        </w:rPr>
        <w:fldChar w:fldCharType="end"/>
      </w:r>
      <w:r w:rsidRPr="00F20E35">
        <w:rPr>
          <w:rFonts w:ascii="Arial" w:hAnsi="Arial" w:cs="Arial"/>
        </w:rPr>
        <w:t>, providing a mechanistic link between ΔDMN_inter and structural network injury. In line with this, preserved large-scale structural connectivity has been implicated as a mediator of clinical benefit in acute stroke treatment contexts</w:t>
      </w:r>
      <w:r w:rsidR="00425E3E">
        <w:rPr>
          <w:rFonts w:ascii="Arial" w:hAnsi="Arial" w:cs="Arial"/>
        </w:rPr>
        <w:t xml:space="preserve"> </w:t>
      </w:r>
      <w:r w:rsidR="00436C43">
        <w:rPr>
          <w:rFonts w:ascii="Arial" w:hAnsi="Arial" w:cs="Arial"/>
        </w:rPr>
        <w:fldChar w:fldCharType="begin"/>
      </w:r>
      <w:r w:rsidR="00436C43">
        <w:rPr>
          <w:rFonts w:ascii="Arial" w:hAnsi="Arial" w:cs="Arial"/>
        </w:rPr>
        <w:instrText xml:space="preserve"> ADDIN ZOTERO_ITEM CSL_CITATION {"citationID":"ljNDMtyM","properties":{"formattedCitation":"(Schlemm et al., 2021)","plainCitation":"(Schlemm et al., 2021)","noteIndex":0},"citationItems":[{"id":13123,"uris":["http://zotero.org/groups/2239043/items/UDINDST9"],"itemData":{"id":13123,"type":"article-journal","abstract":"Abstract\n            \n              Thrombolysis with recombinant tissue plasminogen activator in acute ischemic stroke aims to restore compromised blood flow and prevent further neuronal damage. Despite the proven clinical efficacy of this treatment, little is known about the short-term effects of systemic thrombolysis on structural brain connectivity. In this secondary analysis of the WAKE-UP trial, we used MRI-derived measures of infarct size and estimated structural network disruption to establish that thrombolysis is associated not only with less infarct growth, but also with reduced loss of large-scale connectivity between grey-matter areas after stroke. In a causal mediation analysis, infarct growth mediated a non-significant 8.3% (CI\n              95%\n              [−8.0, 32.6]%) of the clinical effect of thrombolysis on functional outcome. The proportion mediated jointly through infarct growth and change of structural connectivity, especially in the border zone around the infarct core, however, was as high as 33.4% (CI\n              95%\n              [8.8, 77.4]%). Preservation of structural connectivity is thus an important determinant of treatment success and favourable functional outcome in addition to lesion volume. It might, in the future, serve as an imaging endpoint in clinical trials or as a target for therapeutic interventions.","container-title":"Nature Communications","DOI":"10.1038/s41467-021-22786-w","ISSN":"2041-1723","issue":"1","journalAbbreviation":"Nat Commun","language":"en","page":"2590","source":"DOI.org (Crossref)","title":"Preserved structural connectivity mediates the clinical effect of thrombolysis in patients with anterior-circulation stroke","volume":"12","author":[{"family":"Schlemm","given":"Eckhard"},{"family":"Ingwersen","given":"Thies"},{"family":"Königsberg","given":"Alina"},{"family":"Boutitie","given":"Florent"},{"family":"Ebinger","given":"Martin"},{"family":"Endres","given":"Matthias"},{"family":"Fiebach","given":"Jochen B."},{"family":"Fiehler","given":"Jens"},{"family":"Galinovic","given":"Ivana"},{"family":"Lemmens","given":"Robin"},{"family":"Muir","given":"Keith W."},{"family":"Nighoghossian","given":"Norbert"},{"family":"Pedraza","given":"Salvador"},{"family":"Puig","given":"Josep"},{"family":"Simonsen","given":"Claus Z."},{"family":"Thijs","given":"Vincent"},{"family":"Wouters","given":"Anke"},{"family":"Gerloff","given":"Christian"},{"family":"Thomalla","given":"Götz"},{"family":"Cheng","given":"Bastian"}],"issued":{"date-parts":[["2021",5,10]]}}}],"schema":"https://github.com/citation-style-language/schema/raw/master/csl-citation.json"} </w:instrText>
      </w:r>
      <w:r w:rsidR="00436C43">
        <w:rPr>
          <w:rFonts w:ascii="Arial" w:hAnsi="Arial" w:cs="Arial"/>
        </w:rPr>
        <w:fldChar w:fldCharType="separate"/>
      </w:r>
      <w:r w:rsidR="00436C43" w:rsidRPr="00436C43">
        <w:rPr>
          <w:rFonts w:ascii="Arial" w:hAnsi="Arial" w:cs="Arial"/>
        </w:rPr>
        <w:t>(Schlemm et al., 2021)</w:t>
      </w:r>
      <w:r w:rsidR="00436C43">
        <w:rPr>
          <w:rFonts w:ascii="Arial" w:hAnsi="Arial" w:cs="Arial"/>
        </w:rPr>
        <w:fldChar w:fldCharType="end"/>
      </w:r>
      <w:r w:rsidRPr="00F20E35">
        <w:rPr>
          <w:rFonts w:ascii="Arial" w:hAnsi="Arial" w:cs="Arial"/>
        </w:rPr>
        <w:t>.</w:t>
      </w:r>
    </w:p>
    <w:p w14:paraId="74A20917" w14:textId="61CE5AC1" w:rsidR="00F20E35" w:rsidRPr="00F20E35" w:rsidRDefault="00F20E35" w:rsidP="00F20E35">
      <w:pPr>
        <w:pStyle w:val="StandardWeb"/>
        <w:rPr>
          <w:rFonts w:ascii="Arial" w:hAnsi="Arial" w:cs="Arial"/>
        </w:rPr>
      </w:pPr>
      <w:r w:rsidRPr="00F20E35">
        <w:rPr>
          <w:rFonts w:ascii="Arial" w:hAnsi="Arial" w:cs="Arial"/>
        </w:rPr>
        <w:t xml:space="preserve">Within a reserve/resilience framework, ΔDMN_inter operationalizes post-demand connectome resilience in a rest–task–rest setting—i.e., the ability to re-establish coordinated interhemispheric DMN communication after behavioural demand </w:t>
      </w:r>
      <w:r w:rsidR="00436C43">
        <w:rPr>
          <w:rFonts w:ascii="Arial" w:hAnsi="Arial" w:cs="Arial"/>
        </w:rPr>
        <w:fldChar w:fldCharType="begin"/>
      </w:r>
      <w:r w:rsidR="00436C43">
        <w:rPr>
          <w:rFonts w:ascii="Arial" w:hAnsi="Arial" w:cs="Arial"/>
        </w:rPr>
        <w:instrText xml:space="preserve"> ADDIN ZOTERO_ITEM CSL_CITATION {"citationID":"fCUZ1c96","properties":{"formattedCitation":"(Stern et al., 2020)","plainCitation":"(Stern et al., 2020)","noteIndex":0},"citationItems":[{"id":13125,"uris":["http://zotero.org/groups/2239043/items/4CTHYS79"],"itemData":{"id":13125,"type":"article-journal","abstract":"Abstract\n            Several concepts, which in the aggregate get might be used to account for “resilience” against age</w:instrText>
      </w:r>
      <w:r w:rsidR="00436C43">
        <w:rPr>
          <w:rFonts w:ascii="Cambria Math" w:hAnsi="Cambria Math" w:cs="Cambria Math"/>
        </w:rPr>
        <w:instrText>‐</w:instrText>
      </w:r>
      <w:r w:rsidR="00436C43">
        <w:rPr>
          <w:rFonts w:ascii="Arial" w:hAnsi="Arial" w:cs="Arial"/>
        </w:rPr>
        <w:instrText xml:space="preserve"> and disease</w:instrText>
      </w:r>
      <w:r w:rsidR="00436C43">
        <w:rPr>
          <w:rFonts w:ascii="Cambria Math" w:hAnsi="Cambria Math" w:cs="Cambria Math"/>
        </w:rPr>
        <w:instrText>‐</w:instrText>
      </w:r>
      <w:r w:rsidR="00436C43">
        <w:rPr>
          <w:rFonts w:ascii="Arial" w:hAnsi="Arial" w:cs="Arial"/>
        </w:rPr>
        <w:instrText>related changes, have been the subject of much research. These include brain reserve, cognitive reserve, and brain maintenance. However, different investigators have use these terms in different ways, and there has never been an attempt to arrive at consensus on the definition of these concepts. Furthermore, there has been confusion regarding the measurement of these constructs and the appropriate ways to apply them to research. Therefore the reserve, resilience, and protective factors professional interest area, established under the auspices of the Alzheimer's Association, established a whitepaper workgroup to develop consensus definitions for cognitive reserve, brain reserve, and brain maintenance. The workgroup also evaluated measures that have been used to implement these concepts in research settings and developed guidelines for research that explores or utilizes these concepts. The workgroup hopes that this whitepaper will form a reference point for researchers in this area and facilitate research by supplying a common language.","container-title":"Alzheimer's &amp; Dementia","DOI":"10.1016/j.jalz.2018.07.219","ISSN":"1552-5260, 1552-5279","issue":"9","journalAbbreviation":"Alzheimer's &amp;amp; Dementia","language":"en","page":"1305-1311","source":"DOI.org (Crossref)","title":"Whitepaper: Defining and investigating cognitive reserve, brain reserve, and brain maintenance","title-short":"Whitepaper","volume":"16","author":[{"family":"Stern","given":"Yaakov"},{"family":"Arenaza</w:instrText>
      </w:r>
      <w:r w:rsidR="00436C43">
        <w:rPr>
          <w:rFonts w:ascii="Cambria Math" w:hAnsi="Cambria Math" w:cs="Cambria Math"/>
        </w:rPr>
        <w:instrText>‐</w:instrText>
      </w:r>
      <w:r w:rsidR="00436C43">
        <w:rPr>
          <w:rFonts w:ascii="Arial" w:hAnsi="Arial" w:cs="Arial"/>
        </w:rPr>
        <w:instrText>Urquijo","given":"Eider M."},{"family":"Bartrés</w:instrText>
      </w:r>
      <w:r w:rsidR="00436C43">
        <w:rPr>
          <w:rFonts w:ascii="Cambria Math" w:hAnsi="Cambria Math" w:cs="Cambria Math"/>
        </w:rPr>
        <w:instrText>‐</w:instrText>
      </w:r>
      <w:r w:rsidR="00436C43">
        <w:rPr>
          <w:rFonts w:ascii="Arial" w:hAnsi="Arial" w:cs="Arial"/>
        </w:rPr>
        <w:instrText>Faz","given":"David"},{"family":"Belleville","given":"Sylvie"},{"family":"Cantilon","given":"Marc"},{"family":"Chetelat","given":"Gael"},{"family":"Ewers","given":"Michael"},{"family":"Franzmeier","given":"Nicolai"},{"family":"Kempermann","given":"Gerd"},{"family":"Kremen","given":"William S."},{"family":"Okonkwo","given":"Ozioma"},{"family":"Scarmeas","given":"Nikolaos"},{"family":"Soldan","given":"Anja"},{"family":"Udeh</w:instrText>
      </w:r>
      <w:r w:rsidR="00436C43">
        <w:rPr>
          <w:rFonts w:ascii="Cambria Math" w:hAnsi="Cambria Math" w:cs="Cambria Math"/>
        </w:rPr>
        <w:instrText>‐</w:instrText>
      </w:r>
      <w:r w:rsidR="00436C43">
        <w:rPr>
          <w:rFonts w:ascii="Arial" w:hAnsi="Arial" w:cs="Arial"/>
        </w:rPr>
        <w:instrText xml:space="preserve">Momoh","given":"Chinedu"},{"family":"Valenzuela","given":"Michael"},{"family":"Vemuri","given":"Prashanthi"},{"family":"Vuoksimaa","given":"Eero"},{"literal":"and the Reserve, Resilience and Protective Factors PIA Empirical Definitions and Conceptual Frameworks Workgroup"}],"issued":{"date-parts":[["2020",9]]}}}],"schema":"https://github.com/citation-style-language/schema/raw/master/csl-citation.json"} </w:instrText>
      </w:r>
      <w:r w:rsidR="00436C43">
        <w:rPr>
          <w:rFonts w:ascii="Arial" w:hAnsi="Arial" w:cs="Arial"/>
        </w:rPr>
        <w:fldChar w:fldCharType="separate"/>
      </w:r>
      <w:r w:rsidR="00436C43" w:rsidRPr="00436C43">
        <w:rPr>
          <w:rFonts w:ascii="Arial" w:hAnsi="Arial" w:cs="Arial"/>
        </w:rPr>
        <w:t>(Stern et al., 2020)</w:t>
      </w:r>
      <w:r w:rsidR="00436C43">
        <w:rPr>
          <w:rFonts w:ascii="Arial" w:hAnsi="Arial" w:cs="Arial"/>
        </w:rPr>
        <w:fldChar w:fldCharType="end"/>
      </w:r>
      <w:r w:rsidRPr="00F20E35">
        <w:rPr>
          <w:rFonts w:ascii="Arial" w:hAnsi="Arial" w:cs="Arial"/>
        </w:rPr>
        <w:t xml:space="preserve">. This interpretation is consistent with evidence linking DMN integration and dynamic connectivity to post-stroke outcomes and early recovery trajectories </w:t>
      </w:r>
      <w:r w:rsidR="009C56AC">
        <w:rPr>
          <w:rFonts w:ascii="Arial" w:hAnsi="Arial" w:cs="Arial"/>
        </w:rPr>
        <w:fldChar w:fldCharType="begin"/>
      </w:r>
      <w:r w:rsidR="009C56AC">
        <w:rPr>
          <w:rFonts w:ascii="Arial" w:hAnsi="Arial" w:cs="Arial"/>
        </w:rPr>
        <w:instrText xml:space="preserve"> ADDIN ZOTERO_ITEM CSL_CITATION {"citationID":"UmCXGqZb","properties":{"formattedCitation":"(Bonkhoff et al., 2021; Dacosta-Aguayo et al., 2015)","plainCitation":"(Bonkhoff et al., 2021; Dacosta-Aguayo et al., 2015)","noteIndex":0},"citationItems":[{"id":13130,"uris":["http://zotero.org/groups/2239043/items/3WP7ZNL9"],"itemData":{"id":13130,"type":"article-journal","abstract":"The aim of the current study was to explore the whole-brain dynamic functional connectivity patterns in acute ischemic stroke (AIS) patients and their relation to short and long-term stroke severity. We investigated resting-state functional MRI-based dynamic functional connectivity of 41 AIS patients two to five days after symptom onset. Re-occurring dynamic connectivity configurations were obtained using a sliding window approach and k-means clustering. We evaluated differences in dynamic patterns between three NIHSS-stroke severity defined groups (mildly, moderately, and severely affected patients). Furthermore, we built Bayesian hierarchical models to evaluate the predictive capacity of dynamic connectivity and examine the interrelation with clinical measures, such as white matter hyperintensity lesions. Finally, we established correlation analyses between dynamic connectivity and AIS severity as well as 90-day neurological recovery (ΔNIHSS). We identified three distinct dynamic connectivity configurations acutely post-stroke. More severely affected patients spent significantly more time in a configuration that was characterized by particularly strong connectivity and isolated processing of functional brain domains (three-level ANOVA: p &lt; .05, post hoc t tests: p &lt; .05, FDR-corrected). Configuration-specific time estimates possessed predictive capacity of stroke severity in addition to the one of clinical measures. Recovery, as indexed by the realized change of the NIHSS over time, was significantly linked to the dynamic connectivity between bilateral intraparietal lobule and left angular gyrus (Pearson's r = -.68, p = .003, FDR-corrected). Our findings demonstrate transiently increased isolated information processing in multiple functional domains in case of severe AIS. Dynamic connectivity involving default mode network components significantly correlated with recovery in the first 3 months poststroke.","container-title":"Human Brain Mapping","DOI":"10.1002/hbm.25366","ISSN":"1097-0193","issue":"7","journalAbbreviation":"Hum Brain Mapp","language":"eng","page":"2278-2291","PMID":"33650754","PMCID":"PMC8046120","source":"PubMed","title":"Abnormal dynamic functional connectivity is linked to recovery after acute ischemic stroke","volume":"42","author":[{"family":"Bonkhoff","given":"Anna K."},{"family":"Schirmer","given":"Markus D."},{"family":"Bretzner","given":"Martin"},{"family":"Etherton","given":"Mark"},{"family":"Donahue","given":"Kathleen"},{"family":"Tuozzo","given":"Carissa"},{"family":"Nardin","given":"Marco"},{"family":"Giese","given":"Anne-Katrin"},{"family":"Wu","given":"Ona"},{"family":"D Calhoun","given":"Vince"},{"family":"Grefkes","given":"Christian"},{"family":"Rost","given":"Natalia S."}],"issued":{"date-parts":[["2021",5]]}}},{"id":13127,"uris":["http://zotero.org/groups/2239043/items/KRPC8L4B"],"itemData":{"id":13127,"type":"article-journal","abstract":"Resting-state studies conducted with stroke patients are scarce. The study of brain activity and connectivity at rest provides a unique opportunity for the investigation of brain rewiring after stroke and plasticity changes. This study sought to identify dynamic changes in the functional organization of the default mode network (DMN) of stroke patients at three months after stroke. Eleven patients (eight male and three female; age range: 48-72) with right cortical and subcortical ischemic infarctions and 17 controls (eleven males and six females; age range: 57-69) were assessed by neurological and neuropsychological examinations and scanned with resting-state functional magnetic ressonance imaging. First, we explored group differences in functional activity within the DMN by means of probabilistic independent component analysis followed by a dual regression approach. Second, we estimated functional connectivity between 11 DMN nodes both locally by means of seed-based connectivity analysis, as well as globally by means of graph-computation analysis. We found that patients had greater DMN activity in the left precuneus and the left anterior cingulate gyrus when compared with healthy controls (P &lt; 0.05 family-wise error corrected). Seed-based connectivity analysis showed that stroke patients had significant impairment (P = 0.014; threshold = 2.00) in the connectivity between the following five DMN nodes: left superior frontal gyrus (lSFG) and posterior cingulate cortex (t = 2.01); left parahippocampal gyrus and right superior frontal gyrus (t = 2.11); left parahippocampal gyrus and lSFG (t = 2.39); right parietal and lSFG (t = 2.29). Finally, mean path length obtained from graph-computation analysis showed positive correlations with semantic fluency test (r(s)  = 0.454; P = 0.023), phonetic fluency test (r(s)  = 0.523; P = 0.007) and the mini mental state examination (r(s)  = 0.528; P = 0.007). In conclusion, the ability to regulate activity of the DMN appears to be a central part of normal brain function in stroke patients. Our study expands the understanding of the changes occurring in the brain after stroke providing a new avenue for investigating lesion-induced network plasticity.","container-title":"Human Brain Mapping","DOI":"10.1002/hbm.22648","ISSN":"1097-0193","issue":"2","journalAbbreviation":"Hum Brain Mapp","language":"eng","page":"577-590","PMID":"25324040","PMCID":"PMC4312977","source":"PubMed","title":"Impairment of functional integration of the default mode network correlates with cognitive outcome at three months after stroke","volume":"36","author":[{"family":"Dacosta-Aguayo","given":"Rosalia"},{"family":"Graña","given":"Manuel"},{"family":"Iturria-Medina","given":"Yasser"},{"family":"Fernández-Andújar","given":"Marina"},{"family":"López-Cancio","given":"Elena"},{"family":"Cáceres","given":"Cynthia"},{"family":"Bargalló","given":"Núria"},{"family":"Barrios","given":"Maite"},{"family":"Clemente","given":"Immaculada"},{"family":"Toran","given":"Pera"},{"family":"Forés","given":"Rosa"},{"family":"Dávalos","given":"Antoni"},{"family":"Auer","given":"Tibor"},{"family":"Mataró","given":"Maria"}],"issued":{"date-parts":[["2015",2]]}}}],"schema":"https://github.com/citation-style-language/schema/raw/master/csl-citation.json"} </w:instrText>
      </w:r>
      <w:r w:rsidR="009C56AC">
        <w:rPr>
          <w:rFonts w:ascii="Arial" w:hAnsi="Arial" w:cs="Arial"/>
        </w:rPr>
        <w:fldChar w:fldCharType="separate"/>
      </w:r>
      <w:r w:rsidR="009C56AC" w:rsidRPr="009C56AC">
        <w:rPr>
          <w:rFonts w:ascii="Arial" w:hAnsi="Arial" w:cs="Arial"/>
        </w:rPr>
        <w:t>(Bonkhoff et al., 2021; Dacosta-Aguayo et al., 2015)</w:t>
      </w:r>
      <w:r w:rsidR="009C56AC">
        <w:rPr>
          <w:rFonts w:ascii="Arial" w:hAnsi="Arial" w:cs="Arial"/>
        </w:rPr>
        <w:fldChar w:fldCharType="end"/>
      </w:r>
      <w:r w:rsidRPr="00F20E35">
        <w:rPr>
          <w:rFonts w:ascii="Arial" w:hAnsi="Arial" w:cs="Arial"/>
        </w:rPr>
        <w:t xml:space="preserve"> and with longitudinal findings showing re-emergence of modular organization during recovery </w:t>
      </w:r>
      <w:r w:rsidR="009C56AC">
        <w:rPr>
          <w:rFonts w:ascii="Arial" w:hAnsi="Arial" w:cs="Arial"/>
        </w:rPr>
        <w:fldChar w:fldCharType="begin"/>
      </w:r>
      <w:r w:rsidR="009C56AC">
        <w:rPr>
          <w:rFonts w:ascii="Arial" w:hAnsi="Arial" w:cs="Arial"/>
        </w:rPr>
        <w:instrText xml:space="preserve"> ADDIN ZOTERO_ITEM CSL_CITATION {"citationID":"5Yu9umoQ","properties":{"formattedCitation":"(Siegel et al., 2018)","plainCitation":"(Siegel et al., 2018)","noteIndex":0},"citationItems":[{"id":13133,"uris":["http://zotero.org/groups/2239043/items/9GW9GUTG"],"itemData":{"id":13133,"type":"article-journal","abstract":"Studies of stroke have identified local reorganization in perilesional tissue. However, because the brain is highly networked, strokes also broadly alter the brain's global network organization. Here, we assess brain network structure longitudinally in adult stroke patients using resting state fMRI. The topology and boundaries of cortical regions remain grossly unchanged across recovery. In contrast, the modularity of brain systems i.e. the degree of integration within and segregation between networks, was significantly reduced sub-acutely (n = 107), but partially recovered by 3 months (n = 85), and 1 year (n = 67). Importantly, network recovery correlated with recovery from language, spatial memory, and attention deficits, but not motor or visual deficits. Finally, in-depth single subject analyses were conducted using tools for visualization of changes in brain networks over time. This exploration indicated that changes in modularity during successful recovery reflect specific alterations in the relationships between different networks. For example, in a patient with left temporo-parietal stroke and severe aphasia, sub-acute loss of modularity reflected loss of association between frontal and temporo-parietal regions bi-hemispherically across multiple modules. These long-distance connections then returned over time, paralleling aphasia recovery. This work establishes the potential importance of normalization of large-scale modular brain systems in stroke recovery.","container-title":"Cortex; a Journal Devoted to the Study of the Nervous System and Behavior","DOI":"10.1016/j.cortex.2017.12.019","ISSN":"1973-8102","journalAbbreviation":"Cortex","language":"eng","page":"44-59","PMID":"29414460","PMCID":"PMC6527102","source":"PubMed","title":"Re-emergence of modular brain networks in stroke recovery","volume":"101","author":[{"family":"Siegel","given":"Joshua S."},{"family":"Seitzman","given":"Benjamin A."},{"family":"Ramsey","given":"Lenny E."},{"family":"Ortega","given":"Mario"},{"family":"Gordon","given":"Evan M."},{"family":"Dosenbach","given":"Nico U. F."},{"family":"Petersen","given":"Steven E."},{"family":"Shulman","given":"Gordon L."},{"family":"Corbetta","given":"Maurizio"}],"issued":{"date-parts":[["2018",4]]}}}],"schema":"https://github.com/citation-style-language/schema/raw/master/csl-citation.json"} </w:instrText>
      </w:r>
      <w:r w:rsidR="009C56AC">
        <w:rPr>
          <w:rFonts w:ascii="Arial" w:hAnsi="Arial" w:cs="Arial"/>
        </w:rPr>
        <w:fldChar w:fldCharType="separate"/>
      </w:r>
      <w:r w:rsidR="009C56AC" w:rsidRPr="009C56AC">
        <w:rPr>
          <w:rFonts w:ascii="Arial" w:hAnsi="Arial" w:cs="Arial"/>
        </w:rPr>
        <w:t>(Siegel et al., 2018)</w:t>
      </w:r>
      <w:r w:rsidR="009C56AC">
        <w:rPr>
          <w:rFonts w:ascii="Arial" w:hAnsi="Arial" w:cs="Arial"/>
        </w:rPr>
        <w:fldChar w:fldCharType="end"/>
      </w:r>
      <w:r w:rsidRPr="00F20E35">
        <w:rPr>
          <w:rFonts w:ascii="Arial" w:hAnsi="Arial" w:cs="Arial"/>
        </w:rPr>
        <w:t xml:space="preserve">. A lack of tight coupling between ΔDMN_inter and acquisition slope is not unexpected if ΔDMN_inter primarily reflects systems-level reintegration capacity rather than a task-proximal learning mechanism. This two-component account also explains why ΔDMN_inter can be more prognostically informative than hemisphere-specific modulation: </w:t>
      </w:r>
      <w:proofErr w:type="spellStart"/>
      <w:r w:rsidRPr="00F20E35">
        <w:rPr>
          <w:rFonts w:ascii="Arial" w:hAnsi="Arial" w:cs="Arial"/>
        </w:rPr>
        <w:t>ΔDMN_right</w:t>
      </w:r>
      <w:proofErr w:type="spellEnd"/>
      <w:r w:rsidRPr="00F20E35">
        <w:rPr>
          <w:rFonts w:ascii="Arial" w:hAnsi="Arial" w:cs="Arial"/>
        </w:rPr>
        <w:t xml:space="preserve"> is closer to task-bound resource allocation, whereas ΔDMN_inter indexes global coordination capacity required for generalized clinical outcome.</w:t>
      </w:r>
    </w:p>
    <w:p w14:paraId="49001C10" w14:textId="77777777" w:rsidR="00F20E35" w:rsidRPr="00F20E35" w:rsidRDefault="00F20E35" w:rsidP="00F20E35">
      <w:pPr>
        <w:pStyle w:val="Ueberschrift02"/>
      </w:pPr>
      <w:r w:rsidRPr="00F20E35">
        <w:lastRenderedPageBreak/>
        <w:t>Behaviour–Network Decoupling</w:t>
      </w:r>
    </w:p>
    <w:p w14:paraId="5FB36F30" w14:textId="77777777" w:rsidR="00F20E35" w:rsidRDefault="00F20E35" w:rsidP="00F20E35">
      <w:pPr>
        <w:pStyle w:val="StandardWeb"/>
        <w:rPr>
          <w:rFonts w:ascii="Arial" w:hAnsi="Arial" w:cs="Arial"/>
        </w:rPr>
      </w:pPr>
      <w:r w:rsidRPr="0006371C">
        <w:rPr>
          <w:rFonts w:ascii="Arial" w:hAnsi="Arial" w:cs="Arial"/>
        </w:rPr>
        <w:t>In healthy controls, right-hemispheric DMN modulation (</w:t>
      </w:r>
      <w:proofErr w:type="spellStart"/>
      <w:r w:rsidRPr="0006371C">
        <w:rPr>
          <w:rFonts w:ascii="Arial" w:hAnsi="Arial" w:cs="Arial"/>
        </w:rPr>
        <w:t>ΔDMN_right</w:t>
      </w:r>
      <w:proofErr w:type="spellEnd"/>
      <w:r w:rsidRPr="0006371C">
        <w:rPr>
          <w:rFonts w:ascii="Arial" w:hAnsi="Arial" w:cs="Arial"/>
        </w:rPr>
        <w:t xml:space="preserve">) was tightly coupled to behavioural learning (r = 0.60), whereas this relationship was absent in acute stroke (r = −0.07), yielding a significant between-group difference. </w:t>
      </w:r>
      <w:r w:rsidRPr="00EA4DA8">
        <w:rPr>
          <w:rFonts w:ascii="Arial" w:hAnsi="Arial" w:cs="Arial"/>
        </w:rPr>
        <w:t>This acute-stage dissociation provides direct evidence that stroke can disrupt the normal mapping between large-scale network reconfiguration and behavioural gain—consistent with a network-disorder account in which focal injury induces remote dysfunction and impaired coordination across distributed systems</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{"citationID":"dZPoLJ1x","properties":{"formattedCitation":"(Kal et al., 2016)","plainCitation":"(Kal et al., 2016)","noteIndex":0},"citationItems":[{"id":13136,"uris":["http://zotero.org/groups/2239043/items/SJ3DHIM5"],"itemData":{"id":13136,"type":"article-journal","container-title":"PLOS ONE","DOI":"10.1371/journal.pone.0166376","ISSN":"1932-6203","issue":"12","journalAbbreviation":"PLoS ONE","language":"en","page":"e0166376","source":"DOI.org (Crossref)","title":"Is Implicit Motor Learning Preserved after Stroke? A Systematic Review with Meta-Analysis","title-short":"Is Implicit Motor Learning Preserved after Stroke?","volume":"11","author":[{"family":"Kal","given":"E."},{"family":"Winters","given":"M."},{"family":"Van Der Kamp","given":"J."},{"family":"Houdijk","given":"H."},{"family":"Groet","given":"E."},{"family":"Van Bennekom","given":"C."},{"family":"Scherder","given":"E."}],"editor":[{"family":"Baron","given":"Jean-Claude"}],"issued":{"date-parts":[["2016",12,16]]}}}],"schema":"https://github.com/citation-style-language/schema/raw/master/csl-citation.json"} </w:instrText>
      </w:r>
      <w:r>
        <w:rPr>
          <w:rFonts w:ascii="Arial" w:hAnsi="Arial" w:cs="Arial"/>
        </w:rPr>
        <w:fldChar w:fldCharType="separate"/>
      </w:r>
      <w:r w:rsidRPr="00BA536D">
        <w:rPr>
          <w:rFonts w:ascii="Arial" w:hAnsi="Arial" w:cs="Arial"/>
        </w:rPr>
        <w:t>(Kal et al., 2016)</w:t>
      </w:r>
      <w:r>
        <w:rPr>
          <w:rFonts w:ascii="Arial" w:hAnsi="Arial" w:cs="Arial"/>
        </w:rPr>
        <w:fldChar w:fldCharType="end"/>
      </w:r>
      <w:r w:rsidRPr="0006371C">
        <w:rPr>
          <w:rFonts w:ascii="Arial" w:hAnsi="Arial" w:cs="Arial"/>
        </w:rPr>
        <w:t xml:space="preserve">. </w:t>
      </w:r>
      <w:r w:rsidRPr="00203B34">
        <w:rPr>
          <w:rFonts w:ascii="Arial" w:hAnsi="Arial" w:cs="Arial"/>
        </w:rPr>
        <w:t xml:space="preserve">Conceptually, </w:t>
      </w:r>
      <w:proofErr w:type="spellStart"/>
      <w:r w:rsidRPr="00203B34">
        <w:rPr>
          <w:rFonts w:ascii="Arial" w:hAnsi="Arial" w:cs="Arial"/>
        </w:rPr>
        <w:t>ΔDMN_right</w:t>
      </w:r>
      <w:proofErr w:type="spellEnd"/>
      <w:r w:rsidRPr="00203B34">
        <w:rPr>
          <w:rFonts w:ascii="Arial" w:hAnsi="Arial" w:cs="Arial"/>
        </w:rPr>
        <w:t xml:space="preserve"> appears to capture a demand-sensitive modulation component of network resilience: in intact brains, the extent to which the DMN is appropriately reconfigured during learning tracks how effectively behaviour improves, whereas in the acute post-stroke state this relationship becomes unreliable.</w:t>
      </w:r>
    </w:p>
    <w:p w14:paraId="01BD8026" w14:textId="77777777" w:rsidR="00F20E35" w:rsidRPr="0006371C" w:rsidRDefault="00F20E35" w:rsidP="00F20E35">
      <w:pPr>
        <w:pStyle w:val="StandardWeb"/>
        <w:rPr>
          <w:rFonts w:ascii="Arial" w:hAnsi="Arial" w:cs="Arial"/>
        </w:rPr>
      </w:pPr>
      <w:r w:rsidRPr="00203B34">
        <w:rPr>
          <w:rFonts w:ascii="Arial" w:hAnsi="Arial" w:cs="Arial"/>
        </w:rPr>
        <w:t>Importantly, the decoupling emerged even though the task was performed with the clinically unaffected hand. This argues against a purely effector-specific motor explanation and instead supports the view that early motor learning depends on distributed control and attentional systems that gate performance and learning efficiency</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{"citationID":"unvyMxvp","properties":{"formattedCitation":"(Mani et al., 2013)","plainCitation":"(Mani et al., 2013)","noteIndex":0},"citationItems":[{"id":13138,"uris":["http://zotero.org/groups/2239043/items/P8TGEHHT"],"itemData":{"id":13138,"type":"article-journal","container-title":"Brain","DOI":"10.1093/brain/aws283","ISSN":"1460-2156, 0006-8950","issue":"4","language":"en","page":"1288-1303","source":"DOI.org (Crossref)","title":"Contralesional motor deficits after unilateral stroke reflect hemisphere-specific control mechanisms","volume":"136","author":[{"family":"Mani","given":"Saandeep"},{"family":"Mutha","given":"Pratik K."},{"family":"Przybyla","given":"Andrzej"},{"family":"Haaland","given":"Kathleen Y."},{"family":"Good","given":"David C."},{"family":"Sainburg","given":"Robert L."}],"issued":{"date-parts":[["2013",4]]}}}],"schema":"https://github.com/citation-style-language/schema/raw/master/csl-citation.json"} </w:instrText>
      </w:r>
      <w:r>
        <w:rPr>
          <w:rFonts w:ascii="Arial" w:hAnsi="Arial" w:cs="Arial"/>
        </w:rPr>
        <w:fldChar w:fldCharType="separate"/>
      </w:r>
      <w:r w:rsidRPr="009E4C05">
        <w:rPr>
          <w:rFonts w:ascii="Arial" w:hAnsi="Arial" w:cs="Arial"/>
        </w:rPr>
        <w:t>(Mani et al., 2013)</w:t>
      </w:r>
      <w:r>
        <w:rPr>
          <w:rFonts w:ascii="Arial" w:hAnsi="Arial" w:cs="Arial"/>
        </w:rPr>
        <w:fldChar w:fldCharType="end"/>
      </w:r>
      <w:r w:rsidRPr="0006371C">
        <w:rPr>
          <w:rFonts w:ascii="Arial" w:hAnsi="Arial" w:cs="Arial"/>
        </w:rPr>
        <w:t>.</w:t>
      </w:r>
    </w:p>
    <w:p w14:paraId="5DE9E102" w14:textId="77777777" w:rsidR="00F20E35" w:rsidRPr="0006371C" w:rsidRDefault="00F20E35" w:rsidP="00F20E35">
      <w:pPr>
        <w:pStyle w:val="StandardWeb"/>
        <w:rPr>
          <w:rFonts w:ascii="Arial" w:hAnsi="Arial" w:cs="Arial"/>
        </w:rPr>
      </w:pPr>
      <w:r w:rsidRPr="00675460">
        <w:rPr>
          <w:rFonts w:ascii="Arial" w:hAnsi="Arial" w:cs="Arial"/>
        </w:rPr>
        <w:t>A plausible mechanistic account is that learning with the non-dominant/unaffected hand increases demands on sustained attention and cognitive control—processes that are closely linked to appropriate DMN modulation and its interaction with control networks. In intact brains, momentary attentional lapses are accompanied by altered DMN dynamics and changes in right-lateralized control activity, indicating that DMN-state regulation is behaviourally consequential for maintaining goal-directed performance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{"citationID":"DxXIi6Y5","properties":{"formattedCitation":"(Weissman et al., 2006)","plainCitation":"(Weissman et al., 2006)","noteIndex":0},"citationItems":[{"id":13140,"uris":["http://zotero.org/groups/2239043/items/HFX3S36C"],"itemData":{"id":13140,"type":"article-journal","container-title":"Nature Neuroscience","DOI":"10.1038/nn1727","ISSN":"1097-6256, 1546-1726","issue":"7","journalAbbreviation":"Nat Neurosci","language":"en","license":"http://www.springer.com/tdm","page":"971-978","source":"DOI.org (Crossref)","title":"The neural bases of momentary lapses in attention","volume":"9","author":[{"family":"Weissman","given":"D H"},{"family":"Roberts","given":"K C"},{"family":"Visscher","given":"K M"},{"family":"Woldorff","given":"M G"}],"issued":{"date-parts":[["2006",7]]}}}],"schema":"https://github.com/citation-style-language/schema/raw/master/csl-citation.json"} </w:instrText>
      </w:r>
      <w:r>
        <w:rPr>
          <w:rFonts w:ascii="Arial" w:hAnsi="Arial" w:cs="Arial"/>
        </w:rPr>
        <w:fldChar w:fldCharType="separate"/>
      </w:r>
      <w:r w:rsidRPr="001A733F">
        <w:rPr>
          <w:rFonts w:ascii="Arial" w:hAnsi="Arial" w:cs="Arial"/>
        </w:rPr>
        <w:t>(Weissman et al., 2006)</w:t>
      </w:r>
      <w:r>
        <w:rPr>
          <w:rFonts w:ascii="Arial" w:hAnsi="Arial" w:cs="Arial"/>
        </w:rPr>
        <w:fldChar w:fldCharType="end"/>
      </w:r>
      <w:r w:rsidRPr="0006371C">
        <w:rPr>
          <w:rFonts w:ascii="Arial" w:hAnsi="Arial" w:cs="Arial"/>
        </w:rPr>
        <w:t xml:space="preserve">. </w:t>
      </w:r>
      <w:r w:rsidRPr="00675460">
        <w:rPr>
          <w:rFonts w:ascii="Arial" w:hAnsi="Arial" w:cs="Arial"/>
        </w:rPr>
        <w:t>More broadly, abnormal DMN activation/connectivity has been linked to sustained-attention deficits, and salience–</w:t>
      </w:r>
      <w:r w:rsidRPr="00675460">
        <w:rPr>
          <w:rFonts w:ascii="Arial" w:hAnsi="Arial" w:cs="Arial"/>
        </w:rPr>
        <w:lastRenderedPageBreak/>
        <w:t>DMN interactions have been implicated in cognitive control and mode switching</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{"citationID":"oP2dtjsv","properties":{"formattedCitation":"(Bonnelle et al., 2011; Menon &amp; Uddin, 2010)","plainCitation":"(Bonnelle et al., 2011; Menon &amp; Uddin, 2010)","noteIndex":0},"citationItems":[{"id":13141,"uris":["http://zotero.org/groups/2239043/items/WAPJGV93"],"itemData":{"id":13141,"type":"article-journal","abstract":"Traumatic brain injury (TBI) frequently produces impairments of attention in humans. These can result in a failure to maintain consistent goal-directed behavior. A predominantly right-lateralized frontoparietal network is often engaged during attentionally demanding tasks. However, lapses of attention have also been associated with increases in activation within the default mode network (DMN). Here, we study TBI patients with sustained attention impairment, defined on the basis of the consistency of their behavioral performance over time. We show that sustained attention impairments in patients are associated with an increase in DMN activation, particularly within the precuneus and posterior cingulate cortex. Furthermore, the interaction of the precuneus with the rest of the DMN at the start of the task, i.e., its functional connectivity, predicts which patients go on to show impairments of attention. Importantly, this predictive information is present before any behavioral evidence of sustained attention impairment, and the relationship is also found in a subgroup of patients without focal brain damage. TBI often results in diffuse axonal injury, which produces cognitive impairment by disconnecting nodes in distributed brain networks. Using diffusion tensor imaging, we demonstrate that structural disconnection within the DMN also correlates with the level of sustained attention. These results show that abnormalities in DMN function are a sensitive marker of impairments of attention and suggest that changes in connectivity within the DMN are central to the development of attentional impairment after TBI.","container-title":"The Journal of Neuroscience","DOI":"10.1523/JNEUROSCI.1163-11.2011","ISSN":"0270-6474, 1529-2401","issue":"38","journalAbbreviation":"J. Neurosci.","language":"en","license":"https://creativecommons.org/licenses/by-nc-sa/4.0/","page":"13442-13451","source":"DOI.org (Crossref)","title":"Default Mode Network Connectivity Predicts Sustained Attention Deficits after Traumatic Brain Injury","volume":"31","author":[{"family":"Bonnelle","given":"Valerie"},{"family":"Leech","given":"Robert"},{"family":"Kinnunen","given":"Kirsi M."},{"family":"Ham","given":"Tim E."},{"family":"Beckmann","given":"Cristian F."},{"family":"De Boissezon","given":"Xavier"},{"family":"Greenwood","given":"Richard J."},{"family":"Sharp","given":"David J."}],"issued":{"date-parts":[["2011",9,21]]}}},{"id":13111,"uris":["http://zotero.org/groups/2239043/items/WNS2L36Q"],"itemData":{"id":13111,"type":"article-journal","container-title":"Brain Structure and Function","DOI":"10.1007/s00429-010-0262-0","ISSN":"1863-2653, 1863-2661","issue":"5-6","journalAbbreviation":"Brain Struct Funct","language":"en","license":"http://www.springer.com/tdm","page":"655-667","source":"DOI.org (Crossref)","title":"Saliency, switching, attention and control: a network model of insula function","title-short":"Saliency, switching, attention and control","volume":"214","author":[{"family":"Menon","given":"Vinod"},{"family":"Uddin","given":"Lucina Q."}],"issued":{"date-parts":[["2010",6]]}}}],"schema":"https://github.com/citation-style-language/schema/raw/master/csl-citation.json"} </w:instrText>
      </w:r>
      <w:r>
        <w:rPr>
          <w:rFonts w:ascii="Arial" w:hAnsi="Arial" w:cs="Arial"/>
        </w:rPr>
        <w:fldChar w:fldCharType="separate"/>
      </w:r>
      <w:r w:rsidRPr="00AB3861">
        <w:rPr>
          <w:rFonts w:ascii="Arial" w:hAnsi="Arial" w:cs="Arial"/>
        </w:rPr>
        <w:t>(Bonnelle et al., 2011; Menon &amp; Uddin, 2010)</w:t>
      </w:r>
      <w:r>
        <w:rPr>
          <w:rFonts w:ascii="Arial" w:hAnsi="Arial" w:cs="Arial"/>
        </w:rPr>
        <w:fldChar w:fldCharType="end"/>
      </w:r>
      <w:r>
        <w:rPr>
          <w:rFonts w:ascii="Arial" w:hAnsi="Arial" w:cs="Arial"/>
        </w:rPr>
        <w:t xml:space="preserve">. </w:t>
      </w:r>
      <w:r w:rsidRPr="00AB3861">
        <w:rPr>
          <w:rFonts w:ascii="Arial" w:hAnsi="Arial" w:cs="Arial"/>
        </w:rPr>
        <w:t>These mechanisms may be particularly vulnerable to post-stroke disconnection and diaschisis, offering a parsimonious explanation for why behavioural learning and DMN modulation become decoupled in the acute stage despite preserved execution with the unaffected hand.</w:t>
      </w:r>
    </w:p>
    <w:p w14:paraId="3878AB10" w14:textId="4B3318EB" w:rsidR="00F20E35" w:rsidRPr="00F20E35" w:rsidRDefault="00F20E35" w:rsidP="00F20E35">
      <w:pPr>
        <w:pStyle w:val="Ueberschrift02"/>
      </w:pPr>
      <w:r w:rsidRPr="00F20E35">
        <w:t>Behavioural learning: large group effect, limited incremental prognostic signal</w:t>
      </w:r>
    </w:p>
    <w:p w14:paraId="333B1308" w14:textId="5DC4C58C" w:rsidR="00F20E35" w:rsidRPr="00F20E35" w:rsidRDefault="00F20E35" w:rsidP="00F20E35">
      <w:pPr>
        <w:pStyle w:val="StandardWeb"/>
        <w:rPr>
          <w:rFonts w:ascii="Arial" w:hAnsi="Arial" w:cs="Arial"/>
        </w:rPr>
      </w:pPr>
      <w:r w:rsidRPr="00F20E35">
        <w:rPr>
          <w:rFonts w:ascii="Arial" w:hAnsi="Arial" w:cs="Arial"/>
        </w:rPr>
        <w:t xml:space="preserve">Behaviourally, patients showed a robust impairment in motor sequence learning, confirming that learning capacity is measurably affected within days after stroke even when using the unaffected hand. This aligns with evidence that sequence learning relies on distributed networks and varies by task demands and learning phase (acquisition vs consolidation/retention) </w:t>
      </w:r>
      <w:r w:rsidR="002964CB">
        <w:rPr>
          <w:rFonts w:ascii="Arial" w:hAnsi="Arial" w:cs="Arial"/>
        </w:rPr>
        <w:fldChar w:fldCharType="begin"/>
      </w:r>
      <w:r w:rsidR="002964CB">
        <w:rPr>
          <w:rFonts w:ascii="Arial" w:hAnsi="Arial" w:cs="Arial"/>
        </w:rPr>
        <w:instrText xml:space="preserve"> ADDIN ZOTERO_ITEM CSL_CITATION {"citationID":"0W1lhzZq","properties":{"formattedCitation":"(Dahms et al., 2020)","plainCitation":"(Dahms et al., 2020)","noteIndex":0},"citationItems":[{"id":13143,"uris":["http://zotero.org/groups/2239043/items/R9EMAYRJ"],"itemData":{"id":13143,"type":"article-journal","abstract":"The task of learning predefined sequences of interrelated motor actions is of everyday importance and has also strong clinical importance for regaining motor function after brain lesions. A solid understanding of sequence learning in stroke patients can help clinicians to optimize and individualize rehabilitation strategies. Moreover, to investigate the impact of a focal lesion on the ability to successfully perform motor sequence learning can enhance our comprehension of the underlying physiological principles of motor sequence learning. In this article, we will first provide an overview of current concepts related to motor sequence learning in healthy subjects with focus on the involved brain areas and their assumed functions according to the temporal stage model. Subsequently, we will consider the question of what we can learn from studies investigating motor sequence learning in stroke patients. We will first focus on the implications of lesion location. Then, we will analyze whether distinct lesion locations affect specific learning stages. Finally, we will discuss the implications for clinical rehabilitation and suggest directions for further research.","container-title":"Human Brain Mapping","DOI":"10.1002/hbm.24793","ISSN":"1097-0193","issue":"1","journalAbbreviation":"Hum Brain Mapp","language":"eng","page":"270-286","PMID":"31520506","PMCID":"PMC7268039","source":"PubMed","title":"The importance of different learning stages for motor sequence learning after stroke","volume":"41","author":[{"family":"Dahms","given":"Christiane"},{"family":"Brodoehl","given":"Stefan"},{"family":"Witte","given":"Otto W."},{"family":"Klingner","given":"Carsten M."}],"issued":{"date-parts":[["2020",1]]}}}],"schema":"https://github.com/citation-style-language/schema/raw/master/csl-citation.json"} </w:instrText>
      </w:r>
      <w:r w:rsidR="002964CB">
        <w:rPr>
          <w:rFonts w:ascii="Arial" w:hAnsi="Arial" w:cs="Arial"/>
        </w:rPr>
        <w:fldChar w:fldCharType="separate"/>
      </w:r>
      <w:r w:rsidR="002964CB" w:rsidRPr="002964CB">
        <w:rPr>
          <w:rFonts w:ascii="Arial" w:hAnsi="Arial" w:cs="Arial"/>
        </w:rPr>
        <w:t>(Dahms et al., 2020)</w:t>
      </w:r>
      <w:r w:rsidR="002964CB">
        <w:rPr>
          <w:rFonts w:ascii="Arial" w:hAnsi="Arial" w:cs="Arial"/>
        </w:rPr>
        <w:fldChar w:fldCharType="end"/>
      </w:r>
      <w:r w:rsidRPr="00F20E35">
        <w:rPr>
          <w:rFonts w:ascii="Arial" w:hAnsi="Arial" w:cs="Arial"/>
        </w:rPr>
        <w:t xml:space="preserve">. However, MST acquisition slope added little incremental explained variance beyond ΔDMN_inter in the prespecified FMUE_6w models. This pattern is best interpreted as variance partition under small-sample and restricted-range conditions, compounded by the fact that FMUE at 6 weeks is strongly anchored in baseline impairment. Thus, a task-specific acquisition-rate parameter may show limited incremental value for this clinical endpoint even when it robustly differentiates groups </w:t>
      </w:r>
      <w:r w:rsidR="002964CB">
        <w:rPr>
          <w:rFonts w:ascii="Arial" w:hAnsi="Arial" w:cs="Arial"/>
        </w:rPr>
        <w:fldChar w:fldCharType="begin"/>
      </w:r>
      <w:r w:rsidR="002964CB">
        <w:rPr>
          <w:rFonts w:ascii="Arial" w:hAnsi="Arial" w:cs="Arial"/>
        </w:rPr>
        <w:instrText xml:space="preserve"> ADDIN ZOTERO_ITEM CSL_CITATION {"citationID":"KFU1bPxM","properties":{"formattedCitation":"(Wadden et al., 2017)","plainCitation":"(Wadden et al., 2017)","noteIndex":0},"citationItems":[{"id":13146,"uris":["http://zotero.org/groups/2239043/items/WWGMYB3S"],"itemData":{"id":13146,"type":"article-journal","abstract":"BACKGROUND: Conventionally, change in motor performance is quantified with discrete measures of behavior taken pre- and postpractice. As a high degree of movement variability exists in motor performance after stroke, pre- and posttesting of motor skill may lack sensitivity to predict potential for motor recovery.\nOBJECTIVE: Evaluate the use of predictive models of motor learning based on individual performance curves and clinical characteristics of motor function in individuals with stroke.\nMETHODS: Ten healthy and fourteen individuals with chronic stroke performed a continuous joystick-based tracking task over 6 days, and at a 24-hour delayed retention test, to assess implicit motor sequence learning.\nRESULTS: Individuals with chronic stroke demonstrated significantly slower rates of improvements in implicit sequence-specific motor performance compared with a healthy control (HC) group when root mean squared error performance data were fit to an exponential function. The HC group showed a positive relationship between a faster rate of change in implicit sequence-specific motor performance during practice and superior performance at the delayed retention test. The same relationship was shown for individuals with stroke only after accounting for overall motor function by including Wolf Motor Function Test rate in our model.\nCONCLUSION: Nonlinear information extracted from multiple time points across practice, specifically the rate of motor skill acquisition during practice, relates strongly with changes in motor behavior at the retention test following practice and could be used to predict optimal doses of practice on an individual basis.","container-title":"Neurorehabilitation and Neural Repair","DOI":"10.1177/1545968316662526","ISSN":"1552-6844","issue":"1","journalAbbreviation":"Neurorehabil Neural Repair","language":"eng","page":"95-104","PMID":"27511047","PMCID":"PMC5154894","source":"PubMed","title":"Predicting Motor Sequence Learning in Individuals With Chronic Stroke","volume":"31","author":[{"family":"Wadden","given":"Katie P."},{"family":"Asis","given":"Kristopher De"},{"family":"Mang","given":"Cameron S."},{"family":"Neva","given":"Jason L."},{"family":"Peters","given":"Sue"},{"family":"Lakhani","given":"Bimal"},{"family":"Boyd","given":"Lara A."}],"issued":{"date-parts":[["2017",1]]}}}],"schema":"https://github.com/citation-style-language/schema/raw/master/csl-citation.json"} </w:instrText>
      </w:r>
      <w:r w:rsidR="002964CB">
        <w:rPr>
          <w:rFonts w:ascii="Arial" w:hAnsi="Arial" w:cs="Arial"/>
        </w:rPr>
        <w:fldChar w:fldCharType="separate"/>
      </w:r>
      <w:r w:rsidR="002964CB" w:rsidRPr="002964CB">
        <w:rPr>
          <w:rFonts w:ascii="Arial" w:hAnsi="Arial" w:cs="Arial"/>
        </w:rPr>
        <w:t>(Wadden et al., 2017)</w:t>
      </w:r>
      <w:r w:rsidR="002964CB">
        <w:rPr>
          <w:rFonts w:ascii="Arial" w:hAnsi="Arial" w:cs="Arial"/>
        </w:rPr>
        <w:fldChar w:fldCharType="end"/>
      </w:r>
      <w:r w:rsidRPr="00F20E35">
        <w:rPr>
          <w:rFonts w:ascii="Arial" w:hAnsi="Arial" w:cs="Arial"/>
        </w:rPr>
        <w:t>. In this cohort, ΔDMN_inter may capture a more global systems-level recovery capacity that overlaps with, or subsumes, variance expressed by behavioural learning slope when predicting early FMUE.</w:t>
      </w:r>
    </w:p>
    <w:p w14:paraId="09776C6C" w14:textId="77777777" w:rsidR="00F20E35" w:rsidRPr="00F20E35" w:rsidRDefault="00F20E35" w:rsidP="00F20E35">
      <w:pPr>
        <w:pStyle w:val="Ueberschrift02"/>
      </w:pPr>
      <w:r w:rsidRPr="00F20E35">
        <w:t>Acute–Chronic bridge: phase-specific network–behaviour relationships</w:t>
      </w:r>
    </w:p>
    <w:p w14:paraId="6D896894" w14:textId="33BF443D" w:rsidR="00F20E35" w:rsidRPr="00F20E35" w:rsidRDefault="00F20E35" w:rsidP="00F20E35">
      <w:pPr>
        <w:pStyle w:val="StandardWeb"/>
        <w:rPr>
          <w:rFonts w:ascii="Arial" w:hAnsi="Arial" w:cs="Arial"/>
        </w:rPr>
      </w:pPr>
      <w:r w:rsidRPr="00F20E35">
        <w:rPr>
          <w:rFonts w:ascii="Arial" w:hAnsi="Arial" w:cs="Arial"/>
        </w:rPr>
        <w:t xml:space="preserve">Viewed alongside chronic-stage work, the current results suggest a temporal shift in how DMN dynamics relate to behaviour and outcome </w:t>
      </w:r>
      <w:r w:rsidR="002964CB">
        <w:rPr>
          <w:rFonts w:ascii="Arial" w:hAnsi="Arial" w:cs="Arial"/>
        </w:rPr>
        <w:fldChar w:fldCharType="begin"/>
      </w:r>
      <w:r w:rsidR="002964CB">
        <w:rPr>
          <w:rFonts w:ascii="Arial" w:hAnsi="Arial" w:cs="Arial"/>
        </w:rPr>
        <w:instrText xml:space="preserve"> ADDIN ZOTERO_ITEM CSL_CITATION {"citationID":"yMaFvCYN","properties":{"formattedCitation":"(Dahms et al., 2024)","plainCitation":"(Dahms et al., 2024)","noteIndex":0},"citationItems":[{"id":13100,"uris":["http://zotero.org/groups/2239043/items/PVAETGSI"],"itemData":{"id":13100,"type":"article-journal","container-title":"NeuroImage: Clinical","DOI":"10.1016/j.nicl.2024.103601","ISSN":"22131582","journalAbbreviation":"NeuroImage: Clinical","language":"en","page":"103601","source":"DOI.org (Crossref)","title":"Connecting the dots: Motor and default mode network crossroads in post-stroke motor learning deficits","title-short":"Connecting the dots","volume":"42","author":[{"family":"Dahms","given":"Christiane"},{"family":"Noll","given":"Alexander"},{"family":"Wagner","given":"Franziska"},{"family":"Schmidt","given":"Alexander"},{"family":"Brodoehl","given":"Stefan"},{"family":"Klingner","given":"Carsten M."}],"issued":{"date-parts":[["2024"]]}}}],"schema":"https://github.com/citation-style-language/schema/raw/master/csl-citation.json"} </w:instrText>
      </w:r>
      <w:r w:rsidR="002964CB">
        <w:rPr>
          <w:rFonts w:ascii="Arial" w:hAnsi="Arial" w:cs="Arial"/>
        </w:rPr>
        <w:fldChar w:fldCharType="separate"/>
      </w:r>
      <w:r w:rsidR="002964CB" w:rsidRPr="002964CB">
        <w:rPr>
          <w:rFonts w:ascii="Arial" w:hAnsi="Arial" w:cs="Arial"/>
        </w:rPr>
        <w:t>(Dahms et al., 2024)</w:t>
      </w:r>
      <w:r w:rsidR="002964CB">
        <w:rPr>
          <w:rFonts w:ascii="Arial" w:hAnsi="Arial" w:cs="Arial"/>
        </w:rPr>
        <w:fldChar w:fldCharType="end"/>
      </w:r>
      <w:r w:rsidRPr="00F20E35">
        <w:rPr>
          <w:rFonts w:ascii="Arial" w:hAnsi="Arial" w:cs="Arial"/>
        </w:rPr>
        <w:t xml:space="preserve">. In chronic stroke, DMN reconfiguration during learning remains behaviourally interpretable, </w:t>
      </w:r>
      <w:r w:rsidRPr="00F20E35">
        <w:rPr>
          <w:rFonts w:ascii="Arial" w:hAnsi="Arial" w:cs="Arial"/>
        </w:rPr>
        <w:lastRenderedPageBreak/>
        <w:t>consistent with a more stabilized network state. In contrast, within days after stroke we observed behaviour–network decoupling despite robust learning impairment. This acute instability offers a coherent rationale for why an interhemispheric reintegration measure (ΔDMN_inter) showed the clearest association with near-term clinical outcome: early after stroke, large-scale coordination may be dominated by a transient systems-level perturbation that disrupts the mapping between modulation and behavioural gain. As recovery progresses and network organization re-stabilizes, more specific behaviour-linked modulation patterns may re-emerge and become interpretable, yielding a coherent temporal account across studies.</w:t>
      </w:r>
    </w:p>
    <w:p w14:paraId="36B4667C" w14:textId="77777777" w:rsidR="00F20E35" w:rsidRPr="00F20E35" w:rsidRDefault="00F20E35" w:rsidP="00F20E35">
      <w:pPr>
        <w:pStyle w:val="Ueberschrift02"/>
      </w:pPr>
      <w:r w:rsidRPr="00F20E35">
        <w:t>Motor-network marker as negative control</w:t>
      </w:r>
    </w:p>
    <w:p w14:paraId="5B7E520B" w14:textId="62921E5E" w:rsidR="00F20E35" w:rsidRPr="00F20E35" w:rsidRDefault="00F20E35" w:rsidP="00F20E35">
      <w:pPr>
        <w:pStyle w:val="StandardWeb"/>
        <w:rPr>
          <w:rFonts w:ascii="Arial" w:hAnsi="Arial" w:cs="Arial"/>
        </w:rPr>
      </w:pPr>
      <w:r w:rsidRPr="00F20E35">
        <w:rPr>
          <w:rFonts w:ascii="Arial" w:hAnsi="Arial" w:cs="Arial"/>
        </w:rPr>
        <w:t>Although interhemispheric balance in the motor system is a cornerstone concept in stroke neurophysiology, motor interhemispheric effects are phase- and reserve-dependent and need not relate monotonically to outcome</w:t>
      </w:r>
      <w:r w:rsidR="002964CB">
        <w:rPr>
          <w:rFonts w:ascii="Arial" w:hAnsi="Arial" w:cs="Arial"/>
        </w:rPr>
        <w:t xml:space="preserve"> </w:t>
      </w:r>
      <w:r w:rsidR="00B430F8">
        <w:rPr>
          <w:rFonts w:ascii="Arial" w:hAnsi="Arial" w:cs="Arial"/>
        </w:rPr>
        <w:fldChar w:fldCharType="begin"/>
      </w:r>
      <w:r w:rsidR="00B430F8">
        <w:rPr>
          <w:rFonts w:ascii="Arial" w:hAnsi="Arial" w:cs="Arial"/>
        </w:rPr>
        <w:instrText xml:space="preserve"> ADDIN ZOTERO_ITEM CSL_CITATION {"citationID":"KYveOks7","properties":{"formattedCitation":"(Di Pino et al., 2014; Grefkes &amp; Fink, 2014; Murase et al., 2004)","plainCitation":"(Di Pino et al., 2014; Grefkes &amp; Fink, 2014; Murase et al., 2004)","noteIndex":0},"citationItems":[{"id":13152,"uris":["http://zotero.org/groups/2239043/items/RRQZI9YI"],"itemData":{"id":13152,"type":"article-journal","container-title":"Nature Reviews Neurology","DOI":"10.1038/nrneurol.2014.162","ISSN":"1759-4758, 1759-4766","issue":"10","journalAbbreviation":"Nat Rev Neurol","language":"en","page":"597-608","source":"DOI.org (Crossref)","title":"Modulation of brain plasticity in stroke: a novel model for neurorehabilitation","title-short":"Modulation of brain plasticity in stroke","volume":"10","author":[{"family":"Di Pino","given":"Giovanni"},{"family":"Pellegrino","given":"Giovanni"},{"family":"Assenza","given":"Giovanni"},{"family":"Capone","given":"Fioravante"},{"family":"Ferreri","given":"Florinda"},{"family":"Formica","given":"Domenico"},{"family":"Ranieri","given":"Federico"},{"family":"Tombini","given":"Mario"},{"family":"Ziemann","given":"Ulf"},{"family":"Rothwell","given":"John C."},{"family":"Di Lazzaro","given":"Vincenzo"}],"issued":{"date-parts":[["2014",10]]}}},{"id":13153,"uris":["http://zotero.org/groups/2239043/items/ZPYACYRJ"],"itemData":{"id":13153,"type":"article-journal","container-title":"The Lancet Neurology","DOI":"10.1016/S1474-4422(13)70264-3","ISSN":"14744422","issue":"2","journalAbbreviation":"The Lancet Neurology","language":"en","page":"206-216","source":"DOI.org (Crossref)","title":"Connectivity-based approaches in stroke and recovery of function","volume":"13","author":[{"family":"Grefkes","given":"Christian"},{"family":"Fink","given":"Gereon R"}],"issued":{"date-parts":[["2014",2]]}}},{"id":13149,"uris":["http://zotero.org/groups/2239043/items/USYEZ639"],"itemData":{"id":13149,"type":"article-journal","abstract":"Abstract\n            \n              In patients with chronic stroke, the primary motor cortex of the intact hemisphere (M1\n              intact hemisphere\n              ) may influence functional recovery, possibly through transcallosal effects exerted over M1 in the lesioned hemisphere (M1\n              lesioned hemisphere\n              ). Here, we studied interhemispheric inhibition (IHI) between M1\n              intact hemisphere\n              and M1\n              lesioned hemisphere\n              in the process of generation of a voluntary movement by the paretic hand in patients with chronic subcortical stroke and in healthy volunteers. IHI was evaluated in both hands preceding the onset of unilateral voluntary index finger movements (paretic hand in patients, right hand in controls) in a simple reaction time paradigm. IHI at rest and shortly after the Go signal were comparable in patients and controls. Closer to movement onset, IHI targeting the moving index finger turned into facilitation in controls but remained deep in patients, a finding that correlated with poor motor performance. These results document an abnormally high interhemispheric inhibitory drive from M1\n              intact hemisphere\n              to M1\n              lesioned hemisphere\n              in the process of generation of a voluntary movement by the paretic hand. It is conceivable that this abnormality could adversely influence motor recovery in some patients with subcortical stroke, an interpretation consistent with models of interhemispheric competition in motor and sensory systems.","container-title":"Annals of Neurology","DOI":"10.1002/ana.10848","ISSN":"0364-5134, 1531-8249","issue":"3","journalAbbreviation":"Annals of Neurology","language":"en","license":"http://onlinelibrary.wiley.com/termsAndConditions#vor","page":"400-409","source":"DOI.org (Crossref)","title":"Influence of interhemispheric interactions on motor function in chronic stroke","volume":"55","author":[{"family":"Murase","given":"Nagako"},{"family":"Duque","given":"Julie"},{"family":"Mazzocchio","given":"Riccardo"},{"family":"Cohen","given":"Leonardo G."}],"issued":{"date-parts":[["2004",3]]}}}],"schema":"https://github.com/citation-style-language/schema/raw/master/csl-citation.json"} </w:instrText>
      </w:r>
      <w:r w:rsidR="00B430F8">
        <w:rPr>
          <w:rFonts w:ascii="Arial" w:hAnsi="Arial" w:cs="Arial"/>
        </w:rPr>
        <w:fldChar w:fldCharType="separate"/>
      </w:r>
      <w:r w:rsidR="00B430F8" w:rsidRPr="00B430F8">
        <w:rPr>
          <w:rFonts w:ascii="Arial" w:hAnsi="Arial" w:cs="Arial"/>
        </w:rPr>
        <w:t>(Di Pino et al., 2014; Grefkes &amp; Fink, 2014; Murase et al., 2004)</w:t>
      </w:r>
      <w:r w:rsidR="00B430F8">
        <w:rPr>
          <w:rFonts w:ascii="Arial" w:hAnsi="Arial" w:cs="Arial"/>
        </w:rPr>
        <w:fldChar w:fldCharType="end"/>
      </w:r>
      <w:r w:rsidRPr="00F20E35">
        <w:rPr>
          <w:rFonts w:ascii="Arial" w:hAnsi="Arial" w:cs="Arial"/>
        </w:rPr>
        <w:t xml:space="preserve">. In our rest–task–rest design, </w:t>
      </w:r>
      <w:proofErr w:type="spellStart"/>
      <w:r w:rsidRPr="00F20E35">
        <w:rPr>
          <w:rFonts w:ascii="Arial" w:hAnsi="Arial" w:cs="Arial"/>
        </w:rPr>
        <w:t>ΔMotor_inter</w:t>
      </w:r>
      <w:proofErr w:type="spellEnd"/>
      <w:r w:rsidRPr="00F20E35">
        <w:rPr>
          <w:rFonts w:ascii="Arial" w:hAnsi="Arial" w:cs="Arial"/>
        </w:rPr>
        <w:t xml:space="preserve"> may primarily capture task carry-over or compensation rather than a domain-general reintegration capacity, supporting its role as a specificity negative control rather than a prognostic driver in this cohort.</w:t>
      </w:r>
    </w:p>
    <w:p w14:paraId="5E2B7B18" w14:textId="77777777" w:rsidR="00F20E35" w:rsidRPr="00F20E35" w:rsidRDefault="00F20E35" w:rsidP="00F20E35">
      <w:pPr>
        <w:pStyle w:val="Ueberschrift02"/>
      </w:pPr>
      <w:r w:rsidRPr="00F20E35">
        <w:t>Translational implications</w:t>
      </w:r>
    </w:p>
    <w:p w14:paraId="2F8A21AB" w14:textId="69526BB7" w:rsidR="00F20E35" w:rsidRDefault="00F20E35" w:rsidP="00F20E35">
      <w:pPr>
        <w:pStyle w:val="StandardWeb"/>
        <w:rPr>
          <w:rFonts w:ascii="Arial" w:hAnsi="Arial" w:cs="Arial"/>
        </w:rPr>
      </w:pPr>
      <w:r w:rsidRPr="00F20E35">
        <w:rPr>
          <w:rFonts w:ascii="Arial" w:hAnsi="Arial" w:cs="Arial"/>
        </w:rPr>
        <w:t xml:space="preserve">Translationally, our findings suggest that a brief rest–task–rest protocol can capture acute-stage systems markers related to near-term upper-limb outcome. We position ΔDMN_inter as a candidate biomarker to complement—not replace—established clinical and lesion-based predictors, pending external validation, reliability testing, and calibration analyses. This framing aligns with multimodal approaches to early prognosis that integrate bedside measures with physiological/structural markers </w:t>
      </w:r>
      <w:r w:rsidR="00152304">
        <w:rPr>
          <w:rFonts w:ascii="Arial" w:hAnsi="Arial" w:cs="Arial"/>
        </w:rPr>
        <w:lastRenderedPageBreak/>
        <w:fldChar w:fldCharType="begin"/>
      </w:r>
      <w:r w:rsidR="00152304">
        <w:rPr>
          <w:rFonts w:ascii="Arial" w:hAnsi="Arial" w:cs="Arial"/>
        </w:rPr>
        <w:instrText xml:space="preserve"> ADDIN ZOTERO_ITEM CSL_CITATION {"citationID":"kLqpJXbb","properties":{"formattedCitation":"(Stinear et al., 2017)","plainCitation":"(Stinear et al., 2017)","noteIndex":0},"citationItems":[{"id":13161,"uris":["http://zotero.org/groups/2239043/items/7GMCJIIE"],"itemData":{"id":13161,"type":"article-journal","abstract":"Abstract\n            \n              Objective\n              Recovery of motor function is important for regaining independence after stroke, but difficult to predict for individual patients. Our aim was to develop an efficient, accurate, and accessible algorithm for use in clinical settings. Clinical, neurophysiological, and neuroimaging biomarkers of corticospinal integrity obtained within days of stroke were combined to predict likely upper limb motor outcomes 3 months after stroke.\n            \n            \n              Methods\n              Data from 207 patients recruited within 3 days of stroke [103 females (50%), median age 72 (range 18–98) years] were included in a Classification and Regression Tree analysis to predict upper limb function 3 months poststroke.\n            \n            \n              Results\n              \n                The analysis produced an algorithm that sequentially combined a measure of upper limb impairment; age; the presence or absence of upper limb motor evoked potentials elicited with transcranial magnetic stimulation; and stroke lesion load obtained from\n                MRI\n                or stroke severity assessed with the\n                NIHSS\n                score. The algorithm makes correct predictions for 75% of patients. A key biomarker obtained with transcranial magnetic stimulation is required for one third of patients. This biomarker combined with\n                NIHSS\n                score can be used in place of more costly magnetic resonance imaging, with no loss of prediction accuracy.\n              \n            \n            \n              Interpretation\n              \n                The new algorithm is more accurate, efficient, and accessible than its predecessors, which may support its use in clinical practice. While further work is needed to potentially incorporate sensory and cognitive factors, the algorithm can be used within days of stroke to provide accurate predictions of upper limb functional outcomes at 3 months after stroke.\n                www.presto.auckland.ac.nz","container-title":"Annals of Clinical and Translational Neurology","DOI":"10.1002/acn3.488","ISSN":"2328-9503, 2328-9503","issue":"11","journalAbbreviation":"Ann Clin Transl Neurol","language":"en","page":"811-820","source":"DOI.org (Crossref)","title":"PREP2: A biomarker</w:instrText>
      </w:r>
      <w:r w:rsidR="00152304">
        <w:rPr>
          <w:rFonts w:ascii="Cambria Math" w:hAnsi="Cambria Math" w:cs="Cambria Math"/>
        </w:rPr>
        <w:instrText>‐</w:instrText>
      </w:r>
      <w:r w:rsidR="00152304">
        <w:rPr>
          <w:rFonts w:ascii="Arial" w:hAnsi="Arial" w:cs="Arial"/>
        </w:rPr>
        <w:instrText>based algorithm for predicting upper limb function after stroke","title-short":"PREP2","volume":"4","author":[{"family":"Stinear","given":"Cathy M."},{"family":"Byblow","given":"Winston D."},{"family":"Ackerley","given":"Suzanne J."},{"family":"Smith","given":"Marie</w:instrText>
      </w:r>
      <w:r w:rsidR="00152304">
        <w:rPr>
          <w:rFonts w:ascii="Cambria Math" w:hAnsi="Cambria Math" w:cs="Cambria Math"/>
        </w:rPr>
        <w:instrText>‐</w:instrText>
      </w:r>
      <w:r w:rsidR="00152304">
        <w:rPr>
          <w:rFonts w:ascii="Arial" w:hAnsi="Arial" w:cs="Arial"/>
        </w:rPr>
        <w:instrText xml:space="preserve">Claire"},{"family":"Borges","given":"Victor M."},{"family":"Barber","given":"P. Alan"}],"issued":{"date-parts":[["2017",11]]}}}],"schema":"https://github.com/citation-style-language/schema/raw/master/csl-citation.json"} </w:instrText>
      </w:r>
      <w:r w:rsidR="00152304">
        <w:rPr>
          <w:rFonts w:ascii="Arial" w:hAnsi="Arial" w:cs="Arial"/>
        </w:rPr>
        <w:fldChar w:fldCharType="separate"/>
      </w:r>
      <w:r w:rsidR="00152304" w:rsidRPr="00152304">
        <w:rPr>
          <w:rFonts w:ascii="Arial" w:hAnsi="Arial" w:cs="Arial"/>
        </w:rPr>
        <w:t>(Stinear et al., 2017)</w:t>
      </w:r>
      <w:r w:rsidR="00152304">
        <w:rPr>
          <w:rFonts w:ascii="Arial" w:hAnsi="Arial" w:cs="Arial"/>
        </w:rPr>
        <w:fldChar w:fldCharType="end"/>
      </w:r>
      <w:r w:rsidRPr="00F20E35">
        <w:rPr>
          <w:rFonts w:ascii="Arial" w:hAnsi="Arial" w:cs="Arial"/>
        </w:rPr>
        <w:t xml:space="preserve"> and with recent work showing that connectome-derived features can contribute to predicting post-stroke motor recovery </w:t>
      </w:r>
      <w:r w:rsidR="00152304">
        <w:rPr>
          <w:rFonts w:ascii="Arial" w:hAnsi="Arial" w:cs="Arial"/>
        </w:rPr>
        <w:fldChar w:fldCharType="begin"/>
      </w:r>
      <w:r w:rsidR="00152304">
        <w:rPr>
          <w:rFonts w:ascii="Arial" w:hAnsi="Arial" w:cs="Arial"/>
        </w:rPr>
        <w:instrText xml:space="preserve"> ADDIN ZOTERO_ITEM CSL_CITATION {"citationID":"4nrzZfkQ","properties":{"formattedCitation":"(Rivier et al., 2023)","plainCitation":"(Rivier et al., 2023)","noteIndex":0},"citationItems":[{"id":13156,"uris":["http://zotero.org/groups/2239043/items/J4WBRBKI"],"itemData":{"id":13156,"type":"article-journal","abstract":"Abstract\n            Following a stroke in regions of the brain responsible for motor activity, patients can lose their ability to control parts of their body. Over time, some patients recover almost completely, while others barely recover at all. It is known that lesion volume, initial motor impairment and cortico-spinal tract asymmetry significantly impact motor changes over time. Recent work suggested that disabilities arise not only from focal structural changes but also from widespread alterations in inter-regional connectivity. Models that consider damage to the entire network instead of only local structural alterations lead to a more accurate prediction of patients’ recovery. However, assessing white matter connections in stroke patients is challenging and time-consuming. Here, we evaluated in a data set of 37 patients whether we could predict upper extremity motor recovery from brain connectivity measures obtained by using the patient’s lesion mask to introduce virtual lesions in 60 healthy streamline tractography connectomes. This indirect estimation of the stroke impact on the whole brain connectome is more readily available than direct measures of structural connectivity obtained with magnetic resonance imaging. We added these measures to benchmark structural features, and we used a ridge regression regularization to predict motor recovery at 3 months post-injury. As hypothesized, accuracy in prediction significantly increased (R2 = 0.68) as compared to benchmark features (R2 = 0.38). This improved prediction of recovery could be beneficial to clinical care and might allow for a better choice of intervention.","container-title":"Brain Communications","DOI":"10.1093/braincomms/fcad055","ISSN":"2632-1297","issue":"2","language":"en","license":"https://creativecommons.org/licenses/by/4.0/","page":"fcad055","source":"DOI.org (Crossref)","title":"Prediction of post-stroke motor recovery benefits from measures of sub-acute widespread network damages","volume":"5","author":[{"family":"Rivier","given":"Cyprien"},{"family":"Preti","given":"Maria Giulia"},{"family":"Nicolo","given":"Pierre"},{"family":"Van De Ville","given":"Dimitri"},{"family":"Guggisberg","given":"Adrian G"},{"family":"Pirondini","given":"Elvira"}],"issued":{"date-parts":[["2023",3,2]]}}}],"schema":"https://github.com/citation-style-language/schema/raw/master/csl-citation.json"} </w:instrText>
      </w:r>
      <w:r w:rsidR="00152304">
        <w:rPr>
          <w:rFonts w:ascii="Arial" w:hAnsi="Arial" w:cs="Arial"/>
        </w:rPr>
        <w:fldChar w:fldCharType="separate"/>
      </w:r>
      <w:r w:rsidR="00152304" w:rsidRPr="00152304">
        <w:rPr>
          <w:rFonts w:ascii="Arial" w:hAnsi="Arial" w:cs="Arial"/>
        </w:rPr>
        <w:t>(Rivier et al., 2023)</w:t>
      </w:r>
      <w:r w:rsidR="00152304">
        <w:rPr>
          <w:rFonts w:ascii="Arial" w:hAnsi="Arial" w:cs="Arial"/>
        </w:rPr>
        <w:fldChar w:fldCharType="end"/>
      </w:r>
      <w:r w:rsidRPr="00F20E35">
        <w:rPr>
          <w:rFonts w:ascii="Arial" w:hAnsi="Arial" w:cs="Arial"/>
        </w:rPr>
        <w:t xml:space="preserve">. Because we quantify added value via incremental explained variance (ΔR²), our approach follows established principles for evaluating new predictors in multivariable models, while avoiding overstatement of clinical readiness </w:t>
      </w:r>
      <w:r w:rsidR="00152304">
        <w:rPr>
          <w:rFonts w:ascii="Arial" w:hAnsi="Arial" w:cs="Arial"/>
        </w:rPr>
        <w:fldChar w:fldCharType="begin"/>
      </w:r>
      <w:r w:rsidR="00152304">
        <w:rPr>
          <w:rFonts w:ascii="Arial" w:hAnsi="Arial" w:cs="Arial"/>
        </w:rPr>
        <w:instrText xml:space="preserve"> ADDIN ZOTERO_ITEM CSL_CITATION {"citationID":"7jgGGmBs","properties":{"formattedCitation":"(Pencina et al., 2011)","plainCitation":"(Pencina et al., 2011)","noteIndex":0},"citationItems":[{"id":13154,"uris":["http://zotero.org/groups/2239043/items/ISTVYZ7K"],"itemData":{"id":13154,"type":"article-journal","abstract":"Abstract\n            Appropriate quantification of added usefulness offered by new markers included in risk prediction algorithms is a problem of active research and debate. Standard methods, including statistical significance and c statistic are useful but not sufficient. Net reclassification improvement (NRI) offers a simple intuitive way of quantifying improvement offered by new markers and has been gaining popularity among researchers. However, several aspects of the NRI have not been studied in sufficient detail.\n            In this paper we propose a prospective formulation for the NRI which offers immediate application to survival and competing risk data as well as allows for easy weighting with observed or perceived costs. We address the issue of the number and choice of categories and their impact on NRI. We contrast category</w:instrText>
      </w:r>
      <w:r w:rsidR="00152304">
        <w:rPr>
          <w:rFonts w:ascii="Cambria Math" w:hAnsi="Cambria Math" w:cs="Cambria Math"/>
        </w:rPr>
        <w:instrText>‐</w:instrText>
      </w:r>
      <w:r w:rsidR="00152304">
        <w:rPr>
          <w:rFonts w:ascii="Arial" w:hAnsi="Arial" w:cs="Arial"/>
        </w:rPr>
        <w:instrText>based NRI with one which is category</w:instrText>
      </w:r>
      <w:r w:rsidR="00152304">
        <w:rPr>
          <w:rFonts w:ascii="Cambria Math" w:hAnsi="Cambria Math" w:cs="Cambria Math"/>
        </w:rPr>
        <w:instrText>‐</w:instrText>
      </w:r>
      <w:r w:rsidR="00152304">
        <w:rPr>
          <w:rFonts w:ascii="Arial" w:hAnsi="Arial" w:cs="Arial"/>
        </w:rPr>
        <w:instrText>free and conclude that NRIs cannot be compared across studies unless they are defined in the same manner. We discuss the impact of differing event rates when models are applied to different samples or definitions of events and durations of follow</w:instrText>
      </w:r>
      <w:r w:rsidR="00152304">
        <w:rPr>
          <w:rFonts w:ascii="Cambria Math" w:hAnsi="Cambria Math" w:cs="Cambria Math"/>
        </w:rPr>
        <w:instrText>‐</w:instrText>
      </w:r>
      <w:r w:rsidR="00152304">
        <w:rPr>
          <w:rFonts w:ascii="Arial" w:hAnsi="Arial" w:cs="Arial"/>
        </w:rPr>
        <w:instrText>up vary between studies. We also show how NRI can be applied to case–control data. The concepts presented in the paper are illustrated in a Framingham Heart Study example.\n            In conclusion, NRI can be readily calculated for survival, competing risk, and case–control data, is more objective and comparable across studies using the category</w:instrText>
      </w:r>
      <w:r w:rsidR="00152304">
        <w:rPr>
          <w:rFonts w:ascii="Cambria Math" w:hAnsi="Cambria Math" w:cs="Cambria Math"/>
        </w:rPr>
        <w:instrText>‐</w:instrText>
      </w:r>
      <w:r w:rsidR="00152304">
        <w:rPr>
          <w:rFonts w:ascii="Arial" w:hAnsi="Arial" w:cs="Arial"/>
        </w:rPr>
        <w:instrText xml:space="preserve">free version, and can include relative costs for classifications. We recommend that researchers clearly define and justify the choices they make when choosing NRI for their application. Copyright © 2010 John Wiley &amp; Sons, Ltd.","container-title":"Statistics in Medicine","DOI":"10.1002/sim.4085","ISSN":"0277-6715, 1097-0258","issue":"1","journalAbbreviation":"Statistics in Medicine","language":"en","license":"http://onlinelibrary.wiley.com/termsAndConditions#vor","page":"11-21","source":"DOI.org (Crossref)","title":"Extensions of net reclassification improvement calculations to measure usefulness of new biomarkers","volume":"30","author":[{"family":"Pencina","given":"Michael J."},{"family":"D'Agostino","given":"Ralph B."},{"family":"Steyerberg","given":"Ewout W."}],"issued":{"date-parts":[["2011",1,15]]}}}],"schema":"https://github.com/citation-style-language/schema/raw/master/csl-citation.json"} </w:instrText>
      </w:r>
      <w:r w:rsidR="00152304">
        <w:rPr>
          <w:rFonts w:ascii="Arial" w:hAnsi="Arial" w:cs="Arial"/>
        </w:rPr>
        <w:fldChar w:fldCharType="separate"/>
      </w:r>
      <w:r w:rsidR="00152304" w:rsidRPr="00152304">
        <w:rPr>
          <w:rFonts w:ascii="Arial" w:hAnsi="Arial" w:cs="Arial"/>
        </w:rPr>
        <w:t>(Pencina et al., 2011)</w:t>
      </w:r>
      <w:r w:rsidR="00152304">
        <w:rPr>
          <w:rFonts w:ascii="Arial" w:hAnsi="Arial" w:cs="Arial"/>
        </w:rPr>
        <w:fldChar w:fldCharType="end"/>
      </w:r>
      <w:r w:rsidRPr="00F20E35">
        <w:rPr>
          <w:rFonts w:ascii="Arial" w:hAnsi="Arial" w:cs="Arial"/>
        </w:rPr>
        <w:t>.</w:t>
      </w:r>
    </w:p>
    <w:p w14:paraId="32916242" w14:textId="77777777" w:rsidR="003F17A6" w:rsidRDefault="003F17A6" w:rsidP="003F17A6">
      <w:pPr>
        <w:pStyle w:val="Ueberschrift02"/>
      </w:pPr>
      <w:r w:rsidRPr="001D45CC">
        <w:t>Effect size, precision, and robustness in context of statistical power</w:t>
      </w:r>
    </w:p>
    <w:p w14:paraId="0E734982" w14:textId="77777777" w:rsidR="003F17A6" w:rsidRPr="001D45CC" w:rsidRDefault="003F17A6" w:rsidP="003F17A6">
      <w:pPr>
        <w:rPr>
          <w:rFonts w:ascii="Arial" w:hAnsi="Arial" w:cs="Arial"/>
        </w:rPr>
      </w:pPr>
      <w:r w:rsidRPr="001D45CC">
        <w:rPr>
          <w:rFonts w:ascii="Arial" w:hAnsi="Arial" w:cs="Arial"/>
        </w:rPr>
        <w:t>The observed incremental variance explained by ΔDMN_inter (ΔR²=0.083,</w:t>
      </w:r>
      <w:r>
        <w:rPr>
          <w:rFonts w:ascii="Arial" w:hAnsi="Arial" w:cs="Arial"/>
        </w:rPr>
        <w:t xml:space="preserve"> </w:t>
      </w:r>
      <w:r w:rsidRPr="001D45CC">
        <w:rPr>
          <w:rFonts w:ascii="Arial" w:hAnsi="Arial" w:cs="Arial"/>
        </w:rPr>
        <w:t>corresponding to partial r≈0.31) falls below the minimum detectable effect size for 80% power (r≈0.52; see Methods: Statistical Power), indicating that the study was underpowered for the observed small-to-medium effect.</w:t>
      </w:r>
    </w:p>
    <w:p w14:paraId="77D7B74C" w14:textId="0CC1B572" w:rsidR="003F17A6" w:rsidRPr="001D45CC" w:rsidRDefault="003F17A6" w:rsidP="003F17A6">
      <w:pPr>
        <w:rPr>
          <w:rFonts w:ascii="Arial" w:hAnsi="Arial" w:cs="Arial"/>
        </w:rPr>
      </w:pPr>
      <w:r w:rsidRPr="001D45CC">
        <w:rPr>
          <w:rFonts w:ascii="Arial" w:hAnsi="Arial" w:cs="Arial"/>
        </w:rPr>
        <w:t>To characterize the precision and stability of this estimate, we computed bias-corrected bootstrap confidence intervals (5,000 iterations): ΔR² 95% CI [0.00, 0.22]. While the point estimate is modest, robustness checks indicated directional stability: leave-one-out cross-validation yielded a median ΔR²=0.075 (IQR: 0.05–0.11), and 94% of bootstrap samples showed ΔR²&gt;0. Standardized regression coefficients for ΔDMN_inter remained</w:t>
      </w:r>
      <w:r>
        <w:rPr>
          <w:rFonts w:ascii="Arial" w:hAnsi="Arial" w:cs="Arial"/>
        </w:rPr>
        <w:t xml:space="preserve"> </w:t>
      </w:r>
      <w:r w:rsidRPr="001D45CC">
        <w:rPr>
          <w:rFonts w:ascii="Arial" w:hAnsi="Arial" w:cs="Arial"/>
        </w:rPr>
        <w:t>positive in 96% of bootstrap resamples. These analyses indicate that the observed association, while modest, reflects a stable directional signal rather than sampling artifact.</w:t>
      </w:r>
    </w:p>
    <w:p w14:paraId="299FCBDB" w14:textId="77777777" w:rsidR="003F17A6" w:rsidRPr="001D45CC" w:rsidRDefault="003F17A6" w:rsidP="003F17A6">
      <w:pPr>
        <w:rPr>
          <w:rFonts w:ascii="Arial" w:hAnsi="Arial" w:cs="Arial"/>
        </w:rPr>
      </w:pPr>
      <w:r w:rsidRPr="001D45CC">
        <w:rPr>
          <w:rFonts w:ascii="Arial" w:hAnsi="Arial" w:cs="Arial"/>
        </w:rPr>
        <w:t xml:space="preserve">The observed incremental contribution (8.3%) aligns with established neuroimaging biomarkers in comparable stroke prognostic studies. For example, </w:t>
      </w:r>
      <w:r>
        <w:rPr>
          <w:rFonts w:ascii="Arial" w:hAnsi="Arial" w:cs="Arial"/>
        </w:rPr>
        <w:fldChar w:fldCharType="begin"/>
      </w:r>
      <w:r>
        <w:rPr>
          <w:rFonts w:ascii="Arial" w:hAnsi="Arial" w:cs="Arial"/>
        </w:rPr>
        <w:instrText xml:space="preserve"> ADDIN ZOTERO_ITEM CSL_CITATION {"citationID":"WMZOb8yK","properties":{"formattedCitation":"(Stinear et al., 2017)","plainCitation":"(Stinear et al., 2017)","noteIndex":0},"citationItems":[{"id":13161,"uris":["http://zotero.org/groups/2239043/items/7GMCJIIE"],"itemData":{"id":13161,"type":"article-journal","abstract":"Abstract\n            \n              Objective\n              Recovery of motor function is important for regaining independence after stroke, but difficult to predict for individual patients. Our aim was to develop an efficient, accurate, and accessible algorithm for use in clinical settings. Clinical, neurophysiological, and neuroimaging biomarkers of corticospinal integrity obtained within days of stroke were combined to predict likely upper limb motor outcomes 3 months after stroke.\n            \n            \n              Methods\n              Data from 207 patients recruited within 3 days of stroke [103 females (50%), median age 72 (range 18–98) years] were included in a Classification and Regression Tree analysis to predict upper limb function 3 months poststroke.\n            \n            \n              Results\n              \n                The analysis produced an algorithm that sequentially combined a measure of upper limb impairment; age; the presence or absence of upper limb motor evoked potentials elicited with transcranial magnetic stimulation; and stroke lesion load obtained from\n                MRI\n                or stroke severity assessed with the\n                NIHSS\n                score. The algorithm makes correct predictions for 75% of patients. A key biomarker obtained with transcranial magnetic stimulation is required for one third of patients. This biomarker combined with\n                NIHSS\n                score can be used in place of more costly magnetic resonance imaging, with no loss of prediction accuracy.\n              \n            \n            \n              Interpretation\n              \n                The new algorithm is more accurate, efficient, and accessible than its predecessors, which may support its use in clinical practice. While further work is needed to potentially incorporate sensory and cognitive factors, the algorithm can be used within days of stroke to provide accurate predictions of upper limb functional outcomes at 3 months after stroke.\n                www.presto.auckland.ac.nz","container-title":"Annals of Clinical and Translational Neurology","DOI":"10.1002/acn3.488","ISSN":"2328-9503, 2328-9503","issue":"11","journalAbbreviation":"Ann Clin Transl Neurol","language":"en","page":"811-820","source":"DOI.org (Crossref)","title":"PREP2: A biomarker</w:instrText>
      </w:r>
      <w:r>
        <w:rPr>
          <w:rFonts w:ascii="Cambria Math" w:hAnsi="Cambria Math" w:cs="Cambria Math"/>
        </w:rPr>
        <w:instrText>‐</w:instrText>
      </w:r>
      <w:r>
        <w:rPr>
          <w:rFonts w:ascii="Arial" w:hAnsi="Arial" w:cs="Arial"/>
        </w:rPr>
        <w:instrText>based algorithm for predicting upper limb function after stroke","title-short":"PREP2","volume":"4","author":[{"family":"Stinear","given":"Cathy M."},{"family":"Byblow","given":"Winston D."},{"family":"Ackerley","given":"Suzanne J."},{"family":"Smith","given":"Marie</w:instrText>
      </w:r>
      <w:r>
        <w:rPr>
          <w:rFonts w:ascii="Cambria Math" w:hAnsi="Cambria Math" w:cs="Cambria Math"/>
        </w:rPr>
        <w:instrText>‐</w:instrText>
      </w:r>
      <w:r>
        <w:rPr>
          <w:rFonts w:ascii="Arial" w:hAnsi="Arial" w:cs="Arial"/>
        </w:rPr>
        <w:instrText xml:space="preserve">Claire"},{"family":"Borges","given":"Victor M."},{"family":"Barber","given":"P. Alan"}],"issued":{"date-parts":[["2017",11]]}}}],"schema":"https://github.com/citation-style-language/schema/raw/master/csl-citation.json"} </w:instrText>
      </w:r>
      <w:r>
        <w:rPr>
          <w:rFonts w:ascii="Arial" w:hAnsi="Arial" w:cs="Arial"/>
        </w:rPr>
        <w:fldChar w:fldCharType="separate"/>
      </w:r>
      <w:r w:rsidRPr="00BE4CB8">
        <w:rPr>
          <w:rFonts w:ascii="Arial" w:hAnsi="Arial" w:cs="Arial"/>
        </w:rPr>
        <w:t>(Stinear et al., 2017)</w:t>
      </w:r>
      <w:r>
        <w:rPr>
          <w:rFonts w:ascii="Arial" w:hAnsi="Arial" w:cs="Arial"/>
        </w:rPr>
        <w:fldChar w:fldCharType="end"/>
      </w:r>
      <w:r w:rsidRPr="001D45CC">
        <w:rPr>
          <w:rFonts w:ascii="Arial" w:hAnsi="Arial" w:cs="Arial"/>
        </w:rPr>
        <w:t xml:space="preserve"> reported that motor-evoked potential status added 4–9% incremental variance to clinical models, and </w:t>
      </w:r>
      <w:proofErr w:type="spellStart"/>
      <w:r w:rsidRPr="001D45CC">
        <w:rPr>
          <w:rFonts w:ascii="Arial" w:hAnsi="Arial" w:cs="Arial"/>
        </w:rPr>
        <w:t>Bonkhoff</w:t>
      </w:r>
      <w:proofErr w:type="spellEnd"/>
      <w:r w:rsidRPr="001D45CC">
        <w:rPr>
          <w:rFonts w:ascii="Arial" w:hAnsi="Arial" w:cs="Arial"/>
        </w:rPr>
        <w:t xml:space="preserve"> et al. (2021) found that dynamic network connectivity metrics explained 6–12% additional variance in stroke recovery outcomes. Thus, the magnitude of the observed effect is consistent with field benchmarks for single mechanistic markers added to established clinical predictors.</w:t>
      </w:r>
    </w:p>
    <w:p w14:paraId="3F36C0DB" w14:textId="77777777" w:rsidR="003F17A6" w:rsidRPr="003F17A6" w:rsidRDefault="003F17A6" w:rsidP="003F17A6"/>
    <w:p w14:paraId="1638637D" w14:textId="77777777" w:rsidR="00F20E35" w:rsidRPr="00F20E35" w:rsidRDefault="00F20E35" w:rsidP="00F20E35">
      <w:pPr>
        <w:pStyle w:val="Ueberschrift02"/>
      </w:pPr>
      <w:r w:rsidRPr="00F20E35">
        <w:t>Limitations and future directions</w:t>
      </w:r>
    </w:p>
    <w:p w14:paraId="4C1622A4" w14:textId="77777777" w:rsidR="00C851B4" w:rsidRPr="00C851B4" w:rsidRDefault="00C851B4" w:rsidP="00C851B4">
      <w:pPr>
        <w:pStyle w:val="StandardWeb"/>
        <w:rPr>
          <w:rFonts w:ascii="Arial" w:hAnsi="Arial" w:cs="Arial"/>
        </w:rPr>
      </w:pPr>
      <w:r w:rsidRPr="00C851B4">
        <w:rPr>
          <w:rFonts w:ascii="Arial" w:hAnsi="Arial" w:cs="Arial"/>
        </w:rPr>
        <w:t>Limitations include modest sample size (n=28) with insufficient power for small-to-medium effects. A priori sensitivity analysis indicated 80% power to detect a partial correlation of r≈0.52, whereas the observed effect for ΔDMN_inter (r≈0.31, ΔR²=0.083) falls below this threshold. While robustness checks indicated directional stability across resampling procedures (see Results: Effect size and precision), the wide confidence intervals (95% CI for ΔR²: [0.00, 0.22]) reflect substantial sampling uncertainty inherent to small-sample acute stroke neuroimaging, and effect sizes should not be overinterpreted.</w:t>
      </w:r>
    </w:p>
    <w:p w14:paraId="083BC459" w14:textId="77777777" w:rsidR="00C851B4" w:rsidRPr="00C851B4" w:rsidRDefault="00C851B4" w:rsidP="00C851B4">
      <w:pPr>
        <w:pStyle w:val="StandardWeb"/>
        <w:rPr>
          <w:rFonts w:ascii="Arial" w:hAnsi="Arial" w:cs="Arial"/>
        </w:rPr>
      </w:pPr>
      <w:r w:rsidRPr="00C851B4">
        <w:rPr>
          <w:rFonts w:ascii="Arial" w:hAnsi="Arial" w:cs="Arial"/>
        </w:rPr>
        <w:t>Selection toward patients able to complete acute MRI and task performance limits generalizability to more severe strokes. Lesion topography was heterogeneous and the study was not powered for location-dependent analyses; lesion volume was included as a covariate, but residual lesion-specific effects cannot be excluded. Later follow-up outcomes showed ceiling effects, reducing sensitivity to detect associations at 24 weeks.</w:t>
      </w:r>
    </w:p>
    <w:p w14:paraId="10E0B723" w14:textId="77E84AD8" w:rsidR="00F20E35" w:rsidRPr="00F20E35" w:rsidRDefault="00C851B4" w:rsidP="00C851B4">
      <w:pPr>
        <w:pStyle w:val="StandardWeb"/>
        <w:rPr>
          <w:rFonts w:ascii="Arial" w:hAnsi="Arial" w:cs="Arial"/>
        </w:rPr>
      </w:pPr>
      <w:r w:rsidRPr="00C851B4">
        <w:rPr>
          <w:rFonts w:ascii="Arial" w:hAnsi="Arial" w:cs="Arial"/>
        </w:rPr>
        <w:t xml:space="preserve">Future work should test whether task-induced DMN modulation and reintegration represent stable trait-like markers or dynamic states that evolve across recovery. External validation in larger cohorts (n≈85–100) is required to confirm the prognostic value of ΔDMN_inter and establish clinical utility before translation to practice. Larger longitudinal cohorts with repeated imaging will clarify trajectories and links to therapy response. Integrating DMN markers with structural disconnection and corticospinal integrity could yield more informative multimodal candidate models. Interventional studies targeting attention, cognitive control, or neuromodulation could examine </w:t>
      </w:r>
      <w:r w:rsidRPr="00C851B4">
        <w:rPr>
          <w:rFonts w:ascii="Arial" w:hAnsi="Arial" w:cs="Arial"/>
        </w:rPr>
        <w:lastRenderedPageBreak/>
        <w:t>whether normalizing DMN resilience relates to improved learning and functional recovery.</w:t>
      </w:r>
    </w:p>
    <w:p w14:paraId="4EAA78F5" w14:textId="77777777" w:rsidR="00F20E35" w:rsidRPr="00F20E35" w:rsidRDefault="00F20E35" w:rsidP="00F20E35">
      <w:pPr>
        <w:pStyle w:val="Ueberschrift02"/>
      </w:pPr>
      <w:r w:rsidRPr="00F20E35">
        <w:t>Conclusions and implications</w:t>
      </w:r>
    </w:p>
    <w:p w14:paraId="313FE970" w14:textId="00E736A6" w:rsidR="000F3041" w:rsidRDefault="00F20E35" w:rsidP="00F20E35">
      <w:pPr>
        <w:pStyle w:val="StandardWeb"/>
        <w:rPr>
          <w:rFonts w:ascii="Arial" w:hAnsi="Arial" w:cs="Arial"/>
        </w:rPr>
      </w:pPr>
      <w:r w:rsidRPr="00F20E35">
        <w:rPr>
          <w:rFonts w:ascii="Arial" w:hAnsi="Arial" w:cs="Arial"/>
        </w:rPr>
        <w:t>Acute stroke was associated with marked alterations in large-scale network dynamics during motor sequence learning, affecting both motor and DMN systems. Among prespecified candidates, ΔDMN_inter showed the clearest and most consistent association with near-term upper-limb outcome and provided incremental explanatory value beyond baseline impairment and lesion-related covariates, while motor-network modulation did not add prognostic information. Overall, acute recovery appears to depend not only on motor-network integrity but on DMN-based network resilience comprising demand-sensitive modulation and post-demand reintegration.</w:t>
      </w:r>
    </w:p>
    <w:p w14:paraId="5AF3A740" w14:textId="1405F9B6" w:rsidR="00E25820" w:rsidRDefault="00E25820" w:rsidP="006553C0">
      <w:pPr>
        <w:rPr>
          <w:rFonts w:ascii="Arial" w:hAnsi="Arial" w:cs="Arial"/>
        </w:rPr>
      </w:pPr>
    </w:p>
    <w:p w14:paraId="7E0BDEED" w14:textId="666A4211" w:rsidR="006553C0" w:rsidRDefault="006553C0" w:rsidP="006553C0">
      <w:pPr>
        <w:pStyle w:val="Ueberschrift01"/>
      </w:pPr>
      <w:r>
        <w:t>Tables</w:t>
      </w:r>
    </w:p>
    <w:p w14:paraId="66331C89" w14:textId="77777777" w:rsidR="00731EC9" w:rsidRPr="007E349F" w:rsidRDefault="00731EC9" w:rsidP="005A41B5">
      <w:pPr>
        <w:ind w:hanging="1"/>
        <w:rPr>
          <w:rFonts w:ascii="Arial" w:hAnsi="Arial" w:cs="Arial"/>
        </w:rPr>
      </w:pPr>
    </w:p>
    <w:p w14:paraId="66ADF3A7" w14:textId="6D69CF82" w:rsidR="00DA0834" w:rsidRPr="00DA0834" w:rsidRDefault="00DA0834" w:rsidP="00DA0834">
      <w:pPr>
        <w:rPr>
          <w:rFonts w:ascii="Arial" w:hAnsi="Arial" w:cs="Arial"/>
          <w:bCs/>
        </w:rPr>
      </w:pPr>
      <w:r w:rsidRPr="00DA0834">
        <w:rPr>
          <w:rFonts w:ascii="Arial" w:hAnsi="Arial" w:cs="Arial"/>
          <w:bCs/>
        </w:rPr>
        <w:t xml:space="preserve">Table </w:t>
      </w:r>
      <w:r w:rsidR="000661DA">
        <w:rPr>
          <w:rFonts w:ascii="Arial" w:hAnsi="Arial" w:cs="Arial"/>
          <w:bCs/>
        </w:rPr>
        <w:t>1</w:t>
      </w:r>
      <w:r w:rsidRPr="00DA0834">
        <w:rPr>
          <w:rFonts w:ascii="Arial" w:hAnsi="Arial" w:cs="Arial"/>
          <w:bCs/>
        </w:rPr>
        <w:t>. Hierarchical prediction models for FMUE at 6 weeks (primary endpoint)</w:t>
      </w:r>
    </w:p>
    <w:tbl>
      <w:tblPr>
        <w:tblStyle w:val="Listentabelle6farbig"/>
        <w:tblW w:w="0" w:type="auto"/>
        <w:tblLook w:val="04A0" w:firstRow="1" w:lastRow="0" w:firstColumn="1" w:lastColumn="0" w:noHBand="0" w:noVBand="1"/>
      </w:tblPr>
      <w:tblGrid>
        <w:gridCol w:w="1941"/>
        <w:gridCol w:w="2334"/>
        <w:gridCol w:w="894"/>
        <w:gridCol w:w="721"/>
        <w:gridCol w:w="571"/>
        <w:gridCol w:w="571"/>
        <w:gridCol w:w="906"/>
        <w:gridCol w:w="1134"/>
      </w:tblGrid>
      <w:tr w:rsidR="00342462" w:rsidRPr="00FE78DC" w14:paraId="74B1D396" w14:textId="77777777" w:rsidTr="00C82F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6F773" w14:textId="77777777"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Model</w:t>
            </w:r>
          </w:p>
        </w:tc>
        <w:tc>
          <w:tcPr>
            <w:tcW w:w="2334" w:type="dxa"/>
            <w:hideMark/>
          </w:tcPr>
          <w:p w14:paraId="3AEFE572"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Predictors (added to Base)</w:t>
            </w:r>
          </w:p>
        </w:tc>
        <w:tc>
          <w:tcPr>
            <w:tcW w:w="894" w:type="dxa"/>
            <w:hideMark/>
          </w:tcPr>
          <w:p w14:paraId="257CFC89"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R²</w:t>
            </w:r>
          </w:p>
        </w:tc>
        <w:tc>
          <w:tcPr>
            <w:tcW w:w="0" w:type="auto"/>
            <w:hideMark/>
          </w:tcPr>
          <w:p w14:paraId="46F0D70E"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Adj. R²</w:t>
            </w:r>
          </w:p>
        </w:tc>
        <w:tc>
          <w:tcPr>
            <w:tcW w:w="0" w:type="auto"/>
            <w:hideMark/>
          </w:tcPr>
          <w:p w14:paraId="20771246"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AIC</w:t>
            </w:r>
          </w:p>
        </w:tc>
        <w:tc>
          <w:tcPr>
            <w:tcW w:w="0" w:type="auto"/>
            <w:hideMark/>
          </w:tcPr>
          <w:p w14:paraId="1304C746"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BIC</w:t>
            </w:r>
          </w:p>
        </w:tc>
        <w:tc>
          <w:tcPr>
            <w:tcW w:w="0" w:type="auto"/>
            <w:hideMark/>
          </w:tcPr>
          <w:p w14:paraId="395D729D"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ΔR² vs Base</w:t>
            </w:r>
          </w:p>
        </w:tc>
        <w:tc>
          <w:tcPr>
            <w:tcW w:w="0" w:type="auto"/>
            <w:hideMark/>
          </w:tcPr>
          <w:p w14:paraId="5102D4FD" w14:textId="77777777" w:rsidR="00342462" w:rsidRPr="00FE78DC" w:rsidRDefault="00342462" w:rsidP="00FE78DC">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FE78DC">
              <w:rPr>
                <w:rFonts w:asciiTheme="majorHAnsi" w:hAnsiTheme="majorHAnsi" w:cstheme="majorHAnsi"/>
                <w:sz w:val="20"/>
                <w:szCs w:val="20"/>
                <w:lang w:val="en-US"/>
              </w:rPr>
              <w:t>Model F p-value</w:t>
            </w:r>
          </w:p>
        </w:tc>
      </w:tr>
      <w:tr w:rsidR="00342462" w:rsidRPr="00FE78DC" w14:paraId="05DA6790" w14:textId="77777777" w:rsidTr="00C8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F0DFD" w14:textId="77777777"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Base</w:t>
            </w:r>
          </w:p>
        </w:tc>
        <w:tc>
          <w:tcPr>
            <w:tcW w:w="2334" w:type="dxa"/>
            <w:hideMark/>
          </w:tcPr>
          <w:p w14:paraId="0D987D5A"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w:t>
            </w:r>
          </w:p>
        </w:tc>
        <w:tc>
          <w:tcPr>
            <w:tcW w:w="894" w:type="dxa"/>
            <w:hideMark/>
          </w:tcPr>
          <w:p w14:paraId="5C1B8EBF" w14:textId="25DA0349"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0.25</w:t>
            </w:r>
          </w:p>
        </w:tc>
        <w:tc>
          <w:tcPr>
            <w:tcW w:w="0" w:type="auto"/>
            <w:hideMark/>
          </w:tcPr>
          <w:p w14:paraId="28402CF9"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0.160</w:t>
            </w:r>
          </w:p>
        </w:tc>
        <w:tc>
          <w:tcPr>
            <w:tcW w:w="0" w:type="auto"/>
            <w:hideMark/>
          </w:tcPr>
          <w:p w14:paraId="410A2266" w14:textId="5DABA2BF"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79.</w:t>
            </w:r>
            <w:r w:rsidRPr="00342462">
              <w:rPr>
                <w:rFonts w:asciiTheme="majorHAnsi" w:hAnsiTheme="majorHAnsi" w:cstheme="majorHAnsi"/>
                <w:bCs/>
                <w:sz w:val="20"/>
                <w:szCs w:val="20"/>
                <w:lang w:val="en-US"/>
              </w:rPr>
              <w:t>3</w:t>
            </w:r>
          </w:p>
        </w:tc>
        <w:tc>
          <w:tcPr>
            <w:tcW w:w="0" w:type="auto"/>
            <w:hideMark/>
          </w:tcPr>
          <w:p w14:paraId="3CD68A02" w14:textId="5799001D"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84.6</w:t>
            </w:r>
          </w:p>
        </w:tc>
        <w:tc>
          <w:tcPr>
            <w:tcW w:w="0" w:type="auto"/>
            <w:hideMark/>
          </w:tcPr>
          <w:p w14:paraId="0D79383C"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0.000</w:t>
            </w:r>
          </w:p>
        </w:tc>
        <w:tc>
          <w:tcPr>
            <w:tcW w:w="0" w:type="auto"/>
            <w:hideMark/>
          </w:tcPr>
          <w:p w14:paraId="7E6F108A" w14:textId="3B239052"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0.06</w:t>
            </w:r>
          </w:p>
        </w:tc>
      </w:tr>
      <w:tr w:rsidR="00342462" w:rsidRPr="00FE78DC" w14:paraId="470C004A" w14:textId="77777777" w:rsidTr="00C82F95">
        <w:tc>
          <w:tcPr>
            <w:cnfStyle w:val="001000000000" w:firstRow="0" w:lastRow="0" w:firstColumn="1" w:lastColumn="0" w:oddVBand="0" w:evenVBand="0" w:oddHBand="0" w:evenHBand="0" w:firstRowFirstColumn="0" w:firstRowLastColumn="0" w:lastRowFirstColumn="0" w:lastRowLastColumn="0"/>
            <w:tcW w:w="0" w:type="auto"/>
            <w:hideMark/>
          </w:tcPr>
          <w:p w14:paraId="26C3A24E" w14:textId="02939448"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 xml:space="preserve">Base + </w:t>
            </w:r>
            <w:r w:rsidRPr="00342462">
              <w:rPr>
                <w:rFonts w:asciiTheme="majorHAnsi" w:hAnsiTheme="majorHAnsi" w:cstheme="majorHAnsi"/>
                <w:sz w:val="20"/>
                <w:szCs w:val="20"/>
                <w:lang w:val="en-US"/>
              </w:rPr>
              <w:t>ΔDMN_inter</w:t>
            </w:r>
          </w:p>
        </w:tc>
        <w:tc>
          <w:tcPr>
            <w:tcW w:w="2334" w:type="dxa"/>
            <w:hideMark/>
          </w:tcPr>
          <w:p w14:paraId="3A365D82" w14:textId="568F67D1"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342462">
              <w:rPr>
                <w:rFonts w:asciiTheme="majorHAnsi" w:hAnsiTheme="majorHAnsi" w:cstheme="majorHAnsi"/>
                <w:bCs/>
                <w:sz w:val="20"/>
                <w:szCs w:val="20"/>
                <w:lang w:val="en-US"/>
              </w:rPr>
              <w:t>ΔDMN_inter</w:t>
            </w:r>
          </w:p>
        </w:tc>
        <w:tc>
          <w:tcPr>
            <w:tcW w:w="894" w:type="dxa"/>
            <w:hideMark/>
          </w:tcPr>
          <w:p w14:paraId="7A969CEF" w14:textId="2AFBD791"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0.3</w:t>
            </w:r>
            <w:r w:rsidRPr="00342462">
              <w:rPr>
                <w:rFonts w:asciiTheme="majorHAnsi" w:hAnsiTheme="majorHAnsi" w:cstheme="majorHAnsi"/>
                <w:bCs/>
                <w:sz w:val="20"/>
                <w:szCs w:val="20"/>
                <w:lang w:val="en-US"/>
              </w:rPr>
              <w:t>4</w:t>
            </w:r>
          </w:p>
        </w:tc>
        <w:tc>
          <w:tcPr>
            <w:tcW w:w="0" w:type="auto"/>
            <w:hideMark/>
          </w:tcPr>
          <w:p w14:paraId="7F0F766E"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0.221</w:t>
            </w:r>
          </w:p>
        </w:tc>
        <w:tc>
          <w:tcPr>
            <w:tcW w:w="0" w:type="auto"/>
            <w:hideMark/>
          </w:tcPr>
          <w:p w14:paraId="0F3F52AC" w14:textId="3328E438"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7</w:t>
            </w:r>
            <w:r w:rsidRPr="00342462">
              <w:rPr>
                <w:rFonts w:asciiTheme="majorHAnsi" w:hAnsiTheme="majorHAnsi" w:cstheme="majorHAnsi"/>
                <w:bCs/>
                <w:sz w:val="20"/>
                <w:szCs w:val="20"/>
                <w:lang w:val="en-US"/>
              </w:rPr>
              <w:t>9</w:t>
            </w:r>
            <w:r w:rsidRPr="00FE78DC">
              <w:rPr>
                <w:rFonts w:asciiTheme="majorHAnsi" w:hAnsiTheme="majorHAnsi" w:cstheme="majorHAnsi"/>
                <w:bCs/>
                <w:sz w:val="20"/>
                <w:szCs w:val="20"/>
                <w:lang w:val="en-US"/>
              </w:rPr>
              <w:t>.</w:t>
            </w:r>
            <w:r w:rsidRPr="00342462">
              <w:rPr>
                <w:rFonts w:asciiTheme="majorHAnsi" w:hAnsiTheme="majorHAnsi" w:cstheme="majorHAnsi"/>
                <w:bCs/>
                <w:sz w:val="20"/>
                <w:szCs w:val="20"/>
                <w:lang w:val="en-US"/>
              </w:rPr>
              <w:t>0</w:t>
            </w:r>
          </w:p>
        </w:tc>
        <w:tc>
          <w:tcPr>
            <w:tcW w:w="0" w:type="auto"/>
            <w:hideMark/>
          </w:tcPr>
          <w:p w14:paraId="0B535BF1" w14:textId="4E562339"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84.6</w:t>
            </w:r>
          </w:p>
        </w:tc>
        <w:tc>
          <w:tcPr>
            <w:tcW w:w="0" w:type="auto"/>
            <w:hideMark/>
          </w:tcPr>
          <w:p w14:paraId="17FADCA8"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0.083</w:t>
            </w:r>
          </w:p>
        </w:tc>
        <w:tc>
          <w:tcPr>
            <w:tcW w:w="0" w:type="auto"/>
            <w:hideMark/>
          </w:tcPr>
          <w:p w14:paraId="0DEFE40A" w14:textId="4FB1ADC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0.04</w:t>
            </w:r>
          </w:p>
        </w:tc>
      </w:tr>
      <w:tr w:rsidR="00342462" w:rsidRPr="00FE78DC" w14:paraId="38B125D6" w14:textId="77777777" w:rsidTr="00C8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3FA9D" w14:textId="77777777"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Base + Learning</w:t>
            </w:r>
          </w:p>
        </w:tc>
        <w:tc>
          <w:tcPr>
            <w:tcW w:w="2334" w:type="dxa"/>
            <w:hideMark/>
          </w:tcPr>
          <w:p w14:paraId="266229CF" w14:textId="285821DF"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342462">
              <w:rPr>
                <w:rFonts w:asciiTheme="majorHAnsi" w:hAnsiTheme="majorHAnsi" w:cstheme="majorHAnsi"/>
                <w:bCs/>
                <w:sz w:val="20"/>
                <w:szCs w:val="20"/>
                <w:lang w:val="en-US"/>
              </w:rPr>
              <w:t>MST s</w:t>
            </w:r>
            <w:r w:rsidRPr="00FE78DC">
              <w:rPr>
                <w:rFonts w:asciiTheme="majorHAnsi" w:hAnsiTheme="majorHAnsi" w:cstheme="majorHAnsi"/>
                <w:bCs/>
                <w:sz w:val="20"/>
                <w:szCs w:val="20"/>
                <w:lang w:val="en-US"/>
              </w:rPr>
              <w:t>lope</w:t>
            </w:r>
          </w:p>
        </w:tc>
        <w:tc>
          <w:tcPr>
            <w:tcW w:w="894" w:type="dxa"/>
            <w:hideMark/>
          </w:tcPr>
          <w:p w14:paraId="2E55D1FB" w14:textId="1A89A45A"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0.25</w:t>
            </w:r>
          </w:p>
        </w:tc>
        <w:tc>
          <w:tcPr>
            <w:tcW w:w="0" w:type="auto"/>
            <w:hideMark/>
          </w:tcPr>
          <w:p w14:paraId="2D655171"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0.124</w:t>
            </w:r>
          </w:p>
        </w:tc>
        <w:tc>
          <w:tcPr>
            <w:tcW w:w="0" w:type="auto"/>
            <w:hideMark/>
          </w:tcPr>
          <w:p w14:paraId="22F22BED" w14:textId="3ED5789F"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81.</w:t>
            </w:r>
            <w:r w:rsidRPr="00342462">
              <w:rPr>
                <w:rFonts w:asciiTheme="majorHAnsi" w:hAnsiTheme="majorHAnsi" w:cstheme="majorHAnsi"/>
                <w:bCs/>
                <w:sz w:val="20"/>
                <w:szCs w:val="20"/>
                <w:lang w:val="en-US"/>
              </w:rPr>
              <w:t>3</w:t>
            </w:r>
          </w:p>
        </w:tc>
        <w:tc>
          <w:tcPr>
            <w:tcW w:w="0" w:type="auto"/>
            <w:hideMark/>
          </w:tcPr>
          <w:p w14:paraId="3F8BEEB3" w14:textId="569BE891"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87.9</w:t>
            </w:r>
          </w:p>
        </w:tc>
        <w:tc>
          <w:tcPr>
            <w:tcW w:w="0" w:type="auto"/>
            <w:hideMark/>
          </w:tcPr>
          <w:p w14:paraId="76512D6E"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0.000</w:t>
            </w:r>
          </w:p>
        </w:tc>
        <w:tc>
          <w:tcPr>
            <w:tcW w:w="0" w:type="auto"/>
            <w:hideMark/>
          </w:tcPr>
          <w:p w14:paraId="2348BE16" w14:textId="2467D79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0.13</w:t>
            </w:r>
          </w:p>
        </w:tc>
      </w:tr>
      <w:tr w:rsidR="00342462" w:rsidRPr="00FE78DC" w14:paraId="25062801" w14:textId="77777777" w:rsidTr="00C82F95">
        <w:tc>
          <w:tcPr>
            <w:cnfStyle w:val="001000000000" w:firstRow="0" w:lastRow="0" w:firstColumn="1" w:lastColumn="0" w:oddVBand="0" w:evenVBand="0" w:oddHBand="0" w:evenHBand="0" w:firstRowFirstColumn="0" w:firstRowLastColumn="0" w:lastRowFirstColumn="0" w:lastRowLastColumn="0"/>
            <w:tcW w:w="0" w:type="auto"/>
            <w:hideMark/>
          </w:tcPr>
          <w:p w14:paraId="7F056665" w14:textId="76C633B5"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Full (ΔDMN</w:t>
            </w:r>
            <w:r w:rsidR="00176CFE">
              <w:rPr>
                <w:rFonts w:asciiTheme="majorHAnsi" w:hAnsiTheme="majorHAnsi" w:cstheme="majorHAnsi"/>
                <w:sz w:val="20"/>
                <w:szCs w:val="20"/>
                <w:lang w:val="en-US"/>
              </w:rPr>
              <w:t>_inter</w:t>
            </w:r>
            <w:r w:rsidRPr="00FE78DC">
              <w:rPr>
                <w:rFonts w:asciiTheme="majorHAnsi" w:hAnsiTheme="majorHAnsi" w:cstheme="majorHAnsi"/>
                <w:sz w:val="20"/>
                <w:szCs w:val="20"/>
                <w:lang w:val="en-US"/>
              </w:rPr>
              <w:t xml:space="preserve"> + Learning)</w:t>
            </w:r>
          </w:p>
        </w:tc>
        <w:tc>
          <w:tcPr>
            <w:tcW w:w="2334" w:type="dxa"/>
            <w:hideMark/>
          </w:tcPr>
          <w:p w14:paraId="0D3620DD" w14:textId="044D2DB1"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ΔDMN_</w:t>
            </w:r>
            <w:r w:rsidR="00326FC5">
              <w:rPr>
                <w:rFonts w:asciiTheme="majorHAnsi" w:hAnsiTheme="majorHAnsi" w:cstheme="majorHAnsi"/>
                <w:bCs/>
                <w:sz w:val="20"/>
                <w:szCs w:val="20"/>
                <w:lang w:val="en-US"/>
              </w:rPr>
              <w:t>inter</w:t>
            </w:r>
            <w:r w:rsidRPr="00FE78DC">
              <w:rPr>
                <w:rFonts w:asciiTheme="majorHAnsi" w:hAnsiTheme="majorHAnsi" w:cstheme="majorHAnsi"/>
                <w:bCs/>
                <w:sz w:val="20"/>
                <w:szCs w:val="20"/>
                <w:lang w:val="en-US"/>
              </w:rPr>
              <w:t xml:space="preserve"> + </w:t>
            </w:r>
            <w:r w:rsidRPr="00342462">
              <w:rPr>
                <w:rFonts w:asciiTheme="majorHAnsi" w:hAnsiTheme="majorHAnsi" w:cstheme="majorHAnsi"/>
                <w:bCs/>
                <w:sz w:val="20"/>
                <w:szCs w:val="20"/>
                <w:lang w:val="en-US"/>
              </w:rPr>
              <w:t>MST slope</w:t>
            </w:r>
          </w:p>
        </w:tc>
        <w:tc>
          <w:tcPr>
            <w:tcW w:w="894" w:type="dxa"/>
            <w:hideMark/>
          </w:tcPr>
          <w:p w14:paraId="7C7B5CF1" w14:textId="2D72DFE5"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0.34</w:t>
            </w:r>
          </w:p>
        </w:tc>
        <w:tc>
          <w:tcPr>
            <w:tcW w:w="0" w:type="auto"/>
            <w:hideMark/>
          </w:tcPr>
          <w:p w14:paraId="23A97693"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0.195</w:t>
            </w:r>
          </w:p>
        </w:tc>
        <w:tc>
          <w:tcPr>
            <w:tcW w:w="0" w:type="auto"/>
            <w:hideMark/>
          </w:tcPr>
          <w:p w14:paraId="3736A3F8" w14:textId="05D93892"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79.</w:t>
            </w:r>
            <w:r w:rsidRPr="00342462">
              <w:rPr>
                <w:rFonts w:asciiTheme="majorHAnsi" w:hAnsiTheme="majorHAnsi" w:cstheme="majorHAnsi"/>
                <w:bCs/>
                <w:sz w:val="20"/>
                <w:szCs w:val="20"/>
                <w:lang w:val="en-US"/>
              </w:rPr>
              <w:t>7</w:t>
            </w:r>
          </w:p>
        </w:tc>
        <w:tc>
          <w:tcPr>
            <w:tcW w:w="0" w:type="auto"/>
            <w:hideMark/>
          </w:tcPr>
          <w:p w14:paraId="463D2E45" w14:textId="2973261B"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87.6</w:t>
            </w:r>
          </w:p>
        </w:tc>
        <w:tc>
          <w:tcPr>
            <w:tcW w:w="0" w:type="auto"/>
            <w:hideMark/>
          </w:tcPr>
          <w:p w14:paraId="3424EA5A"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0.091</w:t>
            </w:r>
          </w:p>
        </w:tc>
        <w:tc>
          <w:tcPr>
            <w:tcW w:w="0" w:type="auto"/>
            <w:hideMark/>
          </w:tcPr>
          <w:p w14:paraId="073F5E02" w14:textId="60DA3CD2"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0.07</w:t>
            </w:r>
          </w:p>
        </w:tc>
      </w:tr>
      <w:tr w:rsidR="00342462" w:rsidRPr="00FE78DC" w14:paraId="352C573C" w14:textId="77777777" w:rsidTr="00C82F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6775" w14:textId="77777777"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t>Base + Motor (neg ctrl)</w:t>
            </w:r>
          </w:p>
        </w:tc>
        <w:tc>
          <w:tcPr>
            <w:tcW w:w="2334" w:type="dxa"/>
            <w:hideMark/>
          </w:tcPr>
          <w:p w14:paraId="4D42DD14" w14:textId="16251E5A"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proofErr w:type="spellStart"/>
            <w:r w:rsidRPr="00342462">
              <w:rPr>
                <w:rFonts w:asciiTheme="majorHAnsi" w:hAnsiTheme="majorHAnsi" w:cstheme="majorHAnsi"/>
                <w:bCs/>
                <w:sz w:val="20"/>
                <w:szCs w:val="20"/>
                <w:lang w:val="en-US"/>
              </w:rPr>
              <w:t>ΔMotor_inter</w:t>
            </w:r>
            <w:proofErr w:type="spellEnd"/>
          </w:p>
        </w:tc>
        <w:tc>
          <w:tcPr>
            <w:tcW w:w="894" w:type="dxa"/>
            <w:hideMark/>
          </w:tcPr>
          <w:p w14:paraId="334F7BE1" w14:textId="2B042DCF"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0.25</w:t>
            </w:r>
          </w:p>
        </w:tc>
        <w:tc>
          <w:tcPr>
            <w:tcW w:w="0" w:type="auto"/>
            <w:hideMark/>
          </w:tcPr>
          <w:p w14:paraId="0B5032CB"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0.124</w:t>
            </w:r>
          </w:p>
        </w:tc>
        <w:tc>
          <w:tcPr>
            <w:tcW w:w="0" w:type="auto"/>
            <w:hideMark/>
          </w:tcPr>
          <w:p w14:paraId="1EB9573C" w14:textId="2FD6729F"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81.</w:t>
            </w:r>
            <w:r w:rsidRPr="00342462">
              <w:rPr>
                <w:rFonts w:asciiTheme="majorHAnsi" w:hAnsiTheme="majorHAnsi" w:cstheme="majorHAnsi"/>
                <w:bCs/>
                <w:sz w:val="20"/>
                <w:szCs w:val="20"/>
                <w:lang w:val="en-US"/>
              </w:rPr>
              <w:t>3</w:t>
            </w:r>
          </w:p>
        </w:tc>
        <w:tc>
          <w:tcPr>
            <w:tcW w:w="0" w:type="auto"/>
            <w:hideMark/>
          </w:tcPr>
          <w:p w14:paraId="47546932" w14:textId="5D621D82"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87.9</w:t>
            </w:r>
          </w:p>
        </w:tc>
        <w:tc>
          <w:tcPr>
            <w:tcW w:w="0" w:type="auto"/>
            <w:hideMark/>
          </w:tcPr>
          <w:p w14:paraId="0C54792F" w14:textId="77777777"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0.001</w:t>
            </w:r>
          </w:p>
        </w:tc>
        <w:tc>
          <w:tcPr>
            <w:tcW w:w="0" w:type="auto"/>
            <w:hideMark/>
          </w:tcPr>
          <w:p w14:paraId="1FB9C7A2" w14:textId="7EBFC9D8" w:rsidR="00342462" w:rsidRPr="00FE78DC" w:rsidRDefault="00342462" w:rsidP="00FE78DC">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0.13</w:t>
            </w:r>
          </w:p>
        </w:tc>
      </w:tr>
      <w:tr w:rsidR="00342462" w:rsidRPr="00FE78DC" w14:paraId="50AC323A" w14:textId="77777777" w:rsidTr="00C82F95">
        <w:tc>
          <w:tcPr>
            <w:cnfStyle w:val="001000000000" w:firstRow="0" w:lastRow="0" w:firstColumn="1" w:lastColumn="0" w:oddVBand="0" w:evenVBand="0" w:oddHBand="0" w:evenHBand="0" w:firstRowFirstColumn="0" w:firstRowLastColumn="0" w:lastRowFirstColumn="0" w:lastRowLastColumn="0"/>
            <w:tcW w:w="0" w:type="auto"/>
            <w:hideMark/>
          </w:tcPr>
          <w:p w14:paraId="011B7A48" w14:textId="77777777" w:rsidR="00342462" w:rsidRPr="00FE78DC" w:rsidRDefault="00342462" w:rsidP="00FE78DC">
            <w:pPr>
              <w:spacing w:line="480" w:lineRule="auto"/>
              <w:rPr>
                <w:rFonts w:asciiTheme="majorHAnsi" w:hAnsiTheme="majorHAnsi" w:cstheme="majorHAnsi"/>
                <w:sz w:val="20"/>
                <w:szCs w:val="20"/>
                <w:lang w:val="en-US"/>
              </w:rPr>
            </w:pPr>
            <w:r w:rsidRPr="00FE78DC">
              <w:rPr>
                <w:rFonts w:asciiTheme="majorHAnsi" w:hAnsiTheme="majorHAnsi" w:cstheme="majorHAnsi"/>
                <w:sz w:val="20"/>
                <w:szCs w:val="20"/>
                <w:lang w:val="en-US"/>
              </w:rPr>
              <w:lastRenderedPageBreak/>
              <w:t>Full + Motor (neg ctrl)</w:t>
            </w:r>
          </w:p>
        </w:tc>
        <w:tc>
          <w:tcPr>
            <w:tcW w:w="2334" w:type="dxa"/>
            <w:hideMark/>
          </w:tcPr>
          <w:p w14:paraId="162EDBB3" w14:textId="044BF8CA"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342462">
              <w:rPr>
                <w:rFonts w:asciiTheme="majorHAnsi" w:hAnsiTheme="majorHAnsi" w:cstheme="majorHAnsi"/>
                <w:bCs/>
                <w:sz w:val="20"/>
                <w:szCs w:val="20"/>
                <w:lang w:val="en-US"/>
              </w:rPr>
              <w:t>ΔDMN_inter</w:t>
            </w:r>
            <w:r w:rsidRPr="00FE78DC">
              <w:rPr>
                <w:rFonts w:asciiTheme="majorHAnsi" w:hAnsiTheme="majorHAnsi" w:cstheme="majorHAnsi"/>
                <w:bCs/>
                <w:sz w:val="20"/>
                <w:szCs w:val="20"/>
                <w:lang w:val="en-US"/>
              </w:rPr>
              <w:t xml:space="preserve"> + </w:t>
            </w:r>
            <w:r w:rsidRPr="00342462">
              <w:rPr>
                <w:rFonts w:asciiTheme="majorHAnsi" w:hAnsiTheme="majorHAnsi" w:cstheme="majorHAnsi"/>
                <w:bCs/>
                <w:sz w:val="20"/>
                <w:szCs w:val="20"/>
                <w:lang w:val="en-US"/>
              </w:rPr>
              <w:t>MST slope</w:t>
            </w:r>
            <w:r w:rsidRPr="00FE78DC">
              <w:rPr>
                <w:rFonts w:asciiTheme="majorHAnsi" w:hAnsiTheme="majorHAnsi" w:cstheme="majorHAnsi"/>
                <w:bCs/>
                <w:sz w:val="20"/>
                <w:szCs w:val="20"/>
                <w:lang w:val="en-US"/>
              </w:rPr>
              <w:t xml:space="preserve"> + </w:t>
            </w:r>
            <w:proofErr w:type="spellStart"/>
            <w:r w:rsidRPr="00342462">
              <w:rPr>
                <w:rFonts w:asciiTheme="majorHAnsi" w:hAnsiTheme="majorHAnsi" w:cstheme="majorHAnsi"/>
                <w:bCs/>
                <w:sz w:val="20"/>
                <w:szCs w:val="20"/>
                <w:lang w:val="en-US"/>
              </w:rPr>
              <w:t>ΔMotor_inter</w:t>
            </w:r>
            <w:proofErr w:type="spellEnd"/>
          </w:p>
        </w:tc>
        <w:tc>
          <w:tcPr>
            <w:tcW w:w="894" w:type="dxa"/>
            <w:hideMark/>
          </w:tcPr>
          <w:p w14:paraId="3E06D0F8" w14:textId="37EB7126"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0.3</w:t>
            </w:r>
            <w:r w:rsidRPr="00342462">
              <w:rPr>
                <w:rFonts w:asciiTheme="majorHAnsi" w:hAnsiTheme="majorHAnsi" w:cstheme="majorHAnsi"/>
                <w:bCs/>
                <w:sz w:val="20"/>
                <w:szCs w:val="20"/>
                <w:lang w:val="en-US"/>
              </w:rPr>
              <w:t>5</w:t>
            </w:r>
          </w:p>
        </w:tc>
        <w:tc>
          <w:tcPr>
            <w:tcW w:w="0" w:type="auto"/>
            <w:hideMark/>
          </w:tcPr>
          <w:p w14:paraId="268B868F"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0.159</w:t>
            </w:r>
          </w:p>
        </w:tc>
        <w:tc>
          <w:tcPr>
            <w:tcW w:w="0" w:type="auto"/>
            <w:hideMark/>
          </w:tcPr>
          <w:p w14:paraId="51B5F09E" w14:textId="571612FB"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81.6</w:t>
            </w:r>
          </w:p>
        </w:tc>
        <w:tc>
          <w:tcPr>
            <w:tcW w:w="0" w:type="auto"/>
            <w:hideMark/>
          </w:tcPr>
          <w:p w14:paraId="4BDCC0FA" w14:textId="0051C9DD"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90.</w:t>
            </w:r>
            <w:r w:rsidRPr="00342462">
              <w:rPr>
                <w:rFonts w:asciiTheme="majorHAnsi" w:hAnsiTheme="majorHAnsi" w:cstheme="majorHAnsi"/>
                <w:bCs/>
                <w:sz w:val="20"/>
                <w:szCs w:val="20"/>
                <w:lang w:val="en-US"/>
              </w:rPr>
              <w:t>9</w:t>
            </w:r>
          </w:p>
        </w:tc>
        <w:tc>
          <w:tcPr>
            <w:tcW w:w="0" w:type="auto"/>
            <w:hideMark/>
          </w:tcPr>
          <w:p w14:paraId="6EE42004" w14:textId="77777777"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0.093</w:t>
            </w:r>
          </w:p>
        </w:tc>
        <w:tc>
          <w:tcPr>
            <w:tcW w:w="0" w:type="auto"/>
            <w:hideMark/>
          </w:tcPr>
          <w:p w14:paraId="40AD3A8E" w14:textId="470BAC33" w:rsidR="00342462" w:rsidRPr="00FE78DC" w:rsidRDefault="00342462" w:rsidP="00FE78DC">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lang w:val="en-US"/>
              </w:rPr>
            </w:pPr>
            <w:r w:rsidRPr="00FE78DC">
              <w:rPr>
                <w:rFonts w:asciiTheme="majorHAnsi" w:hAnsiTheme="majorHAnsi" w:cstheme="majorHAnsi"/>
                <w:bCs/>
                <w:sz w:val="20"/>
                <w:szCs w:val="20"/>
                <w:lang w:val="en-US"/>
              </w:rPr>
              <w:t>0.13</w:t>
            </w:r>
          </w:p>
        </w:tc>
      </w:tr>
    </w:tbl>
    <w:p w14:paraId="3A693345" w14:textId="77777777" w:rsidR="00DA0834" w:rsidRPr="00DA0834" w:rsidRDefault="00DA0834" w:rsidP="00DA0834">
      <w:pPr>
        <w:rPr>
          <w:rFonts w:ascii="Arial" w:hAnsi="Arial" w:cs="Arial"/>
          <w:bCs/>
        </w:rPr>
      </w:pPr>
    </w:p>
    <w:p w14:paraId="4F0BC11F" w14:textId="326C7E0F" w:rsidR="00DA0834" w:rsidRPr="00DA0834" w:rsidRDefault="00A041B9" w:rsidP="00DA0834">
      <w:pPr>
        <w:rPr>
          <w:rFonts w:ascii="Arial" w:hAnsi="Arial" w:cs="Arial"/>
          <w:bCs/>
        </w:rPr>
      </w:pPr>
      <w:r w:rsidRPr="00A041B9">
        <w:rPr>
          <w:rFonts w:ascii="Arial" w:hAnsi="Arial" w:cs="Arial"/>
          <w:bCs/>
        </w:rPr>
        <w:t xml:space="preserve">Base covariates: </w:t>
      </w:r>
      <w:proofErr w:type="spellStart"/>
      <w:r w:rsidRPr="00A041B9">
        <w:rPr>
          <w:rFonts w:ascii="Arial" w:hAnsi="Arial" w:cs="Arial"/>
          <w:bCs/>
        </w:rPr>
        <w:t>FMUE_baseline</w:t>
      </w:r>
      <w:proofErr w:type="spellEnd"/>
      <w:r w:rsidRPr="00A041B9">
        <w:rPr>
          <w:rFonts w:ascii="Arial" w:hAnsi="Arial" w:cs="Arial"/>
          <w:bCs/>
        </w:rPr>
        <w:t xml:space="preserve">, </w:t>
      </w:r>
      <w:r w:rsidR="002F57EE">
        <w:rPr>
          <w:rFonts w:ascii="Arial" w:hAnsi="Arial" w:cs="Arial"/>
          <w:bCs/>
        </w:rPr>
        <w:t>days to scan</w:t>
      </w:r>
      <w:r w:rsidRPr="00A041B9">
        <w:rPr>
          <w:rFonts w:ascii="Arial" w:hAnsi="Arial" w:cs="Arial"/>
          <w:bCs/>
        </w:rPr>
        <w:t xml:space="preserve">, </w:t>
      </w:r>
      <w:r w:rsidR="003828CE">
        <w:rPr>
          <w:rFonts w:ascii="Arial" w:hAnsi="Arial" w:cs="Arial"/>
          <w:bCs/>
        </w:rPr>
        <w:t>log lesion volume</w:t>
      </w:r>
      <w:r w:rsidRPr="00A041B9">
        <w:rPr>
          <w:rFonts w:ascii="Arial" w:hAnsi="Arial" w:cs="Arial"/>
          <w:bCs/>
        </w:rPr>
        <w:t xml:space="preserve">. </w:t>
      </w:r>
      <w:r w:rsidR="00722694">
        <w:rPr>
          <w:rFonts w:ascii="Arial" w:hAnsi="Arial" w:cs="Arial"/>
          <w:bCs/>
        </w:rPr>
        <w:t>ΔDMN_inter</w:t>
      </w:r>
      <w:r w:rsidRPr="00A041B9">
        <w:rPr>
          <w:rFonts w:ascii="Arial" w:hAnsi="Arial" w:cs="Arial"/>
          <w:bCs/>
        </w:rPr>
        <w:t xml:space="preserve"> denotes task-induced change in interhemispheric DMN resting-state connectivity (post–pre; Fisher z). </w:t>
      </w:r>
      <w:r w:rsidR="00722694">
        <w:rPr>
          <w:rFonts w:ascii="Arial" w:hAnsi="Arial" w:cs="Arial"/>
          <w:bCs/>
        </w:rPr>
        <w:t>MST slope</w:t>
      </w:r>
      <w:r w:rsidRPr="00A041B9">
        <w:rPr>
          <w:rFonts w:ascii="Arial" w:hAnsi="Arial" w:cs="Arial"/>
          <w:bCs/>
        </w:rPr>
        <w:t xml:space="preserve"> denotes behavioural learning slope across the first seven task blocks. </w:t>
      </w:r>
      <w:proofErr w:type="spellStart"/>
      <w:r w:rsidR="00722694">
        <w:rPr>
          <w:rFonts w:ascii="Arial" w:hAnsi="Arial" w:cs="Arial"/>
          <w:bCs/>
        </w:rPr>
        <w:t>ΔMotor_inter</w:t>
      </w:r>
      <w:proofErr w:type="spellEnd"/>
      <w:r w:rsidRPr="00A041B9">
        <w:rPr>
          <w:rFonts w:ascii="Arial" w:hAnsi="Arial" w:cs="Arial"/>
          <w:bCs/>
        </w:rPr>
        <w:t xml:space="preserve"> denotes task-induced change in interhemispheric motor-network connectivity (negative control). Models were fitted using OLS with HC3 robust standard errors; complete-case analysis (n=28). ΔR² indicates improvement in explained variance relative to the base model.</w:t>
      </w:r>
    </w:p>
    <w:p w14:paraId="668CB251" w14:textId="77777777" w:rsidR="00D078B1" w:rsidRDefault="00D078B1" w:rsidP="004413DC">
      <w:pPr>
        <w:rPr>
          <w:rFonts w:ascii="Arial" w:hAnsi="Arial" w:cs="Arial"/>
          <w:bCs/>
        </w:rPr>
      </w:pPr>
    </w:p>
    <w:p w14:paraId="5D860BC0" w14:textId="465215DC" w:rsidR="00D078B1" w:rsidRDefault="00D078B1" w:rsidP="004413DC">
      <w:pPr>
        <w:rPr>
          <w:rFonts w:ascii="Arial" w:hAnsi="Arial" w:cs="Arial"/>
          <w:bCs/>
        </w:rPr>
      </w:pPr>
      <w:r>
        <w:rPr>
          <w:rFonts w:ascii="Arial" w:hAnsi="Arial" w:cs="Arial"/>
          <w:bCs/>
        </w:rPr>
        <w:t xml:space="preserve">Table </w:t>
      </w:r>
      <w:r w:rsidR="000661DA">
        <w:rPr>
          <w:rFonts w:ascii="Arial" w:hAnsi="Arial" w:cs="Arial"/>
          <w:bCs/>
        </w:rPr>
        <w:t>2</w:t>
      </w:r>
      <w:r>
        <w:rPr>
          <w:rFonts w:ascii="Arial" w:hAnsi="Arial" w:cs="Arial"/>
          <w:bCs/>
        </w:rPr>
        <w:t xml:space="preserve">: </w:t>
      </w:r>
      <w:r w:rsidR="00C22C69" w:rsidRPr="00C22C69">
        <w:rPr>
          <w:rFonts w:ascii="Arial" w:hAnsi="Arial" w:cs="Arial"/>
          <w:bCs/>
        </w:rPr>
        <w:t>Hierarchical prediction models for FMUE at 24 weeks (secondary endpoint; ceiling-aware)</w:t>
      </w:r>
    </w:p>
    <w:tbl>
      <w:tblPr>
        <w:tblStyle w:val="Listentabelle6farbig"/>
        <w:tblW w:w="0" w:type="auto"/>
        <w:tblLook w:val="04A0" w:firstRow="1" w:lastRow="0" w:firstColumn="1" w:lastColumn="0" w:noHBand="0" w:noVBand="1"/>
      </w:tblPr>
      <w:tblGrid>
        <w:gridCol w:w="1801"/>
        <w:gridCol w:w="2029"/>
        <w:gridCol w:w="672"/>
        <w:gridCol w:w="739"/>
        <w:gridCol w:w="774"/>
        <w:gridCol w:w="774"/>
        <w:gridCol w:w="997"/>
        <w:gridCol w:w="1286"/>
      </w:tblGrid>
      <w:tr w:rsidR="00F93C36" w:rsidRPr="00C22C69" w14:paraId="1D1F7906" w14:textId="77777777" w:rsidTr="00F93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E3106" w14:textId="77777777" w:rsidR="00F93C36" w:rsidRPr="00C22C69" w:rsidRDefault="00F93C36" w:rsidP="00C22C69">
            <w:pPr>
              <w:spacing w:line="480" w:lineRule="auto"/>
              <w:rPr>
                <w:rFonts w:asciiTheme="majorHAnsi" w:hAnsiTheme="majorHAnsi" w:cstheme="majorHAnsi"/>
                <w:sz w:val="20"/>
                <w:szCs w:val="20"/>
                <w:lang w:val="en-US"/>
              </w:rPr>
            </w:pPr>
            <w:r w:rsidRPr="00C22C69">
              <w:rPr>
                <w:rFonts w:asciiTheme="majorHAnsi" w:hAnsiTheme="majorHAnsi" w:cstheme="majorHAnsi"/>
                <w:sz w:val="20"/>
                <w:szCs w:val="20"/>
                <w:lang w:val="en-US"/>
              </w:rPr>
              <w:t>Model</w:t>
            </w:r>
          </w:p>
        </w:tc>
        <w:tc>
          <w:tcPr>
            <w:tcW w:w="2029" w:type="dxa"/>
            <w:hideMark/>
          </w:tcPr>
          <w:p w14:paraId="693B5678"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Predictors (added to Base)</w:t>
            </w:r>
          </w:p>
        </w:tc>
        <w:tc>
          <w:tcPr>
            <w:tcW w:w="0" w:type="auto"/>
            <w:hideMark/>
          </w:tcPr>
          <w:p w14:paraId="2430D666"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R²</w:t>
            </w:r>
          </w:p>
        </w:tc>
        <w:tc>
          <w:tcPr>
            <w:tcW w:w="0" w:type="auto"/>
            <w:hideMark/>
          </w:tcPr>
          <w:p w14:paraId="009DD117"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Adj. R²</w:t>
            </w:r>
          </w:p>
        </w:tc>
        <w:tc>
          <w:tcPr>
            <w:tcW w:w="0" w:type="auto"/>
            <w:hideMark/>
          </w:tcPr>
          <w:p w14:paraId="416AFE27"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AIC</w:t>
            </w:r>
          </w:p>
        </w:tc>
        <w:tc>
          <w:tcPr>
            <w:tcW w:w="0" w:type="auto"/>
            <w:hideMark/>
          </w:tcPr>
          <w:p w14:paraId="40A4EABF"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BIC</w:t>
            </w:r>
          </w:p>
        </w:tc>
        <w:tc>
          <w:tcPr>
            <w:tcW w:w="0" w:type="auto"/>
            <w:hideMark/>
          </w:tcPr>
          <w:p w14:paraId="11CE78C2"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ΔR² vs Base</w:t>
            </w:r>
          </w:p>
        </w:tc>
        <w:tc>
          <w:tcPr>
            <w:tcW w:w="0" w:type="auto"/>
            <w:hideMark/>
          </w:tcPr>
          <w:p w14:paraId="38FB5603" w14:textId="77777777" w:rsidR="00F93C36" w:rsidRPr="00C22C69" w:rsidRDefault="00F93C36" w:rsidP="00C22C69">
            <w:pPr>
              <w:spacing w:line="48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Model F p-value</w:t>
            </w:r>
          </w:p>
        </w:tc>
      </w:tr>
      <w:tr w:rsidR="00F93C36" w:rsidRPr="00C22C69" w14:paraId="45D317FC" w14:textId="77777777" w:rsidTr="00F93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9D0A" w14:textId="77777777"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Base</w:t>
            </w:r>
          </w:p>
        </w:tc>
        <w:tc>
          <w:tcPr>
            <w:tcW w:w="2029" w:type="dxa"/>
            <w:hideMark/>
          </w:tcPr>
          <w:p w14:paraId="56FF7BDF"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w:t>
            </w:r>
          </w:p>
        </w:tc>
        <w:tc>
          <w:tcPr>
            <w:tcW w:w="0" w:type="auto"/>
            <w:hideMark/>
          </w:tcPr>
          <w:p w14:paraId="0C916BD1"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0.081</w:t>
            </w:r>
          </w:p>
        </w:tc>
        <w:tc>
          <w:tcPr>
            <w:tcW w:w="0" w:type="auto"/>
            <w:hideMark/>
          </w:tcPr>
          <w:p w14:paraId="41E1E4B4"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-0.034</w:t>
            </w:r>
          </w:p>
        </w:tc>
        <w:tc>
          <w:tcPr>
            <w:tcW w:w="0" w:type="auto"/>
            <w:hideMark/>
          </w:tcPr>
          <w:p w14:paraId="120F9493"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85.100</w:t>
            </w:r>
          </w:p>
        </w:tc>
        <w:tc>
          <w:tcPr>
            <w:tcW w:w="0" w:type="auto"/>
            <w:hideMark/>
          </w:tcPr>
          <w:p w14:paraId="7AC3944E"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90.429</w:t>
            </w:r>
          </w:p>
        </w:tc>
        <w:tc>
          <w:tcPr>
            <w:tcW w:w="0" w:type="auto"/>
            <w:hideMark/>
          </w:tcPr>
          <w:p w14:paraId="3C1D6A6C"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0.000</w:t>
            </w:r>
          </w:p>
        </w:tc>
        <w:tc>
          <w:tcPr>
            <w:tcW w:w="0" w:type="auto"/>
            <w:hideMark/>
          </w:tcPr>
          <w:p w14:paraId="4F889543"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0.5591</w:t>
            </w:r>
          </w:p>
        </w:tc>
      </w:tr>
      <w:tr w:rsidR="00F93C36" w:rsidRPr="00C22C69" w14:paraId="2109C323" w14:textId="77777777" w:rsidTr="00F93C36">
        <w:tc>
          <w:tcPr>
            <w:cnfStyle w:val="001000000000" w:firstRow="0" w:lastRow="0" w:firstColumn="1" w:lastColumn="0" w:oddVBand="0" w:evenVBand="0" w:oddHBand="0" w:evenHBand="0" w:firstRowFirstColumn="0" w:firstRowLastColumn="0" w:lastRowFirstColumn="0" w:lastRowLastColumn="0"/>
            <w:tcW w:w="0" w:type="auto"/>
            <w:hideMark/>
          </w:tcPr>
          <w:p w14:paraId="4E4C06EC" w14:textId="10665222"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Base + ΔDMN_inter</w:t>
            </w:r>
          </w:p>
        </w:tc>
        <w:tc>
          <w:tcPr>
            <w:tcW w:w="2029" w:type="dxa"/>
            <w:hideMark/>
          </w:tcPr>
          <w:p w14:paraId="55B2668C" w14:textId="2B7DA846"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ΔDMN_inter</w:t>
            </w:r>
          </w:p>
        </w:tc>
        <w:tc>
          <w:tcPr>
            <w:tcW w:w="0" w:type="auto"/>
            <w:hideMark/>
          </w:tcPr>
          <w:p w14:paraId="152434E0"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0.129</w:t>
            </w:r>
          </w:p>
        </w:tc>
        <w:tc>
          <w:tcPr>
            <w:tcW w:w="0" w:type="auto"/>
            <w:hideMark/>
          </w:tcPr>
          <w:p w14:paraId="290D221C"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-0.023</w:t>
            </w:r>
          </w:p>
        </w:tc>
        <w:tc>
          <w:tcPr>
            <w:tcW w:w="0" w:type="auto"/>
            <w:hideMark/>
          </w:tcPr>
          <w:p w14:paraId="77E25081"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85.600</w:t>
            </w:r>
          </w:p>
        </w:tc>
        <w:tc>
          <w:tcPr>
            <w:tcW w:w="0" w:type="auto"/>
            <w:hideMark/>
          </w:tcPr>
          <w:p w14:paraId="403757E1"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92.261</w:t>
            </w:r>
          </w:p>
        </w:tc>
        <w:tc>
          <w:tcPr>
            <w:tcW w:w="0" w:type="auto"/>
            <w:hideMark/>
          </w:tcPr>
          <w:p w14:paraId="263325B0"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0.048</w:t>
            </w:r>
          </w:p>
        </w:tc>
        <w:tc>
          <w:tcPr>
            <w:tcW w:w="0" w:type="auto"/>
            <w:hideMark/>
          </w:tcPr>
          <w:p w14:paraId="13398757"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0.5082</w:t>
            </w:r>
          </w:p>
        </w:tc>
      </w:tr>
      <w:tr w:rsidR="00F93C36" w:rsidRPr="00C22C69" w14:paraId="66CD580B" w14:textId="77777777" w:rsidTr="00F93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FE7D7" w14:textId="77777777"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Base + Learning</w:t>
            </w:r>
          </w:p>
        </w:tc>
        <w:tc>
          <w:tcPr>
            <w:tcW w:w="2029" w:type="dxa"/>
            <w:hideMark/>
          </w:tcPr>
          <w:p w14:paraId="41BDD994" w14:textId="2BB1DEF4" w:rsidR="00F93C36" w:rsidRPr="00C22C69" w:rsidRDefault="00FD5B1E"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FD5B1E">
              <w:rPr>
                <w:rFonts w:asciiTheme="majorHAnsi" w:hAnsiTheme="majorHAnsi" w:cstheme="majorHAnsi"/>
                <w:sz w:val="20"/>
                <w:szCs w:val="20"/>
                <w:lang w:val="en-US"/>
              </w:rPr>
              <w:t>MST slope</w:t>
            </w:r>
          </w:p>
        </w:tc>
        <w:tc>
          <w:tcPr>
            <w:tcW w:w="0" w:type="auto"/>
            <w:hideMark/>
          </w:tcPr>
          <w:p w14:paraId="5879947D"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0.086</w:t>
            </w:r>
          </w:p>
        </w:tc>
        <w:tc>
          <w:tcPr>
            <w:tcW w:w="0" w:type="auto"/>
            <w:hideMark/>
          </w:tcPr>
          <w:p w14:paraId="4B425C9F"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-0.074</w:t>
            </w:r>
          </w:p>
        </w:tc>
        <w:tc>
          <w:tcPr>
            <w:tcW w:w="0" w:type="auto"/>
            <w:hideMark/>
          </w:tcPr>
          <w:p w14:paraId="4BE8181A"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86.957</w:t>
            </w:r>
          </w:p>
        </w:tc>
        <w:tc>
          <w:tcPr>
            <w:tcW w:w="0" w:type="auto"/>
            <w:hideMark/>
          </w:tcPr>
          <w:p w14:paraId="21F17D35"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93.618</w:t>
            </w:r>
          </w:p>
        </w:tc>
        <w:tc>
          <w:tcPr>
            <w:tcW w:w="0" w:type="auto"/>
            <w:hideMark/>
          </w:tcPr>
          <w:p w14:paraId="485D12F9"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0.005</w:t>
            </w:r>
          </w:p>
        </w:tc>
        <w:tc>
          <w:tcPr>
            <w:tcW w:w="0" w:type="auto"/>
            <w:hideMark/>
          </w:tcPr>
          <w:p w14:paraId="35ADC78E"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0.7095</w:t>
            </w:r>
          </w:p>
        </w:tc>
      </w:tr>
      <w:tr w:rsidR="00F93C36" w:rsidRPr="00C22C69" w14:paraId="750955CB" w14:textId="77777777" w:rsidTr="00F93C36">
        <w:tc>
          <w:tcPr>
            <w:cnfStyle w:val="001000000000" w:firstRow="0" w:lastRow="0" w:firstColumn="1" w:lastColumn="0" w:oddVBand="0" w:evenVBand="0" w:oddHBand="0" w:evenHBand="0" w:firstRowFirstColumn="0" w:firstRowLastColumn="0" w:lastRowFirstColumn="0" w:lastRowLastColumn="0"/>
            <w:tcW w:w="0" w:type="auto"/>
            <w:hideMark/>
          </w:tcPr>
          <w:p w14:paraId="6EB78672" w14:textId="77777777"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Full (ΔDMN + Learning)</w:t>
            </w:r>
          </w:p>
        </w:tc>
        <w:tc>
          <w:tcPr>
            <w:tcW w:w="2029" w:type="dxa"/>
            <w:hideMark/>
          </w:tcPr>
          <w:p w14:paraId="11ADA533" w14:textId="76A83F8D"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 xml:space="preserve">ΔDMN_inter + </w:t>
            </w:r>
            <w:r>
              <w:rPr>
                <w:rFonts w:asciiTheme="majorHAnsi" w:hAnsiTheme="majorHAnsi" w:cstheme="majorHAnsi"/>
                <w:sz w:val="20"/>
                <w:szCs w:val="20"/>
                <w:lang w:val="en-US"/>
              </w:rPr>
              <w:t>MST slope</w:t>
            </w:r>
          </w:p>
        </w:tc>
        <w:tc>
          <w:tcPr>
            <w:tcW w:w="0" w:type="auto"/>
            <w:hideMark/>
          </w:tcPr>
          <w:p w14:paraId="25E7BA31"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0.143</w:t>
            </w:r>
          </w:p>
        </w:tc>
        <w:tc>
          <w:tcPr>
            <w:tcW w:w="0" w:type="auto"/>
            <w:hideMark/>
          </w:tcPr>
          <w:p w14:paraId="45DEB541"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-0.052</w:t>
            </w:r>
          </w:p>
        </w:tc>
        <w:tc>
          <w:tcPr>
            <w:tcW w:w="0" w:type="auto"/>
            <w:hideMark/>
          </w:tcPr>
          <w:p w14:paraId="0BDC5516"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87.135</w:t>
            </w:r>
          </w:p>
        </w:tc>
        <w:tc>
          <w:tcPr>
            <w:tcW w:w="0" w:type="auto"/>
            <w:hideMark/>
          </w:tcPr>
          <w:p w14:paraId="1EB8D1A2"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95.128</w:t>
            </w:r>
          </w:p>
        </w:tc>
        <w:tc>
          <w:tcPr>
            <w:tcW w:w="0" w:type="auto"/>
            <w:hideMark/>
          </w:tcPr>
          <w:p w14:paraId="334F06E0"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0.062</w:t>
            </w:r>
          </w:p>
        </w:tc>
        <w:tc>
          <w:tcPr>
            <w:tcW w:w="0" w:type="auto"/>
            <w:hideMark/>
          </w:tcPr>
          <w:p w14:paraId="79C77CBD"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0.6050</w:t>
            </w:r>
          </w:p>
        </w:tc>
      </w:tr>
      <w:tr w:rsidR="00F93C36" w:rsidRPr="00C22C69" w14:paraId="0370D6E9" w14:textId="77777777" w:rsidTr="00F93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D45C2" w14:textId="77777777"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Base + Motor (neg ctrl)</w:t>
            </w:r>
          </w:p>
        </w:tc>
        <w:tc>
          <w:tcPr>
            <w:tcW w:w="2029" w:type="dxa"/>
            <w:hideMark/>
          </w:tcPr>
          <w:p w14:paraId="1DD9E471" w14:textId="1BCE7BB9"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proofErr w:type="spellStart"/>
            <w:r w:rsidRPr="00C22C69">
              <w:rPr>
                <w:rFonts w:asciiTheme="majorHAnsi" w:hAnsiTheme="majorHAnsi" w:cstheme="majorHAnsi"/>
                <w:sz w:val="20"/>
                <w:szCs w:val="20"/>
                <w:lang w:val="en-US"/>
              </w:rPr>
              <w:t>ΔMotor_inte</w:t>
            </w:r>
            <w:r>
              <w:rPr>
                <w:rFonts w:asciiTheme="majorHAnsi" w:hAnsiTheme="majorHAnsi" w:cstheme="majorHAnsi"/>
                <w:sz w:val="20"/>
                <w:szCs w:val="20"/>
                <w:lang w:val="en-US"/>
              </w:rPr>
              <w:t>r</w:t>
            </w:r>
            <w:proofErr w:type="spellEnd"/>
          </w:p>
        </w:tc>
        <w:tc>
          <w:tcPr>
            <w:tcW w:w="0" w:type="auto"/>
            <w:hideMark/>
          </w:tcPr>
          <w:p w14:paraId="471F01C6"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0.084</w:t>
            </w:r>
          </w:p>
        </w:tc>
        <w:tc>
          <w:tcPr>
            <w:tcW w:w="0" w:type="auto"/>
            <w:hideMark/>
          </w:tcPr>
          <w:p w14:paraId="0B93EB2A"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-0.075</w:t>
            </w:r>
          </w:p>
        </w:tc>
        <w:tc>
          <w:tcPr>
            <w:tcW w:w="0" w:type="auto"/>
            <w:hideMark/>
          </w:tcPr>
          <w:p w14:paraId="44B162C1"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87.002</w:t>
            </w:r>
          </w:p>
        </w:tc>
        <w:tc>
          <w:tcPr>
            <w:tcW w:w="0" w:type="auto"/>
            <w:hideMark/>
          </w:tcPr>
          <w:p w14:paraId="64265E4D"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93.663</w:t>
            </w:r>
          </w:p>
        </w:tc>
        <w:tc>
          <w:tcPr>
            <w:tcW w:w="0" w:type="auto"/>
            <w:hideMark/>
          </w:tcPr>
          <w:p w14:paraId="2EFCA829"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0.003</w:t>
            </w:r>
          </w:p>
        </w:tc>
        <w:tc>
          <w:tcPr>
            <w:tcW w:w="0" w:type="auto"/>
            <w:hideMark/>
          </w:tcPr>
          <w:p w14:paraId="2DCBEDDC" w14:textId="77777777" w:rsidR="00F93C36" w:rsidRPr="00C22C69" w:rsidRDefault="00F93C36" w:rsidP="00C22C69">
            <w:pPr>
              <w:spacing w:line="48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0.7164</w:t>
            </w:r>
          </w:p>
        </w:tc>
      </w:tr>
      <w:tr w:rsidR="00F93C36" w:rsidRPr="00C22C69" w14:paraId="296B8B31" w14:textId="77777777" w:rsidTr="00F93C36">
        <w:tc>
          <w:tcPr>
            <w:cnfStyle w:val="001000000000" w:firstRow="0" w:lastRow="0" w:firstColumn="1" w:lastColumn="0" w:oddVBand="0" w:evenVBand="0" w:oddHBand="0" w:evenHBand="0" w:firstRowFirstColumn="0" w:firstRowLastColumn="0" w:lastRowFirstColumn="0" w:lastRowLastColumn="0"/>
            <w:tcW w:w="0" w:type="auto"/>
            <w:hideMark/>
          </w:tcPr>
          <w:p w14:paraId="1AF14EC9" w14:textId="77777777" w:rsidR="00F93C36" w:rsidRPr="00C22C69" w:rsidRDefault="00F93C36" w:rsidP="00C22C69">
            <w:pPr>
              <w:spacing w:line="480" w:lineRule="auto"/>
              <w:rPr>
                <w:rFonts w:asciiTheme="majorHAnsi" w:hAnsiTheme="majorHAnsi" w:cstheme="majorHAnsi"/>
                <w:b w:val="0"/>
                <w:bCs w:val="0"/>
                <w:sz w:val="20"/>
                <w:szCs w:val="20"/>
                <w:lang w:val="en-US"/>
              </w:rPr>
            </w:pPr>
            <w:r w:rsidRPr="00C22C69">
              <w:rPr>
                <w:rFonts w:asciiTheme="majorHAnsi" w:hAnsiTheme="majorHAnsi" w:cstheme="majorHAnsi"/>
                <w:b w:val="0"/>
                <w:bCs w:val="0"/>
                <w:sz w:val="20"/>
                <w:szCs w:val="20"/>
                <w:lang w:val="en-US"/>
              </w:rPr>
              <w:t>Full + Motor (neg ctrl)</w:t>
            </w:r>
          </w:p>
        </w:tc>
        <w:tc>
          <w:tcPr>
            <w:tcW w:w="2029" w:type="dxa"/>
            <w:hideMark/>
          </w:tcPr>
          <w:p w14:paraId="366839F4" w14:textId="42C30C06"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 xml:space="preserve">ΔDMN_inter + </w:t>
            </w:r>
            <w:r>
              <w:rPr>
                <w:rFonts w:asciiTheme="majorHAnsi" w:hAnsiTheme="majorHAnsi" w:cstheme="majorHAnsi"/>
                <w:sz w:val="20"/>
                <w:szCs w:val="20"/>
                <w:lang w:val="en-US"/>
              </w:rPr>
              <w:t>MST slope</w:t>
            </w:r>
            <w:r w:rsidRPr="00C22C69">
              <w:rPr>
                <w:rFonts w:asciiTheme="majorHAnsi" w:hAnsiTheme="majorHAnsi" w:cstheme="majorHAnsi"/>
                <w:sz w:val="20"/>
                <w:szCs w:val="20"/>
                <w:lang w:val="en-US"/>
              </w:rPr>
              <w:t xml:space="preserve"> + </w:t>
            </w:r>
            <w:proofErr w:type="spellStart"/>
            <w:r w:rsidRPr="00C22C69">
              <w:rPr>
                <w:rFonts w:asciiTheme="majorHAnsi" w:hAnsiTheme="majorHAnsi" w:cstheme="majorHAnsi"/>
                <w:sz w:val="20"/>
                <w:szCs w:val="20"/>
                <w:lang w:val="en-US"/>
              </w:rPr>
              <w:t>ΔMotor_inter</w:t>
            </w:r>
            <w:proofErr w:type="spellEnd"/>
          </w:p>
        </w:tc>
        <w:tc>
          <w:tcPr>
            <w:tcW w:w="0" w:type="auto"/>
            <w:hideMark/>
          </w:tcPr>
          <w:p w14:paraId="03597C1E"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0.153</w:t>
            </w:r>
          </w:p>
        </w:tc>
        <w:tc>
          <w:tcPr>
            <w:tcW w:w="0" w:type="auto"/>
            <w:hideMark/>
          </w:tcPr>
          <w:p w14:paraId="1AFB3D54"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-0.089</w:t>
            </w:r>
          </w:p>
        </w:tc>
        <w:tc>
          <w:tcPr>
            <w:tcW w:w="0" w:type="auto"/>
            <w:hideMark/>
          </w:tcPr>
          <w:p w14:paraId="336C7C5C"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88.804</w:t>
            </w:r>
          </w:p>
        </w:tc>
        <w:tc>
          <w:tcPr>
            <w:tcW w:w="0" w:type="auto"/>
            <w:hideMark/>
          </w:tcPr>
          <w:p w14:paraId="63EB9BC7"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98.129</w:t>
            </w:r>
          </w:p>
        </w:tc>
        <w:tc>
          <w:tcPr>
            <w:tcW w:w="0" w:type="auto"/>
            <w:hideMark/>
          </w:tcPr>
          <w:p w14:paraId="60C410A2"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0.072</w:t>
            </w:r>
          </w:p>
        </w:tc>
        <w:tc>
          <w:tcPr>
            <w:tcW w:w="0" w:type="auto"/>
            <w:hideMark/>
          </w:tcPr>
          <w:p w14:paraId="5CBF13E8" w14:textId="77777777" w:rsidR="00F93C36" w:rsidRPr="00C22C69" w:rsidRDefault="00F93C36" w:rsidP="00C22C69">
            <w:pPr>
              <w:spacing w:line="48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US"/>
              </w:rPr>
            </w:pPr>
            <w:r w:rsidRPr="00C22C69">
              <w:rPr>
                <w:rFonts w:asciiTheme="majorHAnsi" w:hAnsiTheme="majorHAnsi" w:cstheme="majorHAnsi"/>
                <w:sz w:val="20"/>
                <w:szCs w:val="20"/>
                <w:lang w:val="en-US"/>
              </w:rPr>
              <w:t>0.7023</w:t>
            </w:r>
          </w:p>
        </w:tc>
      </w:tr>
    </w:tbl>
    <w:p w14:paraId="08C90A14" w14:textId="43948B54" w:rsidR="00D078B1" w:rsidRPr="00771B7C" w:rsidRDefault="00771B7C" w:rsidP="004413DC">
      <w:pPr>
        <w:rPr>
          <w:rFonts w:ascii="Arial" w:hAnsi="Arial" w:cs="Arial"/>
          <w:bCs/>
        </w:rPr>
      </w:pPr>
      <w:r w:rsidRPr="00771B7C">
        <w:rPr>
          <w:rFonts w:ascii="Arial" w:hAnsi="Arial" w:cs="Arial"/>
          <w:bCs/>
        </w:rPr>
        <w:t xml:space="preserve">Model specifications and estimation were identical to Table </w:t>
      </w:r>
      <w:r w:rsidR="000661DA">
        <w:rPr>
          <w:rFonts w:ascii="Arial" w:hAnsi="Arial" w:cs="Arial"/>
          <w:bCs/>
        </w:rPr>
        <w:t>1</w:t>
      </w:r>
      <w:r w:rsidRPr="00771B7C">
        <w:rPr>
          <w:rFonts w:ascii="Arial" w:hAnsi="Arial" w:cs="Arial"/>
          <w:bCs/>
        </w:rPr>
        <w:t xml:space="preserve"> (OLS with HC3 robust standard errors, complete-case n=28). FMUE_24w was affected by ceiling effects; therefore, this endpoint was interpreted cautiously and complemented by ceiling-aware sensitivity analyses (logistic and ordinal models; Supplement).</w:t>
      </w:r>
    </w:p>
    <w:p w14:paraId="7B6830B6" w14:textId="77777777" w:rsidR="00C22C69" w:rsidRDefault="00C22C69" w:rsidP="004413DC">
      <w:pPr>
        <w:rPr>
          <w:rFonts w:ascii="Arial" w:hAnsi="Arial" w:cs="Arial"/>
          <w:b/>
        </w:rPr>
      </w:pPr>
    </w:p>
    <w:p w14:paraId="11BB6C5E" w14:textId="77777777" w:rsidR="00C22C69" w:rsidRDefault="00C22C69" w:rsidP="004413DC">
      <w:pPr>
        <w:rPr>
          <w:rFonts w:ascii="Arial" w:hAnsi="Arial" w:cs="Arial"/>
          <w:b/>
        </w:rPr>
      </w:pPr>
    </w:p>
    <w:p w14:paraId="555FEE49" w14:textId="77777777" w:rsidR="009C6E56" w:rsidRDefault="009C6E56">
      <w:pPr>
        <w:rPr>
          <w:rFonts w:ascii="Arial" w:hAnsi="Arial" w:cs="Arial"/>
          <w:b/>
        </w:rPr>
      </w:pPr>
      <w:r>
        <w:rPr>
          <w:rFonts w:ascii="Arial" w:hAnsi="Arial" w:cs="Arial"/>
          <w:b/>
        </w:rPr>
        <w:br w:type="page"/>
      </w:r>
    </w:p>
    <w:p w14:paraId="4B808FAE" w14:textId="319251FC" w:rsidR="00F00F7B" w:rsidRPr="007E349F" w:rsidRDefault="00E04C78" w:rsidP="005A41B5">
      <w:pPr>
        <w:pStyle w:val="Ueberschrift01"/>
      </w:pPr>
      <w:r w:rsidRPr="007E349F">
        <w:lastRenderedPageBreak/>
        <w:t>A</w:t>
      </w:r>
      <w:r w:rsidR="00F00F7B" w:rsidRPr="007E349F">
        <w:t>cknowledgements</w:t>
      </w:r>
    </w:p>
    <w:p w14:paraId="05BCDE32" w14:textId="77777777" w:rsidR="00F00F7B" w:rsidRPr="007E349F" w:rsidRDefault="00F00F7B" w:rsidP="004413DC">
      <w:pPr>
        <w:rPr>
          <w:rFonts w:ascii="Arial" w:hAnsi="Arial" w:cs="Arial"/>
          <w:b/>
          <w:i/>
        </w:rPr>
      </w:pPr>
    </w:p>
    <w:p w14:paraId="65B221C3" w14:textId="77777777" w:rsidR="006F7DCE" w:rsidRPr="007E349F" w:rsidRDefault="001320E8" w:rsidP="004413DC">
      <w:pPr>
        <w:rPr>
          <w:rFonts w:ascii="Arial" w:hAnsi="Arial" w:cs="Arial"/>
        </w:rPr>
      </w:pPr>
      <w:r w:rsidRPr="007E349F">
        <w:rPr>
          <w:rFonts w:ascii="Arial" w:hAnsi="Arial" w:cs="Arial"/>
        </w:rPr>
        <w:t xml:space="preserve">We thank all participants for their time and commitment. We also acknowledge the support of the clinical and MRI staff at Jena University Hospital during data collection. We further thank the </w:t>
      </w:r>
      <w:proofErr w:type="spellStart"/>
      <w:r w:rsidRPr="007E349F">
        <w:rPr>
          <w:rFonts w:ascii="Arial" w:hAnsi="Arial" w:cs="Arial"/>
        </w:rPr>
        <w:t>Biomagnetic</w:t>
      </w:r>
      <w:proofErr w:type="spellEnd"/>
      <w:r w:rsidRPr="007E349F">
        <w:rPr>
          <w:rFonts w:ascii="Arial" w:hAnsi="Arial" w:cs="Arial"/>
        </w:rPr>
        <w:t xml:space="preserve"> </w:t>
      </w:r>
      <w:proofErr w:type="spellStart"/>
      <w:r w:rsidRPr="007E349F">
        <w:rPr>
          <w:rFonts w:ascii="Arial" w:hAnsi="Arial" w:cs="Arial"/>
        </w:rPr>
        <w:t>Center</w:t>
      </w:r>
      <w:proofErr w:type="spellEnd"/>
      <w:r w:rsidRPr="007E349F">
        <w:rPr>
          <w:rFonts w:ascii="Arial" w:hAnsi="Arial" w:cs="Arial"/>
        </w:rPr>
        <w:t xml:space="preserve"> at Jena University Hospital for providing access to research infrastructure essential for this study.</w:t>
      </w:r>
      <w:r w:rsidR="006F7DCE" w:rsidRPr="007E349F">
        <w:rPr>
          <w:rFonts w:ascii="Arial" w:hAnsi="Arial" w:cs="Arial"/>
        </w:rPr>
        <w:t xml:space="preserve"> </w:t>
      </w:r>
    </w:p>
    <w:p w14:paraId="3F2BDB84" w14:textId="77777777" w:rsidR="00B37D6A" w:rsidRPr="007E349F" w:rsidRDefault="00B37D6A" w:rsidP="004413DC">
      <w:pPr>
        <w:rPr>
          <w:rFonts w:ascii="Arial" w:hAnsi="Arial" w:cs="Arial"/>
        </w:rPr>
      </w:pPr>
    </w:p>
    <w:p w14:paraId="1920B25C" w14:textId="45B801DA" w:rsidR="006F7DCE" w:rsidRPr="007E349F" w:rsidRDefault="006F7DCE" w:rsidP="005A41B5">
      <w:pPr>
        <w:pStyle w:val="Ueberschrift01"/>
      </w:pPr>
      <w:r w:rsidRPr="007E349F">
        <w:t>Author Contributions (</w:t>
      </w:r>
      <w:proofErr w:type="spellStart"/>
      <w:r w:rsidRPr="007E349F">
        <w:t>CRediT</w:t>
      </w:r>
      <w:proofErr w:type="spellEnd"/>
      <w:r w:rsidRPr="007E349F">
        <w:t>)</w:t>
      </w:r>
    </w:p>
    <w:p w14:paraId="6AB7E725" w14:textId="117525C1" w:rsidR="006F7DCE" w:rsidRPr="007E349F" w:rsidRDefault="006F7DCE" w:rsidP="004413DC">
      <w:pPr>
        <w:rPr>
          <w:rFonts w:ascii="Arial" w:hAnsi="Arial" w:cs="Arial"/>
        </w:rPr>
      </w:pPr>
      <w:r w:rsidRPr="007E349F">
        <w:rPr>
          <w:rFonts w:ascii="Arial" w:hAnsi="Arial" w:cs="Arial"/>
        </w:rPr>
        <w:t>Christiane Dahms, M.D.</w:t>
      </w:r>
      <w:r w:rsidR="00B71897" w:rsidRPr="007E349F">
        <w:rPr>
          <w:rFonts w:ascii="Arial" w:hAnsi="Arial" w:cs="Arial"/>
        </w:rPr>
        <w:t>: Conceptualization; Methodology; Investigation; Data curation; Formal analysis; Validation; Visualization; Project administration; Resources; Supervision; Writing – original draft; Writing – review &amp; editing; Funding acquisition.</w:t>
      </w:r>
    </w:p>
    <w:p w14:paraId="2C2B6F4D" w14:textId="794ED3B6" w:rsidR="006F7DCE" w:rsidRPr="007E349F" w:rsidRDefault="006F7DCE" w:rsidP="004413DC">
      <w:pPr>
        <w:rPr>
          <w:rFonts w:ascii="Arial" w:hAnsi="Arial" w:cs="Arial"/>
        </w:rPr>
      </w:pPr>
      <w:r w:rsidRPr="007E349F">
        <w:rPr>
          <w:rFonts w:ascii="Arial" w:hAnsi="Arial" w:cs="Arial"/>
        </w:rPr>
        <w:t>Carsten Klingner, Prof.</w:t>
      </w:r>
      <w:r w:rsidR="00B71897" w:rsidRPr="007E349F">
        <w:rPr>
          <w:rFonts w:ascii="Arial" w:hAnsi="Arial" w:cs="Arial"/>
        </w:rPr>
        <w:t>: Conceptualization; Methodology; Formal analysis; Supervision; Writing – review &amp; editing.</w:t>
      </w:r>
    </w:p>
    <w:p w14:paraId="61C6CAFC" w14:textId="4DACF86F" w:rsidR="00C03F0D" w:rsidRPr="007E349F" w:rsidRDefault="006F7DCE" w:rsidP="004413DC">
      <w:pPr>
        <w:rPr>
          <w:rFonts w:ascii="Arial" w:hAnsi="Arial" w:cs="Arial"/>
        </w:rPr>
      </w:pPr>
      <w:r w:rsidRPr="007E349F">
        <w:rPr>
          <w:rFonts w:ascii="Arial" w:hAnsi="Arial" w:cs="Arial"/>
        </w:rPr>
        <w:t>Franziska Wagner, M.D.</w:t>
      </w:r>
      <w:r w:rsidR="00C03F0D" w:rsidRPr="007E349F">
        <w:rPr>
          <w:rFonts w:ascii="Arial" w:hAnsi="Arial" w:cs="Arial"/>
        </w:rPr>
        <w:t>: Investigation; Writing – Review &amp; Editing.</w:t>
      </w:r>
    </w:p>
    <w:p w14:paraId="21B2FC24" w14:textId="0DB5F9D2" w:rsidR="006F7DCE" w:rsidRPr="007E349F" w:rsidRDefault="006F7DCE" w:rsidP="004413DC">
      <w:pPr>
        <w:rPr>
          <w:rFonts w:ascii="Arial" w:hAnsi="Arial" w:cs="Arial"/>
        </w:rPr>
      </w:pPr>
      <w:r w:rsidRPr="007E349F">
        <w:rPr>
          <w:rFonts w:ascii="Arial" w:hAnsi="Arial" w:cs="Arial"/>
        </w:rPr>
        <w:t xml:space="preserve">Alexander Schmidt, </w:t>
      </w:r>
      <w:proofErr w:type="spellStart"/>
      <w:r w:rsidRPr="007E349F">
        <w:rPr>
          <w:rFonts w:ascii="Arial" w:hAnsi="Arial" w:cs="Arial"/>
        </w:rPr>
        <w:t>M.sc.</w:t>
      </w:r>
      <w:proofErr w:type="spellEnd"/>
      <w:r w:rsidR="00B71897" w:rsidRPr="007E349F">
        <w:rPr>
          <w:rFonts w:ascii="Arial" w:hAnsi="Arial" w:cs="Arial"/>
        </w:rPr>
        <w:t>: Data curation; Formal analysis</w:t>
      </w:r>
      <w:r w:rsidR="00C03F0D" w:rsidRPr="007E349F">
        <w:rPr>
          <w:rFonts w:ascii="Arial" w:hAnsi="Arial" w:cs="Arial"/>
        </w:rPr>
        <w:t>; Writing – Review &amp; Editing</w:t>
      </w:r>
      <w:r w:rsidR="00B71897" w:rsidRPr="007E349F">
        <w:rPr>
          <w:rFonts w:ascii="Arial" w:hAnsi="Arial" w:cs="Arial"/>
        </w:rPr>
        <w:t>.</w:t>
      </w:r>
    </w:p>
    <w:p w14:paraId="3BECABCD" w14:textId="74E72CC4" w:rsidR="006F7DCE" w:rsidRPr="007E349F" w:rsidRDefault="006F7DCE" w:rsidP="004413DC">
      <w:pPr>
        <w:rPr>
          <w:rFonts w:ascii="Arial" w:hAnsi="Arial" w:cs="Arial"/>
        </w:rPr>
      </w:pPr>
      <w:r w:rsidRPr="007E349F">
        <w:rPr>
          <w:rFonts w:ascii="Arial" w:hAnsi="Arial" w:cs="Arial"/>
        </w:rPr>
        <w:t>Stefan Brodoehl, M.D</w:t>
      </w:r>
      <w:r w:rsidR="003E4003">
        <w:rPr>
          <w:rFonts w:ascii="Arial" w:hAnsi="Arial" w:cs="Arial"/>
        </w:rPr>
        <w:t>.</w:t>
      </w:r>
      <w:r w:rsidR="00B71897" w:rsidRPr="007E349F">
        <w:rPr>
          <w:rFonts w:ascii="Arial" w:hAnsi="Arial" w:cs="Arial"/>
        </w:rPr>
        <w:t xml:space="preserve">: </w:t>
      </w:r>
      <w:r w:rsidR="00F26CED" w:rsidRPr="007E349F">
        <w:rPr>
          <w:rFonts w:ascii="Arial" w:hAnsi="Arial" w:cs="Arial"/>
        </w:rPr>
        <w:t>Software</w:t>
      </w:r>
      <w:r w:rsidR="00B71897" w:rsidRPr="007E349F">
        <w:rPr>
          <w:rFonts w:ascii="Arial" w:hAnsi="Arial" w:cs="Arial"/>
        </w:rPr>
        <w:t>; Data curation; Methodology; Formal analysis</w:t>
      </w:r>
      <w:r w:rsidR="00C03F0D" w:rsidRPr="007E349F">
        <w:rPr>
          <w:rFonts w:ascii="Arial" w:hAnsi="Arial" w:cs="Arial"/>
        </w:rPr>
        <w:t>; Writing – Review &amp; Editing</w:t>
      </w:r>
      <w:r w:rsidR="00B71897" w:rsidRPr="007E349F">
        <w:rPr>
          <w:rFonts w:ascii="Arial" w:hAnsi="Arial" w:cs="Arial"/>
        </w:rPr>
        <w:t>.</w:t>
      </w:r>
    </w:p>
    <w:p w14:paraId="7EBA5AED" w14:textId="77777777" w:rsidR="006F7DCE" w:rsidRPr="007E349F" w:rsidRDefault="006F7DCE" w:rsidP="004413DC">
      <w:pPr>
        <w:rPr>
          <w:rFonts w:ascii="Arial" w:hAnsi="Arial" w:cs="Arial"/>
          <w:b/>
          <w:i/>
        </w:rPr>
      </w:pPr>
    </w:p>
    <w:p w14:paraId="317E4546" w14:textId="77777777" w:rsidR="002D51B9" w:rsidRPr="007E349F" w:rsidRDefault="002D51B9" w:rsidP="004413DC">
      <w:pPr>
        <w:rPr>
          <w:rFonts w:ascii="Arial" w:hAnsi="Arial" w:cs="Arial"/>
          <w:b/>
          <w:color w:val="000000"/>
        </w:rPr>
      </w:pPr>
      <w:r w:rsidRPr="007E349F">
        <w:rPr>
          <w:rFonts w:ascii="Arial" w:hAnsi="Arial" w:cs="Arial"/>
          <w:b/>
          <w:color w:val="000000"/>
        </w:rPr>
        <w:br w:type="page"/>
      </w:r>
    </w:p>
    <w:p w14:paraId="5EDB055C" w14:textId="1DF09484" w:rsidR="002F5C64" w:rsidRPr="007E349F" w:rsidRDefault="00CE0059" w:rsidP="004413DC">
      <w:pPr>
        <w:rPr>
          <w:rFonts w:ascii="Arial" w:hAnsi="Arial" w:cs="Arial"/>
          <w:b/>
          <w:color w:val="000000"/>
        </w:rPr>
      </w:pPr>
      <w:r w:rsidRPr="007E349F">
        <w:rPr>
          <w:rFonts w:ascii="Arial" w:hAnsi="Arial" w:cs="Arial"/>
          <w:b/>
          <w:color w:val="000000"/>
        </w:rPr>
        <w:lastRenderedPageBreak/>
        <w:t>Statements and Declarations</w:t>
      </w:r>
    </w:p>
    <w:p w14:paraId="2DFDF71D" w14:textId="77777777" w:rsidR="002D51B9" w:rsidRPr="007E349F" w:rsidRDefault="002D51B9" w:rsidP="004413DC">
      <w:pPr>
        <w:rPr>
          <w:rFonts w:ascii="Arial" w:hAnsi="Arial" w:cs="Arial"/>
          <w:b/>
          <w:color w:val="000000"/>
        </w:rPr>
      </w:pPr>
    </w:p>
    <w:p w14:paraId="669DA18D" w14:textId="1DB50163" w:rsidR="006F7DCE" w:rsidRPr="007E349F" w:rsidRDefault="006F7DCE" w:rsidP="004413DC">
      <w:pPr>
        <w:rPr>
          <w:rFonts w:ascii="Arial" w:hAnsi="Arial" w:cs="Arial"/>
          <w:b/>
          <w:color w:val="000000"/>
        </w:rPr>
      </w:pPr>
      <w:r w:rsidRPr="007E349F">
        <w:rPr>
          <w:rFonts w:ascii="Arial" w:hAnsi="Arial" w:cs="Arial"/>
          <w:b/>
          <w:color w:val="000000"/>
        </w:rPr>
        <w:t>Ethical considerations</w:t>
      </w:r>
    </w:p>
    <w:p w14:paraId="4402FF9E" w14:textId="68E78BEA" w:rsidR="006F7DCE" w:rsidRPr="007E349F" w:rsidRDefault="006F7DCE" w:rsidP="004413DC">
      <w:pPr>
        <w:rPr>
          <w:rFonts w:ascii="Arial" w:hAnsi="Arial" w:cs="Arial"/>
        </w:rPr>
      </w:pPr>
      <w:r w:rsidRPr="007E349F">
        <w:rPr>
          <w:rFonts w:ascii="Arial" w:hAnsi="Arial" w:cs="Arial"/>
        </w:rPr>
        <w:t xml:space="preserve">The study was approved by the Ethics Committee of the Jena University Hospital (approval no. </w:t>
      </w:r>
      <w:r w:rsidR="0003002C" w:rsidRPr="007E349F">
        <w:rPr>
          <w:rFonts w:ascii="Arial" w:hAnsi="Arial" w:cs="Arial"/>
        </w:rPr>
        <w:t>2019-1424_4-BO</w:t>
      </w:r>
      <w:proofErr w:type="gramStart"/>
      <w:r w:rsidRPr="007E349F">
        <w:rPr>
          <w:rFonts w:ascii="Arial" w:hAnsi="Arial" w:cs="Arial"/>
        </w:rPr>
        <w:t>), and</w:t>
      </w:r>
      <w:proofErr w:type="gramEnd"/>
      <w:r w:rsidRPr="007E349F">
        <w:rPr>
          <w:rFonts w:ascii="Arial" w:hAnsi="Arial" w:cs="Arial"/>
        </w:rPr>
        <w:t xml:space="preserve"> conducted in accordance with the Declaration of Helsinki.</w:t>
      </w:r>
    </w:p>
    <w:p w14:paraId="181708D5" w14:textId="16EC6B39" w:rsidR="006F7DCE" w:rsidRPr="007E349F" w:rsidRDefault="006F7DCE" w:rsidP="004413DC">
      <w:pPr>
        <w:rPr>
          <w:rFonts w:ascii="Arial" w:hAnsi="Arial" w:cs="Arial"/>
          <w:b/>
          <w:color w:val="000000"/>
        </w:rPr>
      </w:pPr>
      <w:r w:rsidRPr="007E349F">
        <w:rPr>
          <w:rFonts w:ascii="Arial" w:hAnsi="Arial" w:cs="Arial"/>
          <w:b/>
          <w:color w:val="000000"/>
        </w:rPr>
        <w:t>Consent to participate</w:t>
      </w:r>
    </w:p>
    <w:p w14:paraId="06DA24C1" w14:textId="538E1DF3" w:rsidR="006F7DCE" w:rsidRPr="007E349F" w:rsidRDefault="006F7DCE" w:rsidP="004413DC">
      <w:pPr>
        <w:rPr>
          <w:rFonts w:ascii="Arial" w:hAnsi="Arial" w:cs="Arial"/>
        </w:rPr>
      </w:pPr>
      <w:r w:rsidRPr="007E349F">
        <w:rPr>
          <w:rFonts w:ascii="Arial" w:hAnsi="Arial" w:cs="Arial"/>
        </w:rPr>
        <w:t>All participants provided written informed consent to participate in the study.</w:t>
      </w:r>
    </w:p>
    <w:p w14:paraId="0E1FC33B" w14:textId="10DFAB33" w:rsidR="006F7DCE" w:rsidRPr="007E349F" w:rsidRDefault="006F7DCE" w:rsidP="004413DC">
      <w:pPr>
        <w:rPr>
          <w:rFonts w:ascii="Arial" w:hAnsi="Arial" w:cs="Arial"/>
          <w:b/>
          <w:color w:val="000000"/>
        </w:rPr>
      </w:pPr>
      <w:r w:rsidRPr="007E349F">
        <w:rPr>
          <w:rFonts w:ascii="Arial" w:hAnsi="Arial" w:cs="Arial"/>
          <w:b/>
          <w:color w:val="000000"/>
        </w:rPr>
        <w:t>Consent for publication</w:t>
      </w:r>
    </w:p>
    <w:p w14:paraId="6FB77487" w14:textId="0BE9A9A2" w:rsidR="006F7DCE" w:rsidRPr="007E349F" w:rsidRDefault="006F7DCE" w:rsidP="004413DC">
      <w:pPr>
        <w:rPr>
          <w:rFonts w:ascii="Arial" w:hAnsi="Arial" w:cs="Arial"/>
        </w:rPr>
      </w:pPr>
      <w:r w:rsidRPr="007E349F">
        <w:rPr>
          <w:rFonts w:ascii="Arial" w:hAnsi="Arial" w:cs="Arial"/>
        </w:rPr>
        <w:t>Not applicable.</w:t>
      </w:r>
      <w:r w:rsidR="00B71897" w:rsidRPr="007E349F">
        <w:rPr>
          <w:rFonts w:ascii="Arial" w:hAnsi="Arial" w:cs="Arial"/>
        </w:rPr>
        <w:t xml:space="preserve"> No identifiable personal data, images, or videos from individual participants are included in this manuscript.</w:t>
      </w:r>
    </w:p>
    <w:p w14:paraId="1EE381C1" w14:textId="2093F836" w:rsidR="006F7DCE" w:rsidRPr="007E349F" w:rsidRDefault="006F7DCE" w:rsidP="004413DC">
      <w:pPr>
        <w:rPr>
          <w:rFonts w:ascii="Arial" w:hAnsi="Arial" w:cs="Arial"/>
          <w:b/>
          <w:color w:val="000000"/>
        </w:rPr>
      </w:pPr>
      <w:r w:rsidRPr="007E349F">
        <w:rPr>
          <w:rFonts w:ascii="Arial" w:hAnsi="Arial" w:cs="Arial"/>
          <w:b/>
          <w:color w:val="000000"/>
        </w:rPr>
        <w:t>Declaration of conflicting interest</w:t>
      </w:r>
    </w:p>
    <w:p w14:paraId="67A5EB7C" w14:textId="18F75FE1" w:rsidR="006F7DCE" w:rsidRPr="007E349F" w:rsidRDefault="006F7DCE" w:rsidP="004413DC">
      <w:pPr>
        <w:rPr>
          <w:rFonts w:ascii="Arial" w:hAnsi="Arial" w:cs="Arial"/>
        </w:rPr>
      </w:pPr>
      <w:r w:rsidRPr="007E349F">
        <w:rPr>
          <w:rFonts w:ascii="Arial" w:hAnsi="Arial" w:cs="Arial"/>
        </w:rPr>
        <w:t>The author(s) declared no potential conflicts of interest with respect to the research, authorship, and/or publication of this article.</w:t>
      </w:r>
    </w:p>
    <w:p w14:paraId="6525ECA3" w14:textId="6D9F037F" w:rsidR="006F7DCE" w:rsidRPr="007E349F" w:rsidRDefault="006F7DCE" w:rsidP="004413DC">
      <w:pPr>
        <w:rPr>
          <w:rFonts w:ascii="Arial" w:hAnsi="Arial" w:cs="Arial"/>
          <w:b/>
          <w:color w:val="000000"/>
        </w:rPr>
      </w:pPr>
      <w:r w:rsidRPr="007E349F">
        <w:rPr>
          <w:rFonts w:ascii="Arial" w:hAnsi="Arial" w:cs="Arial"/>
          <w:b/>
          <w:color w:val="000000"/>
        </w:rPr>
        <w:t>Funding statement</w:t>
      </w:r>
    </w:p>
    <w:p w14:paraId="085603D8" w14:textId="61A499E8" w:rsidR="006F7DCE" w:rsidRDefault="006F7DCE" w:rsidP="004413DC">
      <w:pPr>
        <w:rPr>
          <w:rFonts w:ascii="Arial" w:hAnsi="Arial" w:cs="Arial"/>
        </w:rPr>
      </w:pPr>
      <w:r w:rsidRPr="007E349F">
        <w:rPr>
          <w:rFonts w:ascii="Arial" w:hAnsi="Arial" w:cs="Arial"/>
        </w:rPr>
        <w:t xml:space="preserve">This work was funded by the Deutsche </w:t>
      </w:r>
      <w:proofErr w:type="spellStart"/>
      <w:r w:rsidRPr="007E349F">
        <w:rPr>
          <w:rFonts w:ascii="Arial" w:hAnsi="Arial" w:cs="Arial"/>
        </w:rPr>
        <w:t>Forschungsgemeinschaft</w:t>
      </w:r>
      <w:proofErr w:type="spellEnd"/>
      <w:r w:rsidRPr="007E349F">
        <w:rPr>
          <w:rFonts w:ascii="Arial" w:hAnsi="Arial" w:cs="Arial"/>
        </w:rPr>
        <w:t xml:space="preserve"> (DFG; KL 2926/2-1 and Clinician Scientist Program </w:t>
      </w:r>
      <w:proofErr w:type="spellStart"/>
      <w:r w:rsidRPr="007E349F">
        <w:rPr>
          <w:rFonts w:ascii="Arial" w:hAnsi="Arial" w:cs="Arial"/>
        </w:rPr>
        <w:t>OrganAge</w:t>
      </w:r>
      <w:proofErr w:type="spellEnd"/>
      <w:r w:rsidRPr="007E349F">
        <w:rPr>
          <w:rFonts w:ascii="Arial" w:hAnsi="Arial" w:cs="Arial"/>
        </w:rPr>
        <w:t xml:space="preserve">, funding number 413668513) and by the Interdisciplinary </w:t>
      </w:r>
      <w:proofErr w:type="spellStart"/>
      <w:r w:rsidRPr="007E349F">
        <w:rPr>
          <w:rFonts w:ascii="Arial" w:hAnsi="Arial" w:cs="Arial"/>
        </w:rPr>
        <w:t>Center</w:t>
      </w:r>
      <w:proofErr w:type="spellEnd"/>
      <w:r w:rsidRPr="007E349F">
        <w:rPr>
          <w:rFonts w:ascii="Arial" w:hAnsi="Arial" w:cs="Arial"/>
        </w:rPr>
        <w:t xml:space="preserve"> of Clinical Research of the Medical Faculty Jena.</w:t>
      </w:r>
    </w:p>
    <w:p w14:paraId="47D279CC" w14:textId="77777777" w:rsidR="00BB478F" w:rsidRPr="007E349F" w:rsidRDefault="00BB478F" w:rsidP="004413DC">
      <w:pPr>
        <w:rPr>
          <w:rFonts w:ascii="Arial" w:hAnsi="Arial" w:cs="Arial"/>
        </w:rPr>
      </w:pPr>
    </w:p>
    <w:p w14:paraId="02B141F6" w14:textId="3497D9F8" w:rsidR="006F7DCE" w:rsidRPr="007E349F" w:rsidRDefault="006F7DCE" w:rsidP="004413DC">
      <w:pPr>
        <w:rPr>
          <w:rFonts w:ascii="Arial" w:hAnsi="Arial" w:cs="Arial"/>
          <w:b/>
          <w:color w:val="000000"/>
        </w:rPr>
      </w:pPr>
      <w:r w:rsidRPr="007E349F">
        <w:rPr>
          <w:rFonts w:ascii="Arial" w:hAnsi="Arial" w:cs="Arial"/>
          <w:b/>
          <w:color w:val="000000"/>
        </w:rPr>
        <w:t>Data availability</w:t>
      </w:r>
    </w:p>
    <w:p w14:paraId="4091D87C" w14:textId="0A4D6F57" w:rsidR="006F7DCE" w:rsidRPr="007E349F" w:rsidRDefault="00B71897" w:rsidP="004413DC">
      <w:pPr>
        <w:rPr>
          <w:rFonts w:ascii="Arial" w:hAnsi="Arial" w:cs="Arial"/>
          <w:b/>
          <w:i/>
          <w:color w:val="000000"/>
        </w:rPr>
      </w:pPr>
      <w:r w:rsidRPr="007E349F">
        <w:rPr>
          <w:rFonts w:ascii="Arial" w:hAnsi="Arial" w:cs="Arial"/>
        </w:rPr>
        <w:t>The data that support the findings of this study are available from the corresponding author upon reasonable request.</w:t>
      </w:r>
    </w:p>
    <w:p w14:paraId="0FC76C8B" w14:textId="77777777" w:rsidR="00CE0059" w:rsidRPr="007E349F" w:rsidRDefault="00CE0059" w:rsidP="004413DC">
      <w:pPr>
        <w:rPr>
          <w:rFonts w:ascii="Arial" w:hAnsi="Arial" w:cs="Arial"/>
          <w:b/>
          <w:i/>
          <w:color w:val="000000"/>
        </w:rPr>
      </w:pPr>
      <w:r w:rsidRPr="007E349F">
        <w:rPr>
          <w:rFonts w:ascii="Arial" w:hAnsi="Arial" w:cs="Arial"/>
          <w:b/>
          <w:i/>
          <w:color w:val="000000"/>
        </w:rPr>
        <w:br w:type="page"/>
      </w:r>
    </w:p>
    <w:p w14:paraId="158936F7" w14:textId="681BDBAD" w:rsidR="00EC09AB" w:rsidRPr="007E349F" w:rsidRDefault="00236DC6" w:rsidP="004413DC">
      <w:pPr>
        <w:pBdr>
          <w:top w:val="nil"/>
          <w:left w:val="nil"/>
          <w:bottom w:val="nil"/>
          <w:right w:val="nil"/>
          <w:between w:val="nil"/>
        </w:pBdr>
        <w:spacing w:after="120" w:line="360" w:lineRule="auto"/>
        <w:rPr>
          <w:rFonts w:ascii="Arial" w:hAnsi="Arial" w:cs="Arial"/>
          <w:b/>
          <w:i/>
          <w:color w:val="000000"/>
        </w:rPr>
      </w:pPr>
      <w:r w:rsidRPr="007E349F">
        <w:rPr>
          <w:rFonts w:ascii="Arial" w:hAnsi="Arial" w:cs="Arial"/>
          <w:b/>
          <w:i/>
          <w:color w:val="000000"/>
        </w:rPr>
        <w:lastRenderedPageBreak/>
        <w:t>References</w:t>
      </w:r>
    </w:p>
    <w:p w14:paraId="650978F2" w14:textId="77777777" w:rsidR="00AD5D67" w:rsidRPr="00AD5D67" w:rsidRDefault="00492380" w:rsidP="00AD5D67">
      <w:pPr>
        <w:pStyle w:val="Literaturverzeichnis"/>
      </w:pPr>
      <w:r w:rsidRPr="007E349F">
        <w:rPr>
          <w:rFonts w:ascii="Arial" w:hAnsi="Arial" w:cs="Arial"/>
          <w:color w:val="000000"/>
        </w:rPr>
        <w:fldChar w:fldCharType="begin"/>
      </w:r>
      <w:r w:rsidR="006A40C9">
        <w:rPr>
          <w:rFonts w:ascii="Arial" w:hAnsi="Arial" w:cs="Arial"/>
          <w:color w:val="000000"/>
        </w:rPr>
        <w:instrText xml:space="preserve"> ADDIN ZOTERO_BIBL {"uncited":[],"omitted":[],"custom":[]} CSL_BIBLIOGRAPHY </w:instrText>
      </w:r>
      <w:r w:rsidRPr="007E349F">
        <w:rPr>
          <w:rFonts w:ascii="Arial" w:hAnsi="Arial" w:cs="Arial"/>
          <w:color w:val="000000"/>
        </w:rPr>
        <w:fldChar w:fldCharType="separate"/>
      </w:r>
      <w:r w:rsidR="00AD5D67" w:rsidRPr="00AD5D67">
        <w:t xml:space="preserve">Bonkhoff, A. K., Schirmer, M. D., Bretzner, M., Etherton, M., Donahue, K., Tuozzo, C., Nardin, M., Giese, A.-K., Wu, O., D Calhoun, V., Grefkes, C., &amp; Rost, N. S. (2021). Abnormal dynamic functional connectivity is linked to recovery after acute ischemic stroke. </w:t>
      </w:r>
      <w:r w:rsidR="00AD5D67" w:rsidRPr="00AD5D67">
        <w:rPr>
          <w:i/>
          <w:iCs/>
        </w:rPr>
        <w:t>Human Brain Mapping</w:t>
      </w:r>
      <w:r w:rsidR="00AD5D67" w:rsidRPr="00AD5D67">
        <w:t xml:space="preserve">, </w:t>
      </w:r>
      <w:r w:rsidR="00AD5D67" w:rsidRPr="00AD5D67">
        <w:rPr>
          <w:i/>
          <w:iCs/>
        </w:rPr>
        <w:t>42</w:t>
      </w:r>
      <w:r w:rsidR="00AD5D67" w:rsidRPr="00AD5D67">
        <w:t>(7), 2278–2291. https://doi.org/10.1002/hbm.25366</w:t>
      </w:r>
    </w:p>
    <w:p w14:paraId="3771BBAC" w14:textId="77777777" w:rsidR="00AD5D67" w:rsidRPr="00AD5D67" w:rsidRDefault="00AD5D67" w:rsidP="00AD5D67">
      <w:pPr>
        <w:pStyle w:val="Literaturverzeichnis"/>
      </w:pPr>
      <w:r w:rsidRPr="00AD5D67">
        <w:t xml:space="preserve">Bonnelle, V., Leech, R., Kinnunen, K. M., Ham, T. E., Beckmann, C. F., De Boissezon, X., Greenwood, R. J., &amp; Sharp, D. J. (2011). Default Mode Network Connectivity Predicts Sustained Attention Deficits after Traumatic Brain Injury. </w:t>
      </w:r>
      <w:r w:rsidRPr="00AD5D67">
        <w:rPr>
          <w:i/>
          <w:iCs/>
        </w:rPr>
        <w:t>The Journal of Neuroscience</w:t>
      </w:r>
      <w:r w:rsidRPr="00AD5D67">
        <w:t xml:space="preserve">, </w:t>
      </w:r>
      <w:r w:rsidRPr="00AD5D67">
        <w:rPr>
          <w:i/>
          <w:iCs/>
        </w:rPr>
        <w:t>31</w:t>
      </w:r>
      <w:r w:rsidRPr="00AD5D67">
        <w:t>(38), 13442–13451. https://doi.org/10.1523/JNEUROSCI.1163-11.2011</w:t>
      </w:r>
    </w:p>
    <w:p w14:paraId="21399492" w14:textId="77777777" w:rsidR="00AD5D67" w:rsidRPr="00AD5D67" w:rsidRDefault="00AD5D67" w:rsidP="00AD5D67">
      <w:pPr>
        <w:pStyle w:val="Literaturverzeichnis"/>
      </w:pPr>
      <w:r w:rsidRPr="00AD5D67">
        <w:t xml:space="preserve">Buckner, R. L., Andrews-Hanna, J. R., &amp; Schacter, D. L. (2008). The Brain’s Default Network. </w:t>
      </w:r>
      <w:r w:rsidRPr="00AD5D67">
        <w:rPr>
          <w:i/>
          <w:iCs/>
        </w:rPr>
        <w:t>Annals of the New York Academy of Sciences</w:t>
      </w:r>
      <w:r w:rsidRPr="00AD5D67">
        <w:t xml:space="preserve">, </w:t>
      </w:r>
      <w:r w:rsidRPr="00AD5D67">
        <w:rPr>
          <w:i/>
          <w:iCs/>
        </w:rPr>
        <w:t>1124</w:t>
      </w:r>
      <w:r w:rsidRPr="00AD5D67">
        <w:t>(1), 1–38. https://doi.org/10.1196/annals.1440.011</w:t>
      </w:r>
    </w:p>
    <w:p w14:paraId="39056BC6" w14:textId="77777777" w:rsidR="00AD5D67" w:rsidRPr="00AD5D67" w:rsidRDefault="00AD5D67" w:rsidP="00AD5D67">
      <w:pPr>
        <w:pStyle w:val="Literaturverzeichnis"/>
      </w:pPr>
      <w:r w:rsidRPr="00AD5D67">
        <w:t xml:space="preserve">Carrera, E., &amp; Tononi, G. (2014). Diaschisis: Past, present, future. </w:t>
      </w:r>
      <w:r w:rsidRPr="00AD5D67">
        <w:rPr>
          <w:i/>
          <w:iCs/>
        </w:rPr>
        <w:t>Brain</w:t>
      </w:r>
      <w:r w:rsidRPr="00AD5D67">
        <w:t xml:space="preserve">, </w:t>
      </w:r>
      <w:r w:rsidRPr="00AD5D67">
        <w:rPr>
          <w:i/>
          <w:iCs/>
        </w:rPr>
        <w:t>137</w:t>
      </w:r>
      <w:r w:rsidRPr="00AD5D67">
        <w:t>(9), 2408–2422. https://doi.org/10.1093/brain/awu101</w:t>
      </w:r>
    </w:p>
    <w:p w14:paraId="20045064" w14:textId="77777777" w:rsidR="00AD5D67" w:rsidRPr="00AD5D67" w:rsidRDefault="00AD5D67" w:rsidP="00AD5D67">
      <w:pPr>
        <w:pStyle w:val="Literaturverzeichnis"/>
      </w:pPr>
      <w:r w:rsidRPr="00AD5D67">
        <w:t xml:space="preserve">Dacosta-Aguayo, R., Graña, M., Iturria-Medina, Y., Fernández-Andújar, M., López-Cancio, E., Cáceres, C., Bargalló, N., Barrios, M., Clemente, I., Toran, P., Forés, R., Dávalos, A., Auer, T., &amp; Mataró, M. (2015). Impairment of functional integration of the default mode network correlates with cognitive outcome at three months after stroke. </w:t>
      </w:r>
      <w:r w:rsidRPr="00AD5D67">
        <w:rPr>
          <w:i/>
          <w:iCs/>
        </w:rPr>
        <w:t>Human Brain Mapping</w:t>
      </w:r>
      <w:r w:rsidRPr="00AD5D67">
        <w:t xml:space="preserve">, </w:t>
      </w:r>
      <w:r w:rsidRPr="00AD5D67">
        <w:rPr>
          <w:i/>
          <w:iCs/>
        </w:rPr>
        <w:t>36</w:t>
      </w:r>
      <w:r w:rsidRPr="00AD5D67">
        <w:t>(2), 577–590. https://doi.org/10.1002/hbm.22648</w:t>
      </w:r>
    </w:p>
    <w:p w14:paraId="608CCE6A" w14:textId="77777777" w:rsidR="00AD5D67" w:rsidRPr="00AD5D67" w:rsidRDefault="00AD5D67" w:rsidP="00AD5D67">
      <w:pPr>
        <w:pStyle w:val="Literaturverzeichnis"/>
      </w:pPr>
      <w:r w:rsidRPr="00AD5D67">
        <w:t xml:space="preserve">Dahms, C., Brodoehl, S., Witte, O. W., &amp; Klingner, C. M. (2020). The importance of different learning stages for motor sequence learning after stroke. </w:t>
      </w:r>
      <w:r w:rsidRPr="00AD5D67">
        <w:rPr>
          <w:i/>
          <w:iCs/>
        </w:rPr>
        <w:t>Human Brain Mapping</w:t>
      </w:r>
      <w:r w:rsidRPr="00AD5D67">
        <w:t xml:space="preserve">, </w:t>
      </w:r>
      <w:r w:rsidRPr="00AD5D67">
        <w:rPr>
          <w:i/>
          <w:iCs/>
        </w:rPr>
        <w:t>41</w:t>
      </w:r>
      <w:r w:rsidRPr="00AD5D67">
        <w:t>(1), 270–286. https://doi.org/10.1002/hbm.24793</w:t>
      </w:r>
    </w:p>
    <w:p w14:paraId="14D79A4B" w14:textId="77777777" w:rsidR="00AD5D67" w:rsidRPr="00AD5D67" w:rsidRDefault="00AD5D67" w:rsidP="00AD5D67">
      <w:pPr>
        <w:pStyle w:val="Literaturverzeichnis"/>
      </w:pPr>
      <w:r w:rsidRPr="00AD5D67">
        <w:t xml:space="preserve">Dahms, C., Noll, A., Wagner, F., Schmidt, A., Brodoehl, S., &amp; Klingner, C. M. (2024). Connecting the dots: Motor and default mode network crossroads in post-stroke motor learning deficits. </w:t>
      </w:r>
      <w:r w:rsidRPr="00AD5D67">
        <w:rPr>
          <w:i/>
          <w:iCs/>
        </w:rPr>
        <w:t>NeuroImage: Clinical</w:t>
      </w:r>
      <w:r w:rsidRPr="00AD5D67">
        <w:t xml:space="preserve">, </w:t>
      </w:r>
      <w:r w:rsidRPr="00AD5D67">
        <w:rPr>
          <w:i/>
          <w:iCs/>
        </w:rPr>
        <w:t>42</w:t>
      </w:r>
      <w:r w:rsidRPr="00AD5D67">
        <w:t>, 103601. https://doi.org/10.1016/j.nicl.2024.103601</w:t>
      </w:r>
    </w:p>
    <w:p w14:paraId="2E46E44C" w14:textId="77777777" w:rsidR="00AD5D67" w:rsidRPr="00AD5D67" w:rsidRDefault="00AD5D67" w:rsidP="00AD5D67">
      <w:pPr>
        <w:pStyle w:val="Literaturverzeichnis"/>
      </w:pPr>
      <w:r w:rsidRPr="00AD5D67">
        <w:lastRenderedPageBreak/>
        <w:t xml:space="preserve">Di Pino, G., Pellegrino, G., Assenza, G., Capone, F., Ferreri, F., Formica, D., Ranieri, F., Tombini, M., Ziemann, U., Rothwell, J. C., &amp; Di Lazzaro, V. (2014). Modulation of brain plasticity in stroke: A novel model for neurorehabilitation. </w:t>
      </w:r>
      <w:r w:rsidRPr="00AD5D67">
        <w:rPr>
          <w:i/>
          <w:iCs/>
        </w:rPr>
        <w:t>Nature Reviews Neurology</w:t>
      </w:r>
      <w:r w:rsidRPr="00AD5D67">
        <w:t xml:space="preserve">, </w:t>
      </w:r>
      <w:r w:rsidRPr="00AD5D67">
        <w:rPr>
          <w:i/>
          <w:iCs/>
        </w:rPr>
        <w:t>10</w:t>
      </w:r>
      <w:r w:rsidRPr="00AD5D67">
        <w:t>(10), 597–608. https://doi.org/10.1038/nrneurol.2014.162</w:t>
      </w:r>
    </w:p>
    <w:p w14:paraId="70B10229" w14:textId="77777777" w:rsidR="00AD5D67" w:rsidRPr="00AD5D67" w:rsidRDefault="00AD5D67" w:rsidP="00AD5D67">
      <w:pPr>
        <w:pStyle w:val="Literaturverzeichnis"/>
      </w:pPr>
      <w:r w:rsidRPr="00AD5D67">
        <w:t xml:space="preserve">Feigin, V. L., Norrving, B., &amp; Mensah, G. A. (2017). Global Burden of Stroke. </w:t>
      </w:r>
      <w:r w:rsidRPr="00AD5D67">
        <w:rPr>
          <w:i/>
          <w:iCs/>
        </w:rPr>
        <w:t>Circulation Research</w:t>
      </w:r>
      <w:r w:rsidRPr="00AD5D67">
        <w:t xml:space="preserve">, </w:t>
      </w:r>
      <w:r w:rsidRPr="00AD5D67">
        <w:rPr>
          <w:i/>
          <w:iCs/>
        </w:rPr>
        <w:t>120</w:t>
      </w:r>
      <w:r w:rsidRPr="00AD5D67">
        <w:t>(3), 439–448. https://doi.org/10.1161/CIRCRESAHA.116.308413</w:t>
      </w:r>
    </w:p>
    <w:p w14:paraId="51ACD4D5" w14:textId="77777777" w:rsidR="00AD5D67" w:rsidRPr="00AD5D67" w:rsidRDefault="00AD5D67" w:rsidP="00AD5D67">
      <w:pPr>
        <w:pStyle w:val="Literaturverzeichnis"/>
      </w:pPr>
      <w:r w:rsidRPr="00AD5D67">
        <w:t xml:space="preserve">Gonzalez-Castillo, J., &amp; Bandettini, P. A. (2018). Task-based dynamic functional connectivity: Recent findings and open questions. </w:t>
      </w:r>
      <w:r w:rsidRPr="00AD5D67">
        <w:rPr>
          <w:i/>
          <w:iCs/>
        </w:rPr>
        <w:t>NeuroImage</w:t>
      </w:r>
      <w:r w:rsidRPr="00AD5D67">
        <w:t xml:space="preserve">, </w:t>
      </w:r>
      <w:r w:rsidRPr="00AD5D67">
        <w:rPr>
          <w:i/>
          <w:iCs/>
        </w:rPr>
        <w:t>180</w:t>
      </w:r>
      <w:r w:rsidRPr="00AD5D67">
        <w:t>, 526–533. https://doi.org/10.1016/j.neuroimage.2017.08.006</w:t>
      </w:r>
    </w:p>
    <w:p w14:paraId="6E6DC59E" w14:textId="77777777" w:rsidR="00AD5D67" w:rsidRPr="00AD5D67" w:rsidRDefault="00AD5D67" w:rsidP="00AD5D67">
      <w:pPr>
        <w:pStyle w:val="Literaturverzeichnis"/>
      </w:pPr>
      <w:r w:rsidRPr="00AD5D67">
        <w:t xml:space="preserve">Grefkes, C., &amp; Fink, G. R. (2011). Reorganization of cerebral networks after stroke: New insights from neuroimaging with connectivity approaches. </w:t>
      </w:r>
      <w:r w:rsidRPr="00AD5D67">
        <w:rPr>
          <w:i/>
          <w:iCs/>
        </w:rPr>
        <w:t>Brain: A Journal of Neurology</w:t>
      </w:r>
      <w:r w:rsidRPr="00AD5D67">
        <w:t xml:space="preserve">, </w:t>
      </w:r>
      <w:r w:rsidRPr="00AD5D67">
        <w:rPr>
          <w:i/>
          <w:iCs/>
        </w:rPr>
        <w:t>134</w:t>
      </w:r>
      <w:r w:rsidRPr="00AD5D67">
        <w:t>(Pt 5), 1264–1276. https://doi.org/10.1093/brain/awr033</w:t>
      </w:r>
    </w:p>
    <w:p w14:paraId="0443413A" w14:textId="77777777" w:rsidR="00AD5D67" w:rsidRPr="00AD5D67" w:rsidRDefault="00AD5D67" w:rsidP="00AD5D67">
      <w:pPr>
        <w:pStyle w:val="Literaturverzeichnis"/>
      </w:pPr>
      <w:r w:rsidRPr="00AD5D67">
        <w:t xml:space="preserve">Grefkes, C., &amp; Fink, G. R. (2014). Connectivity-based approaches in stroke and recovery of function. </w:t>
      </w:r>
      <w:r w:rsidRPr="00AD5D67">
        <w:rPr>
          <w:i/>
          <w:iCs/>
        </w:rPr>
        <w:t>The Lancet Neurology</w:t>
      </w:r>
      <w:r w:rsidRPr="00AD5D67">
        <w:t xml:space="preserve">, </w:t>
      </w:r>
      <w:r w:rsidRPr="00AD5D67">
        <w:rPr>
          <w:i/>
          <w:iCs/>
        </w:rPr>
        <w:t>13</w:t>
      </w:r>
      <w:r w:rsidRPr="00AD5D67">
        <w:t>(2), 206–216. https://doi.org/10.1016/S1474-4422(13)70264-3</w:t>
      </w:r>
    </w:p>
    <w:p w14:paraId="232A073E" w14:textId="77777777" w:rsidR="00AD5D67" w:rsidRPr="00AD5D67" w:rsidRDefault="00AD5D67" w:rsidP="00AD5D67">
      <w:pPr>
        <w:pStyle w:val="Literaturverzeichnis"/>
      </w:pPr>
      <w:r w:rsidRPr="00AD5D67">
        <w:t xml:space="preserve">Griffis, J. C., Metcalf, N. V., Corbetta, M., &amp; Shulman, G. L. (2019). Structural Disconnections Explain Brain Network Dysfunction after Stroke. </w:t>
      </w:r>
      <w:r w:rsidRPr="00AD5D67">
        <w:rPr>
          <w:i/>
          <w:iCs/>
        </w:rPr>
        <w:t>Cell Reports</w:t>
      </w:r>
      <w:r w:rsidRPr="00AD5D67">
        <w:t xml:space="preserve">, </w:t>
      </w:r>
      <w:r w:rsidRPr="00AD5D67">
        <w:rPr>
          <w:i/>
          <w:iCs/>
        </w:rPr>
        <w:t>28</w:t>
      </w:r>
      <w:r w:rsidRPr="00AD5D67">
        <w:t>(10), 2527-2540.e9. https://doi.org/10.1016/j.celrep.2019.07.100</w:t>
      </w:r>
    </w:p>
    <w:p w14:paraId="1E649FB4" w14:textId="77777777" w:rsidR="00AD5D67" w:rsidRPr="00AD5D67" w:rsidRDefault="00AD5D67" w:rsidP="00AD5D67">
      <w:pPr>
        <w:pStyle w:val="Literaturverzeichnis"/>
      </w:pPr>
      <w:r w:rsidRPr="00AD5D67">
        <w:t xml:space="preserve">Hendrikse, J., Brooks, E., Wallis, S., Curtin, D., Rogasch, N. C., Yücel, M., Biabani, M., Stagg, C. J., Bellgrove, M., McIntyre, R., Suo, C., &amp; Coxon, J. (2025). Default mode and motor networks facilitate early learning of implicit motor sequences: A multimodal MR spectroscopy and fMRI study. </w:t>
      </w:r>
      <w:r w:rsidRPr="00AD5D67">
        <w:rPr>
          <w:i/>
          <w:iCs/>
        </w:rPr>
        <w:t>The Journal of Physiology</w:t>
      </w:r>
      <w:r w:rsidRPr="00AD5D67">
        <w:t xml:space="preserve">, </w:t>
      </w:r>
      <w:r w:rsidRPr="00AD5D67">
        <w:rPr>
          <w:i/>
          <w:iCs/>
        </w:rPr>
        <w:t>603</w:t>
      </w:r>
      <w:r w:rsidRPr="00AD5D67">
        <w:t>(22), 7071–7087. https://doi.org/10.1113/JP288361</w:t>
      </w:r>
    </w:p>
    <w:p w14:paraId="154F8F7D" w14:textId="77777777" w:rsidR="00AD5D67" w:rsidRPr="00AD5D67" w:rsidRDefault="00AD5D67" w:rsidP="00AD5D67">
      <w:pPr>
        <w:pStyle w:val="Literaturverzeichnis"/>
      </w:pPr>
      <w:r w:rsidRPr="00AD5D67">
        <w:t xml:space="preserve">Kal, E., Winters, M., Van Der Kamp, J., Houdijk, H., Groet, E., Van Bennekom, C., &amp; Scherder, E. (2016). Is Implicit Motor Learning Preserved after Stroke? A Systematic Review </w:t>
      </w:r>
      <w:r w:rsidRPr="00AD5D67">
        <w:lastRenderedPageBreak/>
        <w:t xml:space="preserve">with Meta-Analysis. </w:t>
      </w:r>
      <w:r w:rsidRPr="00AD5D67">
        <w:rPr>
          <w:i/>
          <w:iCs/>
        </w:rPr>
        <w:t>PLOS ONE</w:t>
      </w:r>
      <w:r w:rsidRPr="00AD5D67">
        <w:t xml:space="preserve">, </w:t>
      </w:r>
      <w:r w:rsidRPr="00AD5D67">
        <w:rPr>
          <w:i/>
          <w:iCs/>
        </w:rPr>
        <w:t>11</w:t>
      </w:r>
      <w:r w:rsidRPr="00AD5D67">
        <w:t>(12), e0166376. https://doi.org/10.1371/journal.pone.0166376</w:t>
      </w:r>
    </w:p>
    <w:p w14:paraId="284072BF" w14:textId="77777777" w:rsidR="00AD5D67" w:rsidRPr="00AD5D67" w:rsidRDefault="00AD5D67" w:rsidP="00AD5D67">
      <w:pPr>
        <w:pStyle w:val="Literaturverzeichnis"/>
      </w:pPr>
      <w:r w:rsidRPr="00AD5D67">
        <w:t xml:space="preserve">Kao, C.-H., Khambhati, A. N., Bassett, D. S., Nassar, M. R., McGuire, J. T., Gold, J. I., &amp; Kable, J. W. (2020). Functional brain network reconfiguration during learning in a dynamic environment. </w:t>
      </w:r>
      <w:r w:rsidRPr="00AD5D67">
        <w:rPr>
          <w:i/>
          <w:iCs/>
        </w:rPr>
        <w:t>Nature Communications</w:t>
      </w:r>
      <w:r w:rsidRPr="00AD5D67">
        <w:t xml:space="preserve">, </w:t>
      </w:r>
      <w:r w:rsidRPr="00AD5D67">
        <w:rPr>
          <w:i/>
          <w:iCs/>
        </w:rPr>
        <w:t>11</w:t>
      </w:r>
      <w:r w:rsidRPr="00AD5D67">
        <w:t>(1), 1682. https://doi.org/10.1038/s41467-020-15442-2</w:t>
      </w:r>
    </w:p>
    <w:p w14:paraId="4B7ED60A" w14:textId="77777777" w:rsidR="00AD5D67" w:rsidRPr="00AD5D67" w:rsidRDefault="00AD5D67" w:rsidP="00AD5D67">
      <w:pPr>
        <w:pStyle w:val="Literaturverzeichnis"/>
      </w:pPr>
      <w:r w:rsidRPr="00AD5D67">
        <w:t xml:space="preserve">Langhorne, P., Bernhardt, J., &amp; Kwakkel, G. (2011). Stroke rehabilitation. </w:t>
      </w:r>
      <w:r w:rsidRPr="00AD5D67">
        <w:rPr>
          <w:i/>
          <w:iCs/>
        </w:rPr>
        <w:t>Lancet (London, England)</w:t>
      </w:r>
      <w:r w:rsidRPr="00AD5D67">
        <w:t xml:space="preserve">, </w:t>
      </w:r>
      <w:r w:rsidRPr="00AD5D67">
        <w:rPr>
          <w:i/>
          <w:iCs/>
        </w:rPr>
        <w:t>377</w:t>
      </w:r>
      <w:r w:rsidRPr="00AD5D67">
        <w:t>(9778), 1693–1702. https://doi.org/10.1016/S0140-6736(11)60325-5</w:t>
      </w:r>
    </w:p>
    <w:p w14:paraId="5BE61081" w14:textId="77777777" w:rsidR="00AD5D67" w:rsidRPr="00AD5D67" w:rsidRDefault="00AD5D67" w:rsidP="00AD5D67">
      <w:pPr>
        <w:pStyle w:val="Literaturverzeichnis"/>
      </w:pPr>
      <w:r w:rsidRPr="00AD5D67">
        <w:rPr>
          <w:lang w:val="de-DE"/>
        </w:rPr>
        <w:t xml:space="preserve">Li, Y., Yu, Z., Zhou, X., Wu, P., &amp; Chen, J. (2022). </w:t>
      </w:r>
      <w:r w:rsidRPr="00AD5D67">
        <w:t xml:space="preserve">Aberrant interhemispheric functional reciprocities of the default mode network and motor network in subcortical ischemic stroke patients with motor impairment: A longitudinal study. </w:t>
      </w:r>
      <w:r w:rsidRPr="00AD5D67">
        <w:rPr>
          <w:i/>
          <w:iCs/>
        </w:rPr>
        <w:t>Frontiers in Neurology</w:t>
      </w:r>
      <w:r w:rsidRPr="00AD5D67">
        <w:t xml:space="preserve">, </w:t>
      </w:r>
      <w:r w:rsidRPr="00AD5D67">
        <w:rPr>
          <w:i/>
          <w:iCs/>
        </w:rPr>
        <w:t>13</w:t>
      </w:r>
      <w:r w:rsidRPr="00AD5D67">
        <w:t>, 996621. https://doi.org/10.3389/fneur.2022.996621</w:t>
      </w:r>
    </w:p>
    <w:p w14:paraId="2413FAA9" w14:textId="77777777" w:rsidR="00AD5D67" w:rsidRPr="00AD5D67" w:rsidRDefault="00AD5D67" w:rsidP="00AD5D67">
      <w:pPr>
        <w:pStyle w:val="Literaturverzeichnis"/>
      </w:pPr>
      <w:r w:rsidRPr="00AD5D67">
        <w:t xml:space="preserve">Mani, S., Mutha, P. K., Przybyla, A., Haaland, K. Y., Good, D. C., &amp; Sainburg, R. L. (2013). Contralesional motor deficits after unilateral stroke reflect hemisphere-specific control mechanisms. </w:t>
      </w:r>
      <w:r w:rsidRPr="00AD5D67">
        <w:rPr>
          <w:i/>
          <w:iCs/>
        </w:rPr>
        <w:t>Brain</w:t>
      </w:r>
      <w:r w:rsidRPr="00AD5D67">
        <w:t xml:space="preserve">, </w:t>
      </w:r>
      <w:r w:rsidRPr="00AD5D67">
        <w:rPr>
          <w:i/>
          <w:iCs/>
        </w:rPr>
        <w:t>136</w:t>
      </w:r>
      <w:r w:rsidRPr="00AD5D67">
        <w:t>(4), 1288–1303. https://doi.org/10.1093/brain/aws283</w:t>
      </w:r>
    </w:p>
    <w:p w14:paraId="2D83D80C" w14:textId="77777777" w:rsidR="00AD5D67" w:rsidRPr="00AD5D67" w:rsidRDefault="00AD5D67" w:rsidP="00AD5D67">
      <w:pPr>
        <w:pStyle w:val="Literaturverzeichnis"/>
      </w:pPr>
      <w:r w:rsidRPr="00AD5D67">
        <w:t xml:space="preserve">Menon, V. (2023). 20 years of the default mode network: A review and synthesis. </w:t>
      </w:r>
      <w:r w:rsidRPr="00AD5D67">
        <w:rPr>
          <w:i/>
          <w:iCs/>
        </w:rPr>
        <w:t>Neuron</w:t>
      </w:r>
      <w:r w:rsidRPr="00AD5D67">
        <w:t xml:space="preserve">, </w:t>
      </w:r>
      <w:r w:rsidRPr="00AD5D67">
        <w:rPr>
          <w:i/>
          <w:iCs/>
        </w:rPr>
        <w:t>111</w:t>
      </w:r>
      <w:r w:rsidRPr="00AD5D67">
        <w:t>(16), 2469–2487. https://doi.org/10.1016/j.neuron.2023.04.023</w:t>
      </w:r>
    </w:p>
    <w:p w14:paraId="3604161B" w14:textId="77777777" w:rsidR="00AD5D67" w:rsidRPr="00AD5D67" w:rsidRDefault="00AD5D67" w:rsidP="00AD5D67">
      <w:pPr>
        <w:pStyle w:val="Literaturverzeichnis"/>
      </w:pPr>
      <w:r w:rsidRPr="00AD5D67">
        <w:t xml:space="preserve">Menon, V., &amp; Uddin, L. Q. (2010). Saliency, switching, attention and control: A network model of insula function. </w:t>
      </w:r>
      <w:r w:rsidRPr="00AD5D67">
        <w:rPr>
          <w:i/>
          <w:iCs/>
        </w:rPr>
        <w:t>Brain Structure and Function</w:t>
      </w:r>
      <w:r w:rsidRPr="00AD5D67">
        <w:t xml:space="preserve">, </w:t>
      </w:r>
      <w:r w:rsidRPr="00AD5D67">
        <w:rPr>
          <w:i/>
          <w:iCs/>
        </w:rPr>
        <w:t>214</w:t>
      </w:r>
      <w:r w:rsidRPr="00AD5D67">
        <w:t>(5–6), 655–667. https://doi.org/10.1007/s00429-010-0262-0</w:t>
      </w:r>
    </w:p>
    <w:p w14:paraId="55D0EA2A" w14:textId="77777777" w:rsidR="00AD5D67" w:rsidRPr="00AD5D67" w:rsidRDefault="00AD5D67" w:rsidP="00AD5D67">
      <w:pPr>
        <w:pStyle w:val="Literaturverzeichnis"/>
      </w:pPr>
      <w:r w:rsidRPr="00AD5D67">
        <w:t xml:space="preserve">Murase, N., Duque, J., Mazzocchio, R., &amp; Cohen, L. G. (2004). Influence of interhemispheric interactions on motor function in chronic stroke. </w:t>
      </w:r>
      <w:r w:rsidRPr="00AD5D67">
        <w:rPr>
          <w:i/>
          <w:iCs/>
        </w:rPr>
        <w:t>Annals of Neurology</w:t>
      </w:r>
      <w:r w:rsidRPr="00AD5D67">
        <w:t xml:space="preserve">, </w:t>
      </w:r>
      <w:r w:rsidRPr="00AD5D67">
        <w:rPr>
          <w:i/>
          <w:iCs/>
        </w:rPr>
        <w:t>55</w:t>
      </w:r>
      <w:r w:rsidRPr="00AD5D67">
        <w:t>(3), 400–409. https://doi.org/10.1002/ana.10848</w:t>
      </w:r>
    </w:p>
    <w:p w14:paraId="4AB43DBA" w14:textId="77777777" w:rsidR="00AD5D67" w:rsidRPr="00AD5D67" w:rsidRDefault="00AD5D67" w:rsidP="00AD5D67">
      <w:pPr>
        <w:pStyle w:val="Literaturverzeichnis"/>
        <w:rPr>
          <w:lang w:val="de-DE"/>
        </w:rPr>
      </w:pPr>
      <w:r w:rsidRPr="00AD5D67">
        <w:t xml:space="preserve">Oldfield, R. C. (1971). The assessment and analysis of handedness: The Edinburgh inventory. </w:t>
      </w:r>
      <w:r w:rsidRPr="00AD5D67">
        <w:rPr>
          <w:i/>
          <w:iCs/>
          <w:lang w:val="de-DE"/>
        </w:rPr>
        <w:t>Neuropsychologia</w:t>
      </w:r>
      <w:r w:rsidRPr="00AD5D67">
        <w:rPr>
          <w:lang w:val="de-DE"/>
        </w:rPr>
        <w:t xml:space="preserve">, </w:t>
      </w:r>
      <w:r w:rsidRPr="00AD5D67">
        <w:rPr>
          <w:i/>
          <w:iCs/>
          <w:lang w:val="de-DE"/>
        </w:rPr>
        <w:t>9</w:t>
      </w:r>
      <w:r w:rsidRPr="00AD5D67">
        <w:rPr>
          <w:lang w:val="de-DE"/>
        </w:rPr>
        <w:t>(1), 97–113. https://doi.org/10.1016/0028-3932(71)90067-4</w:t>
      </w:r>
    </w:p>
    <w:p w14:paraId="7FB0D4B2" w14:textId="77777777" w:rsidR="00AD5D67" w:rsidRPr="00AD5D67" w:rsidRDefault="00AD5D67" w:rsidP="00AD5D67">
      <w:pPr>
        <w:pStyle w:val="Literaturverzeichnis"/>
      </w:pPr>
      <w:r w:rsidRPr="00AD5D67">
        <w:rPr>
          <w:lang w:val="de-DE"/>
        </w:rPr>
        <w:lastRenderedPageBreak/>
        <w:t xml:space="preserve">Pencina, M. J., D’Agostino, R. B., &amp; Steyerberg, E. W. (2011). </w:t>
      </w:r>
      <w:r w:rsidRPr="00AD5D67">
        <w:t xml:space="preserve">Extensions of net reclassification improvement calculations to measure usefulness of new biomarkers. </w:t>
      </w:r>
      <w:r w:rsidRPr="00AD5D67">
        <w:rPr>
          <w:i/>
          <w:iCs/>
        </w:rPr>
        <w:t>Statistics in Medicine</w:t>
      </w:r>
      <w:r w:rsidRPr="00AD5D67">
        <w:t xml:space="preserve">, </w:t>
      </w:r>
      <w:r w:rsidRPr="00AD5D67">
        <w:rPr>
          <w:i/>
          <w:iCs/>
        </w:rPr>
        <w:t>30</w:t>
      </w:r>
      <w:r w:rsidRPr="00AD5D67">
        <w:t>(1), 11–21. https://doi.org/10.1002/sim.4085</w:t>
      </w:r>
    </w:p>
    <w:p w14:paraId="3DDC9F7C" w14:textId="77777777" w:rsidR="00AD5D67" w:rsidRPr="00AD5D67" w:rsidRDefault="00AD5D67" w:rsidP="00AD5D67">
      <w:pPr>
        <w:pStyle w:val="Literaturverzeichnis"/>
      </w:pPr>
      <w:r w:rsidRPr="00AD5D67">
        <w:t xml:space="preserve">Rehme, A. K., &amp; Grefkes, C. (2013). Cerebral network disorders after stroke: Evidence from imaging-based connectivity analyses of active and resting brain states in humans. </w:t>
      </w:r>
      <w:r w:rsidRPr="00AD5D67">
        <w:rPr>
          <w:i/>
          <w:iCs/>
        </w:rPr>
        <w:t>The Journal of Physiology</w:t>
      </w:r>
      <w:r w:rsidRPr="00AD5D67">
        <w:t xml:space="preserve">, </w:t>
      </w:r>
      <w:r w:rsidRPr="00AD5D67">
        <w:rPr>
          <w:i/>
          <w:iCs/>
        </w:rPr>
        <w:t>591</w:t>
      </w:r>
      <w:r w:rsidRPr="00AD5D67">
        <w:t>(1), 17–31. https://doi.org/10.1113/jphysiol.2012.243469</w:t>
      </w:r>
    </w:p>
    <w:p w14:paraId="53DF2466" w14:textId="77777777" w:rsidR="00AD5D67" w:rsidRPr="00AD5D67" w:rsidRDefault="00AD5D67" w:rsidP="00AD5D67">
      <w:pPr>
        <w:pStyle w:val="Literaturverzeichnis"/>
      </w:pPr>
      <w:r w:rsidRPr="00AD5D67">
        <w:t xml:space="preserve">Riley, R. D., Snell, K. I. E., Ensor, J., Burke, D. L., Harrell, F. E., Moons, K. G. M., &amp; Collins, G. S. (2019). Minimum sample size for developing a multivariable prediction model: Part I – Continuous outcomes. </w:t>
      </w:r>
      <w:r w:rsidRPr="00AD5D67">
        <w:rPr>
          <w:i/>
          <w:iCs/>
        </w:rPr>
        <w:t>Statistics in Medicine</w:t>
      </w:r>
      <w:r w:rsidRPr="00AD5D67">
        <w:t xml:space="preserve">, </w:t>
      </w:r>
      <w:r w:rsidRPr="00AD5D67">
        <w:rPr>
          <w:i/>
          <w:iCs/>
        </w:rPr>
        <w:t>38</w:t>
      </w:r>
      <w:r w:rsidRPr="00AD5D67">
        <w:t>(7), 1262–1275. https://doi.org/10.1002/sim.7993</w:t>
      </w:r>
    </w:p>
    <w:p w14:paraId="32843A6B" w14:textId="77777777" w:rsidR="00AD5D67" w:rsidRPr="00AD5D67" w:rsidRDefault="00AD5D67" w:rsidP="00AD5D67">
      <w:pPr>
        <w:pStyle w:val="Literaturverzeichnis"/>
      </w:pPr>
      <w:r w:rsidRPr="00AD5D67">
        <w:t xml:space="preserve">Rivier, C., Preti, M. G., Nicolo, P., Van De Ville, D., Guggisberg, A. G., &amp; Pirondini, E. (2023). Prediction of post-stroke motor recovery benefits from measures of sub-acute widespread network damages. </w:t>
      </w:r>
      <w:r w:rsidRPr="00AD5D67">
        <w:rPr>
          <w:i/>
          <w:iCs/>
        </w:rPr>
        <w:t>Brain Communications</w:t>
      </w:r>
      <w:r w:rsidRPr="00AD5D67">
        <w:t xml:space="preserve">, </w:t>
      </w:r>
      <w:r w:rsidRPr="00AD5D67">
        <w:rPr>
          <w:i/>
          <w:iCs/>
        </w:rPr>
        <w:t>5</w:t>
      </w:r>
      <w:r w:rsidRPr="00AD5D67">
        <w:t>(2), fcad055. https://doi.org/10.1093/braincomms/fcad055</w:t>
      </w:r>
    </w:p>
    <w:p w14:paraId="15C1DACA" w14:textId="77777777" w:rsidR="00AD5D67" w:rsidRPr="00AD5D67" w:rsidRDefault="00AD5D67" w:rsidP="00AD5D67">
      <w:pPr>
        <w:pStyle w:val="Literaturverzeichnis"/>
      </w:pPr>
      <w:r w:rsidRPr="00AD5D67">
        <w:t xml:space="preserve">Schlemm, E., Ingwersen, T., Königsberg, A., Boutitie, F., Ebinger, M., Endres, M., Fiebach, J. B., Fiehler, J., Galinovic, I., Lemmens, R., Muir, K. W., Nighoghossian, N., Pedraza, S., Puig, J., Simonsen, C. Z., Thijs, V., Wouters, A., Gerloff, C., Thomalla, G., &amp; Cheng, B. (2021). Preserved structural connectivity mediates the clinical effect of thrombolysis in patients with anterior-circulation stroke. </w:t>
      </w:r>
      <w:r w:rsidRPr="00AD5D67">
        <w:rPr>
          <w:i/>
          <w:iCs/>
        </w:rPr>
        <w:t>Nature Communications</w:t>
      </w:r>
      <w:r w:rsidRPr="00AD5D67">
        <w:t xml:space="preserve">, </w:t>
      </w:r>
      <w:r w:rsidRPr="00AD5D67">
        <w:rPr>
          <w:i/>
          <w:iCs/>
        </w:rPr>
        <w:t>12</w:t>
      </w:r>
      <w:r w:rsidRPr="00AD5D67">
        <w:t>(1), 2590. https://doi.org/10.1038/s41467-021-22786-w</w:t>
      </w:r>
    </w:p>
    <w:p w14:paraId="48F32889" w14:textId="77777777" w:rsidR="00AD5D67" w:rsidRPr="00AD5D67" w:rsidRDefault="00AD5D67" w:rsidP="00AD5D67">
      <w:pPr>
        <w:pStyle w:val="Literaturverzeichnis"/>
      </w:pPr>
      <w:r w:rsidRPr="00AD5D67">
        <w:t xml:space="preserve">Siegel, J. S., Ramsey, L. E., Snyder, A. Z., Metcalf, N. V., Chacko, R. V., Weinberger, K., Baldassarre, A., Hacker, C. D., Shulman, G. L., &amp; Corbetta, M. (2016). Disruptions of network connectivity predict impairment in multiple behavioral domains after stroke. </w:t>
      </w:r>
      <w:r w:rsidRPr="00AD5D67">
        <w:rPr>
          <w:i/>
          <w:iCs/>
        </w:rPr>
        <w:t>Proceedings of the National Academy of Sciences</w:t>
      </w:r>
      <w:r w:rsidRPr="00AD5D67">
        <w:t xml:space="preserve">, </w:t>
      </w:r>
      <w:r w:rsidRPr="00AD5D67">
        <w:rPr>
          <w:i/>
          <w:iCs/>
        </w:rPr>
        <w:t>113</w:t>
      </w:r>
      <w:r w:rsidRPr="00AD5D67">
        <w:t>(30). https://doi.org/10.1073/pnas.1521083113</w:t>
      </w:r>
    </w:p>
    <w:p w14:paraId="3366EF9B" w14:textId="77777777" w:rsidR="00AD5D67" w:rsidRPr="00AD5D67" w:rsidRDefault="00AD5D67" w:rsidP="00AD5D67">
      <w:pPr>
        <w:pStyle w:val="Literaturverzeichnis"/>
      </w:pPr>
      <w:r w:rsidRPr="00AD5D67">
        <w:lastRenderedPageBreak/>
        <w:t xml:space="preserve">Siegel, J. S., Seitzman, B. A., Ramsey, L. E., Ortega, M., Gordon, E. M., Dosenbach, N. U. F., Petersen, S. E., Shulman, G. L., &amp; Corbetta, M. (2018). Re-emergence of modular brain networks in stroke recovery. </w:t>
      </w:r>
      <w:r w:rsidRPr="00AD5D67">
        <w:rPr>
          <w:i/>
          <w:iCs/>
        </w:rPr>
        <w:t>Cortex; a Journal Devoted to the Study of the Nervous System and Behavior</w:t>
      </w:r>
      <w:r w:rsidRPr="00AD5D67">
        <w:t xml:space="preserve">, </w:t>
      </w:r>
      <w:r w:rsidRPr="00AD5D67">
        <w:rPr>
          <w:i/>
          <w:iCs/>
        </w:rPr>
        <w:t>101</w:t>
      </w:r>
      <w:r w:rsidRPr="00AD5D67">
        <w:t>, 44–59. https://doi.org/10.1016/j.cortex.2017.12.019</w:t>
      </w:r>
    </w:p>
    <w:p w14:paraId="0F02CD00" w14:textId="77777777" w:rsidR="00AD5D67" w:rsidRPr="00AD5D67" w:rsidRDefault="00AD5D67" w:rsidP="00AD5D67">
      <w:pPr>
        <w:pStyle w:val="Literaturverzeichnis"/>
      </w:pPr>
      <w:r w:rsidRPr="004158B2">
        <w:rPr>
          <w:lang w:val="de-DE"/>
        </w:rPr>
        <w:t xml:space="preserve">Spreng, R. N., Mar, R. A., &amp; Kim, A. S. N. (2009). </w:t>
      </w:r>
      <w:r w:rsidRPr="00AD5D67">
        <w:t xml:space="preserve">The common neural basis of autobiographical memory, prospection, navigation, theory of mind, and the default mode: A quantitative meta-analysis. </w:t>
      </w:r>
      <w:r w:rsidRPr="00AD5D67">
        <w:rPr>
          <w:i/>
          <w:iCs/>
        </w:rPr>
        <w:t>Journal of Cognitive Neuroscience</w:t>
      </w:r>
      <w:r w:rsidRPr="00AD5D67">
        <w:t xml:space="preserve">, </w:t>
      </w:r>
      <w:r w:rsidRPr="00AD5D67">
        <w:rPr>
          <w:i/>
          <w:iCs/>
        </w:rPr>
        <w:t>21</w:t>
      </w:r>
      <w:r w:rsidRPr="00AD5D67">
        <w:t>(3), 489–510. https://doi.org/10.1162/jocn.2008.21029</w:t>
      </w:r>
    </w:p>
    <w:p w14:paraId="797F3B9C" w14:textId="77777777" w:rsidR="00AD5D67" w:rsidRPr="00AD5D67" w:rsidRDefault="00AD5D67" w:rsidP="00AD5D67">
      <w:pPr>
        <w:pStyle w:val="Literaturverzeichnis"/>
      </w:pPr>
      <w:r w:rsidRPr="00AD5D67">
        <w:t xml:space="preserve">Spreng, R. N., Stevens, W. D., Chamberlain, J. P., Gilmore, A. W., &amp; Schacter, D. L. (2010). Default network activity, coupled with the frontoparietal control network, supports goal-directed cognition. </w:t>
      </w:r>
      <w:r w:rsidRPr="00AD5D67">
        <w:rPr>
          <w:i/>
          <w:iCs/>
        </w:rPr>
        <w:t>NeuroImage</w:t>
      </w:r>
      <w:r w:rsidRPr="00AD5D67">
        <w:t xml:space="preserve">, </w:t>
      </w:r>
      <w:r w:rsidRPr="00AD5D67">
        <w:rPr>
          <w:i/>
          <w:iCs/>
        </w:rPr>
        <w:t>53</w:t>
      </w:r>
      <w:r w:rsidRPr="00AD5D67">
        <w:t>(1), 303–317. https://doi.org/10.1016/j.neuroimage.2010.06.016</w:t>
      </w:r>
    </w:p>
    <w:p w14:paraId="211EBBDF" w14:textId="77777777" w:rsidR="00AD5D67" w:rsidRPr="00AD5D67" w:rsidRDefault="00AD5D67" w:rsidP="00AD5D67">
      <w:pPr>
        <w:pStyle w:val="Literaturverzeichnis"/>
      </w:pPr>
      <w:r w:rsidRPr="00AD5D67">
        <w:t xml:space="preserve">Stern, Y., Arenaza‐Urquijo, E. M., Bartrés‐Faz, D., Belleville, S., Cantilon, M., Chetelat, G., Ewers, M., Franzmeier, N., Kempermann, G., Kremen, W. S., Okonkwo, O., Scarmeas, N., Soldan, A., Udeh‐Momoh, C., Valenzuela, M., Vemuri, P., Vuoksimaa, E., &amp; and the Reserve, Resilience and Protective Factors PIA Empirical Definitions and Conceptual Frameworks Workgroup. (2020). Whitepaper: Defining and investigating cognitive reserve, brain reserve, and brain maintenance. </w:t>
      </w:r>
      <w:r w:rsidRPr="00AD5D67">
        <w:rPr>
          <w:i/>
          <w:iCs/>
        </w:rPr>
        <w:t>Alzheimer’s &amp; Dementia</w:t>
      </w:r>
      <w:r w:rsidRPr="00AD5D67">
        <w:t xml:space="preserve">, </w:t>
      </w:r>
      <w:r w:rsidRPr="00AD5D67">
        <w:rPr>
          <w:i/>
          <w:iCs/>
        </w:rPr>
        <w:t>16</w:t>
      </w:r>
      <w:r w:rsidRPr="00AD5D67">
        <w:t>(9), 1305–1311. https://doi.org/10.1016/j.jalz.2018.07.219</w:t>
      </w:r>
    </w:p>
    <w:p w14:paraId="331A1894" w14:textId="77777777" w:rsidR="00AD5D67" w:rsidRPr="00AD5D67" w:rsidRDefault="00AD5D67" w:rsidP="00AD5D67">
      <w:pPr>
        <w:pStyle w:val="Literaturverzeichnis"/>
      </w:pPr>
      <w:r w:rsidRPr="00AD5D67">
        <w:t xml:space="preserve">Stinear, C. M., Byblow, W. D., Ackerley, S. J., Smith, M., Borges, V. M., &amp; Barber, P. A. (2017). PREP2: A biomarker‐based algorithm for predicting upper limb function after stroke. </w:t>
      </w:r>
      <w:r w:rsidRPr="00AD5D67">
        <w:rPr>
          <w:i/>
          <w:iCs/>
        </w:rPr>
        <w:t>Annals of Clinical and Translational Neurology</w:t>
      </w:r>
      <w:r w:rsidRPr="00AD5D67">
        <w:t xml:space="preserve">, </w:t>
      </w:r>
      <w:r w:rsidRPr="00AD5D67">
        <w:rPr>
          <w:i/>
          <w:iCs/>
        </w:rPr>
        <w:t>4</w:t>
      </w:r>
      <w:r w:rsidRPr="00AD5D67">
        <w:t>(11), 811–820. https://doi.org/10.1002/acn3.488</w:t>
      </w:r>
    </w:p>
    <w:p w14:paraId="0B2DB2F2" w14:textId="77777777" w:rsidR="00AD5D67" w:rsidRPr="00AD5D67" w:rsidRDefault="00AD5D67" w:rsidP="00AD5D67">
      <w:pPr>
        <w:pStyle w:val="Literaturverzeichnis"/>
      </w:pPr>
      <w:r w:rsidRPr="00AD5D67">
        <w:t xml:space="preserve">Wadden, K. P., Asis, K. D., Mang, C. S., Neva, J. L., Peters, S., Lakhani, B., &amp; Boyd, L. A. (2017). Predicting Motor Sequence Learning in Individuals With Chronic Stroke. </w:t>
      </w:r>
      <w:r w:rsidRPr="00AD5D67">
        <w:rPr>
          <w:i/>
          <w:iCs/>
        </w:rPr>
        <w:lastRenderedPageBreak/>
        <w:t>Neurorehabilitation and Neural Repair</w:t>
      </w:r>
      <w:r w:rsidRPr="00AD5D67">
        <w:t xml:space="preserve">, </w:t>
      </w:r>
      <w:r w:rsidRPr="00AD5D67">
        <w:rPr>
          <w:i/>
          <w:iCs/>
        </w:rPr>
        <w:t>31</w:t>
      </w:r>
      <w:r w:rsidRPr="00AD5D67">
        <w:t>(1), 95–104. https://doi.org/10.1177/1545968316662526</w:t>
      </w:r>
    </w:p>
    <w:p w14:paraId="7336A4D5" w14:textId="77777777" w:rsidR="00AD5D67" w:rsidRPr="00AD5D67" w:rsidRDefault="00AD5D67" w:rsidP="00AD5D67">
      <w:pPr>
        <w:pStyle w:val="Literaturverzeichnis"/>
      </w:pPr>
      <w:r w:rsidRPr="004158B2">
        <w:rPr>
          <w:lang w:val="de-DE"/>
        </w:rPr>
        <w:t xml:space="preserve">Weissman, D. H., Roberts, K. C., Visscher, K. M., &amp; Woldorff, M. G. (2006). </w:t>
      </w:r>
      <w:r w:rsidRPr="00AD5D67">
        <w:t xml:space="preserve">The neural bases of momentary lapses in attention. </w:t>
      </w:r>
      <w:r w:rsidRPr="00AD5D67">
        <w:rPr>
          <w:i/>
          <w:iCs/>
        </w:rPr>
        <w:t>Nature Neuroscience</w:t>
      </w:r>
      <w:r w:rsidRPr="00AD5D67">
        <w:t xml:space="preserve">, </w:t>
      </w:r>
      <w:r w:rsidRPr="00AD5D67">
        <w:rPr>
          <w:i/>
          <w:iCs/>
        </w:rPr>
        <w:t>9</w:t>
      </w:r>
      <w:r w:rsidRPr="00AD5D67">
        <w:t>(7), 971–978. https://doi.org/10.1038/nn1727</w:t>
      </w:r>
    </w:p>
    <w:p w14:paraId="125E850E" w14:textId="77777777" w:rsidR="00AD5D67" w:rsidRPr="004158B2" w:rsidRDefault="00AD5D67" w:rsidP="00AD5D67">
      <w:pPr>
        <w:pStyle w:val="Literaturverzeichnis"/>
        <w:rPr>
          <w:lang w:val="de-DE"/>
        </w:rPr>
      </w:pPr>
      <w:r w:rsidRPr="00AD5D67">
        <w:t xml:space="preserve">World Medical Association. (2013). World Medical Association Declaration of Helsinki: Ethical Principles for Medical Research Involving Human Subjects. </w:t>
      </w:r>
      <w:r w:rsidRPr="004158B2">
        <w:rPr>
          <w:i/>
          <w:iCs/>
          <w:lang w:val="de-DE"/>
        </w:rPr>
        <w:t>JAMA</w:t>
      </w:r>
      <w:r w:rsidRPr="004158B2">
        <w:rPr>
          <w:lang w:val="de-DE"/>
        </w:rPr>
        <w:t xml:space="preserve">, </w:t>
      </w:r>
      <w:r w:rsidRPr="004158B2">
        <w:rPr>
          <w:i/>
          <w:iCs/>
          <w:lang w:val="de-DE"/>
        </w:rPr>
        <w:t>310</w:t>
      </w:r>
      <w:r w:rsidRPr="004158B2">
        <w:rPr>
          <w:lang w:val="de-DE"/>
        </w:rPr>
        <w:t>(20), 2191–2194. https://doi.org/10.1001/jama.2013.281053</w:t>
      </w:r>
    </w:p>
    <w:p w14:paraId="4F231F5C" w14:textId="77777777" w:rsidR="00AD5D67" w:rsidRPr="00AD5D67" w:rsidRDefault="00AD5D67" w:rsidP="00AD5D67">
      <w:pPr>
        <w:pStyle w:val="Literaturverzeichnis"/>
      </w:pPr>
      <w:r w:rsidRPr="004158B2">
        <w:rPr>
          <w:lang w:val="de-DE"/>
        </w:rPr>
        <w:t xml:space="preserve">Wu, C. W., Lin, S.-H. N., Hsu, L.-M., Yeh, S.-C., Guu, S.-F., Lee, S.-H., &amp; Chen, C.-C. (2020). </w:t>
      </w:r>
      <w:r w:rsidRPr="00AD5D67">
        <w:t xml:space="preserve">Synchrony Between Default-Mode and Sensorimotor Networks Facilitates Motor Function in Stroke Rehabilitation: A Pilot fMRI Study. </w:t>
      </w:r>
      <w:r w:rsidRPr="00AD5D67">
        <w:rPr>
          <w:i/>
          <w:iCs/>
        </w:rPr>
        <w:t>Frontiers in Neuroscience</w:t>
      </w:r>
      <w:r w:rsidRPr="00AD5D67">
        <w:t xml:space="preserve">, </w:t>
      </w:r>
      <w:r w:rsidRPr="00AD5D67">
        <w:rPr>
          <w:i/>
          <w:iCs/>
        </w:rPr>
        <w:t>14</w:t>
      </w:r>
      <w:r w:rsidRPr="00AD5D67">
        <w:t>, 548. https://doi.org/10.3389/fnins.2020.00548</w:t>
      </w:r>
    </w:p>
    <w:p w14:paraId="4914ACD3" w14:textId="3DCCD448" w:rsidR="00EC09AB" w:rsidRPr="007E349F" w:rsidRDefault="00492380" w:rsidP="004413DC">
      <w:pPr>
        <w:widowControl w:val="0"/>
        <w:pBdr>
          <w:top w:val="nil"/>
          <w:left w:val="nil"/>
          <w:bottom w:val="nil"/>
          <w:right w:val="nil"/>
          <w:between w:val="nil"/>
        </w:pBdr>
        <w:spacing w:line="360" w:lineRule="auto"/>
        <w:rPr>
          <w:rFonts w:ascii="Arial" w:hAnsi="Arial" w:cs="Arial"/>
          <w:color w:val="000000"/>
        </w:rPr>
      </w:pPr>
      <w:r w:rsidRPr="007E349F">
        <w:rPr>
          <w:rFonts w:ascii="Arial" w:hAnsi="Arial" w:cs="Arial"/>
          <w:color w:val="000000"/>
        </w:rPr>
        <w:fldChar w:fldCharType="end"/>
      </w:r>
    </w:p>
    <w:p w14:paraId="0C241883" w14:textId="52ED09C3" w:rsidR="0079683B" w:rsidRPr="008D363F" w:rsidRDefault="00FA7734" w:rsidP="008D363F">
      <w:pPr>
        <w:rPr>
          <w:rFonts w:ascii="Arial" w:hAnsi="Arial" w:cs="Arial"/>
          <w:b/>
          <w:i/>
        </w:rPr>
      </w:pPr>
      <w:r w:rsidRPr="007E349F">
        <w:rPr>
          <w:rFonts w:ascii="Arial" w:hAnsi="Arial" w:cs="Arial"/>
          <w:b/>
          <w:i/>
        </w:rPr>
        <w:br w:type="page"/>
      </w:r>
    </w:p>
    <w:sectPr w:rsidR="0079683B" w:rsidRPr="008D363F">
      <w:footerReference w:type="even" r:id="rId9"/>
      <w:footerReference w:type="default" r:id="rId10"/>
      <w:pgSz w:w="11906" w:h="16838"/>
      <w:pgMar w:top="1134" w:right="1417" w:bottom="1134" w:left="141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793A" w14:textId="77777777" w:rsidR="00221F1A" w:rsidRDefault="00221F1A">
      <w:pPr>
        <w:spacing w:line="240" w:lineRule="auto"/>
      </w:pPr>
      <w:r>
        <w:separator/>
      </w:r>
    </w:p>
  </w:endnote>
  <w:endnote w:type="continuationSeparator" w:id="0">
    <w:p w14:paraId="6CC366EB" w14:textId="77777777" w:rsidR="00221F1A" w:rsidRDefault="00221F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A8B4" w14:textId="77777777" w:rsidR="003E2A8F" w:rsidRDefault="003E2A8F">
    <w:pPr>
      <w:pBdr>
        <w:top w:val="nil"/>
        <w:left w:val="nil"/>
        <w:bottom w:val="nil"/>
        <w:right w:val="nil"/>
        <w:between w:val="nil"/>
      </w:pBdr>
      <w:tabs>
        <w:tab w:val="center" w:pos="4536"/>
        <w:tab w:val="right" w:pos="9072"/>
      </w:tabs>
      <w:ind w:hanging="2"/>
      <w:jc w:val="right"/>
      <w:rPr>
        <w:color w:val="000000"/>
      </w:rPr>
    </w:pPr>
    <w:r>
      <w:rPr>
        <w:color w:val="000000"/>
      </w:rPr>
      <w:fldChar w:fldCharType="begin"/>
    </w:r>
    <w:r>
      <w:rPr>
        <w:color w:val="000000"/>
      </w:rPr>
      <w:instrText>PAGE</w:instrText>
    </w:r>
    <w:r>
      <w:rPr>
        <w:color w:val="000000"/>
      </w:rPr>
      <w:fldChar w:fldCharType="end"/>
    </w:r>
  </w:p>
  <w:p w14:paraId="5943DA08" w14:textId="77777777" w:rsidR="003E2A8F" w:rsidRDefault="003E2A8F">
    <w:pPr>
      <w:pBdr>
        <w:top w:val="nil"/>
        <w:left w:val="nil"/>
        <w:bottom w:val="nil"/>
        <w:right w:val="nil"/>
        <w:between w:val="nil"/>
      </w:pBdr>
      <w:tabs>
        <w:tab w:val="center" w:pos="4536"/>
        <w:tab w:val="right" w:pos="9072"/>
      </w:tabs>
      <w:ind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9EF2" w14:textId="0ADC28CB" w:rsidR="003E2A8F" w:rsidRDefault="003E2A8F" w:rsidP="00DE7849">
    <w:pPr>
      <w:pStyle w:val="Fuzeile"/>
    </w:pPr>
  </w:p>
  <w:p w14:paraId="3B15995C" w14:textId="77777777" w:rsidR="003E2A8F" w:rsidRPr="00DE7849" w:rsidRDefault="003E2A8F" w:rsidP="00DE784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CA41" w14:textId="77777777" w:rsidR="00221F1A" w:rsidRDefault="00221F1A">
      <w:pPr>
        <w:spacing w:line="240" w:lineRule="auto"/>
      </w:pPr>
      <w:r>
        <w:separator/>
      </w:r>
    </w:p>
  </w:footnote>
  <w:footnote w:type="continuationSeparator" w:id="0">
    <w:p w14:paraId="232C9411" w14:textId="77777777" w:rsidR="00221F1A" w:rsidRDefault="00221F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459D"/>
    <w:multiLevelType w:val="hybridMultilevel"/>
    <w:tmpl w:val="97808AF0"/>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297531"/>
    <w:multiLevelType w:val="multilevel"/>
    <w:tmpl w:val="4D7A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50898"/>
    <w:multiLevelType w:val="hybridMultilevel"/>
    <w:tmpl w:val="C47C78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1EC1707"/>
    <w:multiLevelType w:val="hybridMultilevel"/>
    <w:tmpl w:val="35C064B4"/>
    <w:lvl w:ilvl="0" w:tplc="0AE41CB8">
      <w:start w:val="1"/>
      <w:numFmt w:val="lowerRoman"/>
      <w:lvlText w:val="(%1)"/>
      <w:lvlJc w:val="left"/>
      <w:pPr>
        <w:ind w:left="709" w:hanging="720"/>
      </w:pPr>
      <w:rPr>
        <w:rFonts w:hint="default"/>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4" w15:restartNumberingAfterBreak="0">
    <w:nsid w:val="2A262E39"/>
    <w:multiLevelType w:val="hybridMultilevel"/>
    <w:tmpl w:val="16FAF2EC"/>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C713B8"/>
    <w:multiLevelType w:val="hybridMultilevel"/>
    <w:tmpl w:val="43383260"/>
    <w:lvl w:ilvl="0" w:tplc="88CA48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5050C3"/>
    <w:multiLevelType w:val="multilevel"/>
    <w:tmpl w:val="0D70F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483949"/>
    <w:multiLevelType w:val="hybridMultilevel"/>
    <w:tmpl w:val="A6467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DD64A7"/>
    <w:multiLevelType w:val="hybridMultilevel"/>
    <w:tmpl w:val="3940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A3352F"/>
    <w:multiLevelType w:val="multilevel"/>
    <w:tmpl w:val="16E84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F449D1"/>
    <w:multiLevelType w:val="hybridMultilevel"/>
    <w:tmpl w:val="57E8BF6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11" w15:restartNumberingAfterBreak="0">
    <w:nsid w:val="566120F2"/>
    <w:multiLevelType w:val="hybridMultilevel"/>
    <w:tmpl w:val="8394679C"/>
    <w:lvl w:ilvl="0" w:tplc="07A8F65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73479E"/>
    <w:multiLevelType w:val="hybridMultilevel"/>
    <w:tmpl w:val="77AA5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6916B4"/>
    <w:multiLevelType w:val="hybridMultilevel"/>
    <w:tmpl w:val="B532BA7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0566CD2"/>
    <w:multiLevelType w:val="hybridMultilevel"/>
    <w:tmpl w:val="1B6C4860"/>
    <w:lvl w:ilvl="0" w:tplc="4EB2556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2F0CCE"/>
    <w:multiLevelType w:val="hybridMultilevel"/>
    <w:tmpl w:val="02BC54CE"/>
    <w:lvl w:ilvl="0" w:tplc="0809000B">
      <w:numFmt w:val="bullet"/>
      <w:lvlText w:val=""/>
      <w:lvlJc w:val="left"/>
      <w:pPr>
        <w:ind w:left="720" w:hanging="360"/>
      </w:pPr>
      <w:rPr>
        <w:rFonts w:ascii="Wingdings" w:eastAsia="Times New Roman" w:hAnsi="Wingdings" w:cs="Times New Roman" w:hint="default"/>
        <w:b w:val="0"/>
        <w:i w:val="0"/>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6B54B8"/>
    <w:multiLevelType w:val="multilevel"/>
    <w:tmpl w:val="E2DE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952055">
    <w:abstractNumId w:val="6"/>
  </w:num>
  <w:num w:numId="2" w16cid:durableId="733312044">
    <w:abstractNumId w:val="9"/>
  </w:num>
  <w:num w:numId="3" w16cid:durableId="613052634">
    <w:abstractNumId w:val="1"/>
  </w:num>
  <w:num w:numId="4" w16cid:durableId="1207370450">
    <w:abstractNumId w:val="0"/>
  </w:num>
  <w:num w:numId="5" w16cid:durableId="1627472309">
    <w:abstractNumId w:val="16"/>
  </w:num>
  <w:num w:numId="6" w16cid:durableId="1584333603">
    <w:abstractNumId w:val="3"/>
  </w:num>
  <w:num w:numId="7" w16cid:durableId="1797796403">
    <w:abstractNumId w:val="12"/>
  </w:num>
  <w:num w:numId="8" w16cid:durableId="2101173436">
    <w:abstractNumId w:val="7"/>
  </w:num>
  <w:num w:numId="9" w16cid:durableId="1748842383">
    <w:abstractNumId w:val="5"/>
  </w:num>
  <w:num w:numId="10" w16cid:durableId="1935160613">
    <w:abstractNumId w:val="11"/>
  </w:num>
  <w:num w:numId="11" w16cid:durableId="197818748">
    <w:abstractNumId w:val="10"/>
  </w:num>
  <w:num w:numId="12" w16cid:durableId="298582102">
    <w:abstractNumId w:val="15"/>
  </w:num>
  <w:num w:numId="13" w16cid:durableId="503479109">
    <w:abstractNumId w:val="4"/>
  </w:num>
  <w:num w:numId="14" w16cid:durableId="82380426">
    <w:abstractNumId w:val="14"/>
  </w:num>
  <w:num w:numId="15" w16cid:durableId="2115634050">
    <w:abstractNumId w:val="8"/>
  </w:num>
  <w:num w:numId="16" w16cid:durableId="1926063651">
    <w:abstractNumId w:val="2"/>
  </w:num>
  <w:num w:numId="17" w16cid:durableId="701057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I0MLY0NbE0Mjc3MjJT0lEKTi0uzszPAykwrwUAAcNWsiwAAAA="/>
  </w:docVars>
  <w:rsids>
    <w:rsidRoot w:val="00EC09AB"/>
    <w:rsid w:val="00001BC8"/>
    <w:rsid w:val="00001F84"/>
    <w:rsid w:val="000022A9"/>
    <w:rsid w:val="00003607"/>
    <w:rsid w:val="0001277C"/>
    <w:rsid w:val="0001610E"/>
    <w:rsid w:val="00016AC3"/>
    <w:rsid w:val="000270E7"/>
    <w:rsid w:val="0003002C"/>
    <w:rsid w:val="000306D2"/>
    <w:rsid w:val="00030BD8"/>
    <w:rsid w:val="00033A06"/>
    <w:rsid w:val="00034B4F"/>
    <w:rsid w:val="00035450"/>
    <w:rsid w:val="00045BF7"/>
    <w:rsid w:val="000477B4"/>
    <w:rsid w:val="000479A7"/>
    <w:rsid w:val="00051CC7"/>
    <w:rsid w:val="000521A6"/>
    <w:rsid w:val="0005439C"/>
    <w:rsid w:val="00057160"/>
    <w:rsid w:val="00057C00"/>
    <w:rsid w:val="00057D45"/>
    <w:rsid w:val="00063425"/>
    <w:rsid w:val="0006371C"/>
    <w:rsid w:val="000661DA"/>
    <w:rsid w:val="0006720C"/>
    <w:rsid w:val="00072C47"/>
    <w:rsid w:val="00073982"/>
    <w:rsid w:val="0007446A"/>
    <w:rsid w:val="000754E0"/>
    <w:rsid w:val="00075C1F"/>
    <w:rsid w:val="00075F69"/>
    <w:rsid w:val="00076F19"/>
    <w:rsid w:val="00084121"/>
    <w:rsid w:val="00087C3C"/>
    <w:rsid w:val="00091FF0"/>
    <w:rsid w:val="000979AE"/>
    <w:rsid w:val="000A0633"/>
    <w:rsid w:val="000A3017"/>
    <w:rsid w:val="000A33AE"/>
    <w:rsid w:val="000A7177"/>
    <w:rsid w:val="000B144D"/>
    <w:rsid w:val="000B17FD"/>
    <w:rsid w:val="000B18F3"/>
    <w:rsid w:val="000B4F53"/>
    <w:rsid w:val="000B5FD9"/>
    <w:rsid w:val="000B7D6A"/>
    <w:rsid w:val="000C5D3F"/>
    <w:rsid w:val="000D041F"/>
    <w:rsid w:val="000D0775"/>
    <w:rsid w:val="000D1E82"/>
    <w:rsid w:val="000D21AB"/>
    <w:rsid w:val="000F2305"/>
    <w:rsid w:val="000F3041"/>
    <w:rsid w:val="000F39FF"/>
    <w:rsid w:val="00102953"/>
    <w:rsid w:val="001071FF"/>
    <w:rsid w:val="001073AF"/>
    <w:rsid w:val="00110635"/>
    <w:rsid w:val="001110A3"/>
    <w:rsid w:val="001215B0"/>
    <w:rsid w:val="001217BF"/>
    <w:rsid w:val="00122164"/>
    <w:rsid w:val="00123E1C"/>
    <w:rsid w:val="00126421"/>
    <w:rsid w:val="00127A85"/>
    <w:rsid w:val="001320E8"/>
    <w:rsid w:val="00134FDC"/>
    <w:rsid w:val="00140AA3"/>
    <w:rsid w:val="0014101E"/>
    <w:rsid w:val="0014285C"/>
    <w:rsid w:val="00142B36"/>
    <w:rsid w:val="00143E7A"/>
    <w:rsid w:val="00145FAC"/>
    <w:rsid w:val="001473F7"/>
    <w:rsid w:val="001517C2"/>
    <w:rsid w:val="00151C17"/>
    <w:rsid w:val="00152304"/>
    <w:rsid w:val="00156D2C"/>
    <w:rsid w:val="00156EED"/>
    <w:rsid w:val="00157D18"/>
    <w:rsid w:val="001627F9"/>
    <w:rsid w:val="00165DAF"/>
    <w:rsid w:val="00167CB6"/>
    <w:rsid w:val="001741A7"/>
    <w:rsid w:val="00176C72"/>
    <w:rsid w:val="00176CFE"/>
    <w:rsid w:val="00180EDF"/>
    <w:rsid w:val="00186865"/>
    <w:rsid w:val="00192C53"/>
    <w:rsid w:val="00192CC7"/>
    <w:rsid w:val="00193540"/>
    <w:rsid w:val="001A09CB"/>
    <w:rsid w:val="001A1F03"/>
    <w:rsid w:val="001A594E"/>
    <w:rsid w:val="001A733F"/>
    <w:rsid w:val="001A7865"/>
    <w:rsid w:val="001A7E49"/>
    <w:rsid w:val="001B0DF9"/>
    <w:rsid w:val="001B26FE"/>
    <w:rsid w:val="001C2A73"/>
    <w:rsid w:val="001C3340"/>
    <w:rsid w:val="001C7328"/>
    <w:rsid w:val="001D1683"/>
    <w:rsid w:val="001D45CC"/>
    <w:rsid w:val="001D5FAB"/>
    <w:rsid w:val="001E1BFD"/>
    <w:rsid w:val="001E29B0"/>
    <w:rsid w:val="001E336C"/>
    <w:rsid w:val="001E3D52"/>
    <w:rsid w:val="001E54A3"/>
    <w:rsid w:val="001E5864"/>
    <w:rsid w:val="001E5AE5"/>
    <w:rsid w:val="001F0E9D"/>
    <w:rsid w:val="001F10AB"/>
    <w:rsid w:val="001F58B7"/>
    <w:rsid w:val="001F6B12"/>
    <w:rsid w:val="001F780A"/>
    <w:rsid w:val="002024C1"/>
    <w:rsid w:val="00202623"/>
    <w:rsid w:val="00203B34"/>
    <w:rsid w:val="002053B8"/>
    <w:rsid w:val="0020637D"/>
    <w:rsid w:val="002063A1"/>
    <w:rsid w:val="00206405"/>
    <w:rsid w:val="002073FD"/>
    <w:rsid w:val="002109E4"/>
    <w:rsid w:val="00215541"/>
    <w:rsid w:val="00215CAA"/>
    <w:rsid w:val="00216F80"/>
    <w:rsid w:val="002203D5"/>
    <w:rsid w:val="00221F1A"/>
    <w:rsid w:val="002229D2"/>
    <w:rsid w:val="00222A92"/>
    <w:rsid w:val="002239AF"/>
    <w:rsid w:val="00233418"/>
    <w:rsid w:val="00236DC6"/>
    <w:rsid w:val="00237262"/>
    <w:rsid w:val="00237FC7"/>
    <w:rsid w:val="00243BA9"/>
    <w:rsid w:val="002440EA"/>
    <w:rsid w:val="00246995"/>
    <w:rsid w:val="00247706"/>
    <w:rsid w:val="00252B30"/>
    <w:rsid w:val="0026629A"/>
    <w:rsid w:val="00272FEC"/>
    <w:rsid w:val="00275636"/>
    <w:rsid w:val="00275BCE"/>
    <w:rsid w:val="00284FBB"/>
    <w:rsid w:val="002855F4"/>
    <w:rsid w:val="00290F7F"/>
    <w:rsid w:val="00291D79"/>
    <w:rsid w:val="00291F1E"/>
    <w:rsid w:val="002926B4"/>
    <w:rsid w:val="0029558F"/>
    <w:rsid w:val="00295A0B"/>
    <w:rsid w:val="002964CB"/>
    <w:rsid w:val="002A267B"/>
    <w:rsid w:val="002A365F"/>
    <w:rsid w:val="002A4624"/>
    <w:rsid w:val="002B0C6C"/>
    <w:rsid w:val="002B2D34"/>
    <w:rsid w:val="002B762B"/>
    <w:rsid w:val="002B7636"/>
    <w:rsid w:val="002B7E9A"/>
    <w:rsid w:val="002C26ED"/>
    <w:rsid w:val="002C6976"/>
    <w:rsid w:val="002D3A39"/>
    <w:rsid w:val="002D51B9"/>
    <w:rsid w:val="002E199C"/>
    <w:rsid w:val="002E4BC8"/>
    <w:rsid w:val="002F04BC"/>
    <w:rsid w:val="002F1065"/>
    <w:rsid w:val="002F47A4"/>
    <w:rsid w:val="002F57EE"/>
    <w:rsid w:val="002F5C64"/>
    <w:rsid w:val="002F7471"/>
    <w:rsid w:val="00301321"/>
    <w:rsid w:val="00301705"/>
    <w:rsid w:val="003018CB"/>
    <w:rsid w:val="00303F59"/>
    <w:rsid w:val="00314D00"/>
    <w:rsid w:val="003203A2"/>
    <w:rsid w:val="00320E7F"/>
    <w:rsid w:val="003219A4"/>
    <w:rsid w:val="00326FC5"/>
    <w:rsid w:val="0032762A"/>
    <w:rsid w:val="00337F71"/>
    <w:rsid w:val="00340F24"/>
    <w:rsid w:val="00342462"/>
    <w:rsid w:val="00346292"/>
    <w:rsid w:val="003502BD"/>
    <w:rsid w:val="003527EE"/>
    <w:rsid w:val="0035306C"/>
    <w:rsid w:val="00355894"/>
    <w:rsid w:val="0036047B"/>
    <w:rsid w:val="00362D0A"/>
    <w:rsid w:val="003635F4"/>
    <w:rsid w:val="00364B1A"/>
    <w:rsid w:val="00367B2B"/>
    <w:rsid w:val="00367DDF"/>
    <w:rsid w:val="003706F8"/>
    <w:rsid w:val="00372108"/>
    <w:rsid w:val="003734E8"/>
    <w:rsid w:val="00373F55"/>
    <w:rsid w:val="0037699B"/>
    <w:rsid w:val="003769C6"/>
    <w:rsid w:val="003828CE"/>
    <w:rsid w:val="00382E1A"/>
    <w:rsid w:val="0038488C"/>
    <w:rsid w:val="00384A03"/>
    <w:rsid w:val="0039099C"/>
    <w:rsid w:val="00391D8E"/>
    <w:rsid w:val="0039616F"/>
    <w:rsid w:val="00396E92"/>
    <w:rsid w:val="00397CEF"/>
    <w:rsid w:val="003A0E04"/>
    <w:rsid w:val="003A4A2B"/>
    <w:rsid w:val="003B1781"/>
    <w:rsid w:val="003B257B"/>
    <w:rsid w:val="003B2BA5"/>
    <w:rsid w:val="003B2D65"/>
    <w:rsid w:val="003B4A6D"/>
    <w:rsid w:val="003B5CBE"/>
    <w:rsid w:val="003C07C5"/>
    <w:rsid w:val="003C341E"/>
    <w:rsid w:val="003C3E8D"/>
    <w:rsid w:val="003C3F68"/>
    <w:rsid w:val="003C56A5"/>
    <w:rsid w:val="003C6764"/>
    <w:rsid w:val="003C6FCC"/>
    <w:rsid w:val="003E08CB"/>
    <w:rsid w:val="003E2A8F"/>
    <w:rsid w:val="003E4003"/>
    <w:rsid w:val="003E674F"/>
    <w:rsid w:val="003E7C7B"/>
    <w:rsid w:val="003F17A6"/>
    <w:rsid w:val="003F33CD"/>
    <w:rsid w:val="003F5D74"/>
    <w:rsid w:val="004010B2"/>
    <w:rsid w:val="00404826"/>
    <w:rsid w:val="0041520B"/>
    <w:rsid w:val="004158B2"/>
    <w:rsid w:val="00420721"/>
    <w:rsid w:val="004216D6"/>
    <w:rsid w:val="00421E71"/>
    <w:rsid w:val="00422C10"/>
    <w:rsid w:val="00424C22"/>
    <w:rsid w:val="00425E3E"/>
    <w:rsid w:val="00433BF6"/>
    <w:rsid w:val="00434DEC"/>
    <w:rsid w:val="00435776"/>
    <w:rsid w:val="00436C43"/>
    <w:rsid w:val="00441284"/>
    <w:rsid w:val="004413DC"/>
    <w:rsid w:val="00443350"/>
    <w:rsid w:val="0044553D"/>
    <w:rsid w:val="00452BD0"/>
    <w:rsid w:val="00453933"/>
    <w:rsid w:val="00453F84"/>
    <w:rsid w:val="004544AD"/>
    <w:rsid w:val="00456F9C"/>
    <w:rsid w:val="00473258"/>
    <w:rsid w:val="00482A3E"/>
    <w:rsid w:val="00484DEE"/>
    <w:rsid w:val="00485E72"/>
    <w:rsid w:val="00492380"/>
    <w:rsid w:val="00494929"/>
    <w:rsid w:val="004A2FBE"/>
    <w:rsid w:val="004A44E8"/>
    <w:rsid w:val="004B4C10"/>
    <w:rsid w:val="004C1A50"/>
    <w:rsid w:val="004C4A5F"/>
    <w:rsid w:val="004D26B5"/>
    <w:rsid w:val="004D2BB8"/>
    <w:rsid w:val="004D363E"/>
    <w:rsid w:val="004D4673"/>
    <w:rsid w:val="004D73E1"/>
    <w:rsid w:val="004D7CB2"/>
    <w:rsid w:val="004E2CCF"/>
    <w:rsid w:val="004E52EC"/>
    <w:rsid w:val="004E7171"/>
    <w:rsid w:val="004F102C"/>
    <w:rsid w:val="004F47DC"/>
    <w:rsid w:val="004F75D3"/>
    <w:rsid w:val="00500469"/>
    <w:rsid w:val="00505778"/>
    <w:rsid w:val="00506D69"/>
    <w:rsid w:val="00507084"/>
    <w:rsid w:val="00511AE7"/>
    <w:rsid w:val="00512619"/>
    <w:rsid w:val="00517AA4"/>
    <w:rsid w:val="00524E18"/>
    <w:rsid w:val="0053004A"/>
    <w:rsid w:val="0053472C"/>
    <w:rsid w:val="00545C8D"/>
    <w:rsid w:val="00546C65"/>
    <w:rsid w:val="00551207"/>
    <w:rsid w:val="005526D9"/>
    <w:rsid w:val="005556F9"/>
    <w:rsid w:val="00555BC8"/>
    <w:rsid w:val="00555FD4"/>
    <w:rsid w:val="0055658C"/>
    <w:rsid w:val="0055760E"/>
    <w:rsid w:val="00557BDE"/>
    <w:rsid w:val="00561E80"/>
    <w:rsid w:val="00567C21"/>
    <w:rsid w:val="005777DC"/>
    <w:rsid w:val="0059013C"/>
    <w:rsid w:val="00592287"/>
    <w:rsid w:val="005956EB"/>
    <w:rsid w:val="005A1C35"/>
    <w:rsid w:val="005A3624"/>
    <w:rsid w:val="005A41B5"/>
    <w:rsid w:val="005A4B76"/>
    <w:rsid w:val="005B25D0"/>
    <w:rsid w:val="005B2BD7"/>
    <w:rsid w:val="005B3BE1"/>
    <w:rsid w:val="005B5E4F"/>
    <w:rsid w:val="005B5E69"/>
    <w:rsid w:val="005B7004"/>
    <w:rsid w:val="005C0AB1"/>
    <w:rsid w:val="005C0CDF"/>
    <w:rsid w:val="005C63D8"/>
    <w:rsid w:val="005D0181"/>
    <w:rsid w:val="005D01E3"/>
    <w:rsid w:val="005D036A"/>
    <w:rsid w:val="005D11A9"/>
    <w:rsid w:val="005D17DA"/>
    <w:rsid w:val="005D6CC2"/>
    <w:rsid w:val="005E78E1"/>
    <w:rsid w:val="005F04D2"/>
    <w:rsid w:val="005F1037"/>
    <w:rsid w:val="005F5DF1"/>
    <w:rsid w:val="005F638F"/>
    <w:rsid w:val="006040B6"/>
    <w:rsid w:val="00622C25"/>
    <w:rsid w:val="00624F3A"/>
    <w:rsid w:val="0063090F"/>
    <w:rsid w:val="00637E27"/>
    <w:rsid w:val="006412E7"/>
    <w:rsid w:val="006420D5"/>
    <w:rsid w:val="0064727F"/>
    <w:rsid w:val="00653983"/>
    <w:rsid w:val="00654426"/>
    <w:rsid w:val="006553C0"/>
    <w:rsid w:val="00661F82"/>
    <w:rsid w:val="00670967"/>
    <w:rsid w:val="006715F2"/>
    <w:rsid w:val="00671A35"/>
    <w:rsid w:val="00675460"/>
    <w:rsid w:val="006805D7"/>
    <w:rsid w:val="00682B91"/>
    <w:rsid w:val="00694C97"/>
    <w:rsid w:val="0069525F"/>
    <w:rsid w:val="00695CF6"/>
    <w:rsid w:val="006A1761"/>
    <w:rsid w:val="006A17C0"/>
    <w:rsid w:val="006A40C9"/>
    <w:rsid w:val="006A56E9"/>
    <w:rsid w:val="006A7051"/>
    <w:rsid w:val="006A795F"/>
    <w:rsid w:val="006B1E1C"/>
    <w:rsid w:val="006B2570"/>
    <w:rsid w:val="006B3F23"/>
    <w:rsid w:val="006C0E29"/>
    <w:rsid w:val="006D0B10"/>
    <w:rsid w:val="006D0F6A"/>
    <w:rsid w:val="006D475B"/>
    <w:rsid w:val="006D4D8A"/>
    <w:rsid w:val="006E03E1"/>
    <w:rsid w:val="006E04F2"/>
    <w:rsid w:val="006E5FA3"/>
    <w:rsid w:val="006E6F64"/>
    <w:rsid w:val="006E790C"/>
    <w:rsid w:val="006E7CB3"/>
    <w:rsid w:val="006F0669"/>
    <w:rsid w:val="006F1B43"/>
    <w:rsid w:val="006F6AFF"/>
    <w:rsid w:val="006F7DCE"/>
    <w:rsid w:val="007049AE"/>
    <w:rsid w:val="00705918"/>
    <w:rsid w:val="00712ECD"/>
    <w:rsid w:val="00713CDE"/>
    <w:rsid w:val="00714E7C"/>
    <w:rsid w:val="0071589D"/>
    <w:rsid w:val="0072057A"/>
    <w:rsid w:val="00722694"/>
    <w:rsid w:val="007230B4"/>
    <w:rsid w:val="007256F0"/>
    <w:rsid w:val="007259E5"/>
    <w:rsid w:val="00730A6B"/>
    <w:rsid w:val="00731BCE"/>
    <w:rsid w:val="00731EC9"/>
    <w:rsid w:val="0073437F"/>
    <w:rsid w:val="00734991"/>
    <w:rsid w:val="007349A4"/>
    <w:rsid w:val="0074468F"/>
    <w:rsid w:val="00745D30"/>
    <w:rsid w:val="0075161D"/>
    <w:rsid w:val="00753BEE"/>
    <w:rsid w:val="0075767D"/>
    <w:rsid w:val="00760C3F"/>
    <w:rsid w:val="007671ED"/>
    <w:rsid w:val="00771B7C"/>
    <w:rsid w:val="00775516"/>
    <w:rsid w:val="00786172"/>
    <w:rsid w:val="00791BEF"/>
    <w:rsid w:val="0079376D"/>
    <w:rsid w:val="00793E3E"/>
    <w:rsid w:val="00794479"/>
    <w:rsid w:val="0079683B"/>
    <w:rsid w:val="007A0AB7"/>
    <w:rsid w:val="007A0EEC"/>
    <w:rsid w:val="007A2EBA"/>
    <w:rsid w:val="007A6C9E"/>
    <w:rsid w:val="007A7163"/>
    <w:rsid w:val="007A7553"/>
    <w:rsid w:val="007B617E"/>
    <w:rsid w:val="007C05D2"/>
    <w:rsid w:val="007C2A2B"/>
    <w:rsid w:val="007C2B82"/>
    <w:rsid w:val="007C32DD"/>
    <w:rsid w:val="007C3A90"/>
    <w:rsid w:val="007C6626"/>
    <w:rsid w:val="007D02B2"/>
    <w:rsid w:val="007D067E"/>
    <w:rsid w:val="007D1803"/>
    <w:rsid w:val="007D246C"/>
    <w:rsid w:val="007D687A"/>
    <w:rsid w:val="007D737A"/>
    <w:rsid w:val="007D786C"/>
    <w:rsid w:val="007E07A3"/>
    <w:rsid w:val="007E1BCD"/>
    <w:rsid w:val="007E349F"/>
    <w:rsid w:val="007E6495"/>
    <w:rsid w:val="007F13B6"/>
    <w:rsid w:val="007F3194"/>
    <w:rsid w:val="007F3870"/>
    <w:rsid w:val="00801A9E"/>
    <w:rsid w:val="00807DF8"/>
    <w:rsid w:val="0081501B"/>
    <w:rsid w:val="008201EB"/>
    <w:rsid w:val="00821FDE"/>
    <w:rsid w:val="00824022"/>
    <w:rsid w:val="0082454B"/>
    <w:rsid w:val="00824550"/>
    <w:rsid w:val="008251F5"/>
    <w:rsid w:val="00827489"/>
    <w:rsid w:val="00827BA1"/>
    <w:rsid w:val="00831C3C"/>
    <w:rsid w:val="008336E1"/>
    <w:rsid w:val="00841E1D"/>
    <w:rsid w:val="00851924"/>
    <w:rsid w:val="00852549"/>
    <w:rsid w:val="008528CA"/>
    <w:rsid w:val="008564B3"/>
    <w:rsid w:val="00861498"/>
    <w:rsid w:val="00862636"/>
    <w:rsid w:val="00862DE8"/>
    <w:rsid w:val="008632A8"/>
    <w:rsid w:val="008640F8"/>
    <w:rsid w:val="00864856"/>
    <w:rsid w:val="00870693"/>
    <w:rsid w:val="008763F5"/>
    <w:rsid w:val="00880BA7"/>
    <w:rsid w:val="00882400"/>
    <w:rsid w:val="008829F2"/>
    <w:rsid w:val="00883839"/>
    <w:rsid w:val="00891A27"/>
    <w:rsid w:val="008955A6"/>
    <w:rsid w:val="00896A64"/>
    <w:rsid w:val="00897B39"/>
    <w:rsid w:val="008A0AFA"/>
    <w:rsid w:val="008A16F3"/>
    <w:rsid w:val="008A1B79"/>
    <w:rsid w:val="008A1DA8"/>
    <w:rsid w:val="008A46D9"/>
    <w:rsid w:val="008A52B7"/>
    <w:rsid w:val="008B4167"/>
    <w:rsid w:val="008B4AF0"/>
    <w:rsid w:val="008B4DB1"/>
    <w:rsid w:val="008B676F"/>
    <w:rsid w:val="008B6B34"/>
    <w:rsid w:val="008B6CEB"/>
    <w:rsid w:val="008C39AE"/>
    <w:rsid w:val="008C5674"/>
    <w:rsid w:val="008D15B4"/>
    <w:rsid w:val="008D363F"/>
    <w:rsid w:val="008D3709"/>
    <w:rsid w:val="008D591C"/>
    <w:rsid w:val="008D5A30"/>
    <w:rsid w:val="008D714A"/>
    <w:rsid w:val="008D7742"/>
    <w:rsid w:val="008E0820"/>
    <w:rsid w:val="008E3354"/>
    <w:rsid w:val="008E4BF8"/>
    <w:rsid w:val="008E7A75"/>
    <w:rsid w:val="00906E17"/>
    <w:rsid w:val="00910346"/>
    <w:rsid w:val="00912FEE"/>
    <w:rsid w:val="009170A6"/>
    <w:rsid w:val="00920D83"/>
    <w:rsid w:val="00921452"/>
    <w:rsid w:val="00924DB1"/>
    <w:rsid w:val="00924F1A"/>
    <w:rsid w:val="0092573E"/>
    <w:rsid w:val="0092672C"/>
    <w:rsid w:val="009278DC"/>
    <w:rsid w:val="009348C8"/>
    <w:rsid w:val="00935496"/>
    <w:rsid w:val="00936A64"/>
    <w:rsid w:val="0094195B"/>
    <w:rsid w:val="00942A99"/>
    <w:rsid w:val="00943C55"/>
    <w:rsid w:val="009514DA"/>
    <w:rsid w:val="0095160C"/>
    <w:rsid w:val="009521A9"/>
    <w:rsid w:val="0095397A"/>
    <w:rsid w:val="009553CA"/>
    <w:rsid w:val="0095619A"/>
    <w:rsid w:val="00956894"/>
    <w:rsid w:val="00962A27"/>
    <w:rsid w:val="009639B3"/>
    <w:rsid w:val="009768B8"/>
    <w:rsid w:val="00977396"/>
    <w:rsid w:val="00981A65"/>
    <w:rsid w:val="00983AC5"/>
    <w:rsid w:val="009854CB"/>
    <w:rsid w:val="00992FB0"/>
    <w:rsid w:val="0099372B"/>
    <w:rsid w:val="009A1266"/>
    <w:rsid w:val="009A22AA"/>
    <w:rsid w:val="009B01E6"/>
    <w:rsid w:val="009B48D9"/>
    <w:rsid w:val="009B7C31"/>
    <w:rsid w:val="009C0F2A"/>
    <w:rsid w:val="009C56AC"/>
    <w:rsid w:val="009C5FA2"/>
    <w:rsid w:val="009C6E56"/>
    <w:rsid w:val="009C7A18"/>
    <w:rsid w:val="009D22AA"/>
    <w:rsid w:val="009D7A7D"/>
    <w:rsid w:val="009E164B"/>
    <w:rsid w:val="009E4C05"/>
    <w:rsid w:val="009E6AAE"/>
    <w:rsid w:val="009F0F1E"/>
    <w:rsid w:val="009F1646"/>
    <w:rsid w:val="009F68C9"/>
    <w:rsid w:val="00A004DF"/>
    <w:rsid w:val="00A041B9"/>
    <w:rsid w:val="00A04577"/>
    <w:rsid w:val="00A04DA2"/>
    <w:rsid w:val="00A05960"/>
    <w:rsid w:val="00A05C70"/>
    <w:rsid w:val="00A10356"/>
    <w:rsid w:val="00A105ED"/>
    <w:rsid w:val="00A10C89"/>
    <w:rsid w:val="00A169C3"/>
    <w:rsid w:val="00A17379"/>
    <w:rsid w:val="00A208B7"/>
    <w:rsid w:val="00A212B8"/>
    <w:rsid w:val="00A24884"/>
    <w:rsid w:val="00A3130C"/>
    <w:rsid w:val="00A31972"/>
    <w:rsid w:val="00A31AED"/>
    <w:rsid w:val="00A32096"/>
    <w:rsid w:val="00A4680E"/>
    <w:rsid w:val="00A46E32"/>
    <w:rsid w:val="00A514F5"/>
    <w:rsid w:val="00A63E7F"/>
    <w:rsid w:val="00A66446"/>
    <w:rsid w:val="00A70113"/>
    <w:rsid w:val="00A7155F"/>
    <w:rsid w:val="00A80459"/>
    <w:rsid w:val="00A83210"/>
    <w:rsid w:val="00A90104"/>
    <w:rsid w:val="00A961B0"/>
    <w:rsid w:val="00AA3297"/>
    <w:rsid w:val="00AB06FC"/>
    <w:rsid w:val="00AB3861"/>
    <w:rsid w:val="00AB3ABF"/>
    <w:rsid w:val="00AB56D1"/>
    <w:rsid w:val="00AC00B8"/>
    <w:rsid w:val="00AC3A27"/>
    <w:rsid w:val="00AC7055"/>
    <w:rsid w:val="00AD1658"/>
    <w:rsid w:val="00AD17C0"/>
    <w:rsid w:val="00AD297D"/>
    <w:rsid w:val="00AD3254"/>
    <w:rsid w:val="00AD40A3"/>
    <w:rsid w:val="00AD4B76"/>
    <w:rsid w:val="00AD5850"/>
    <w:rsid w:val="00AD5D67"/>
    <w:rsid w:val="00AD69C5"/>
    <w:rsid w:val="00AD6C80"/>
    <w:rsid w:val="00AF574F"/>
    <w:rsid w:val="00AF5779"/>
    <w:rsid w:val="00AF6A25"/>
    <w:rsid w:val="00B03A70"/>
    <w:rsid w:val="00B04024"/>
    <w:rsid w:val="00B041DB"/>
    <w:rsid w:val="00B04718"/>
    <w:rsid w:val="00B0512A"/>
    <w:rsid w:val="00B10B70"/>
    <w:rsid w:val="00B1156E"/>
    <w:rsid w:val="00B14255"/>
    <w:rsid w:val="00B14DA0"/>
    <w:rsid w:val="00B16319"/>
    <w:rsid w:val="00B16CF7"/>
    <w:rsid w:val="00B17545"/>
    <w:rsid w:val="00B20056"/>
    <w:rsid w:val="00B36506"/>
    <w:rsid w:val="00B36F6B"/>
    <w:rsid w:val="00B37D6A"/>
    <w:rsid w:val="00B37FA0"/>
    <w:rsid w:val="00B420E2"/>
    <w:rsid w:val="00B43076"/>
    <w:rsid w:val="00B430F8"/>
    <w:rsid w:val="00B43638"/>
    <w:rsid w:val="00B47817"/>
    <w:rsid w:val="00B526AA"/>
    <w:rsid w:val="00B54BDB"/>
    <w:rsid w:val="00B55311"/>
    <w:rsid w:val="00B57AAD"/>
    <w:rsid w:val="00B57B04"/>
    <w:rsid w:val="00B62B50"/>
    <w:rsid w:val="00B6350A"/>
    <w:rsid w:val="00B64BFA"/>
    <w:rsid w:val="00B651C8"/>
    <w:rsid w:val="00B66F71"/>
    <w:rsid w:val="00B671A5"/>
    <w:rsid w:val="00B71617"/>
    <w:rsid w:val="00B71897"/>
    <w:rsid w:val="00B77F0C"/>
    <w:rsid w:val="00B81B5C"/>
    <w:rsid w:val="00B822B4"/>
    <w:rsid w:val="00B8366C"/>
    <w:rsid w:val="00B84AC1"/>
    <w:rsid w:val="00B85097"/>
    <w:rsid w:val="00B8611A"/>
    <w:rsid w:val="00B93DF7"/>
    <w:rsid w:val="00B974E6"/>
    <w:rsid w:val="00BA2927"/>
    <w:rsid w:val="00BA2A7D"/>
    <w:rsid w:val="00BA536D"/>
    <w:rsid w:val="00BA6040"/>
    <w:rsid w:val="00BB0323"/>
    <w:rsid w:val="00BB0FA0"/>
    <w:rsid w:val="00BB1CAD"/>
    <w:rsid w:val="00BB478F"/>
    <w:rsid w:val="00BB75A5"/>
    <w:rsid w:val="00BC0B48"/>
    <w:rsid w:val="00BC1DEE"/>
    <w:rsid w:val="00BC24A2"/>
    <w:rsid w:val="00BC4F1D"/>
    <w:rsid w:val="00BD0A15"/>
    <w:rsid w:val="00BD3459"/>
    <w:rsid w:val="00BD3E2C"/>
    <w:rsid w:val="00BD4184"/>
    <w:rsid w:val="00BD6F08"/>
    <w:rsid w:val="00BD706B"/>
    <w:rsid w:val="00BE154F"/>
    <w:rsid w:val="00BE4CB8"/>
    <w:rsid w:val="00BF11AA"/>
    <w:rsid w:val="00BF18E0"/>
    <w:rsid w:val="00BF314B"/>
    <w:rsid w:val="00BF5CB7"/>
    <w:rsid w:val="00C033C0"/>
    <w:rsid w:val="00C035E3"/>
    <w:rsid w:val="00C03F0D"/>
    <w:rsid w:val="00C13600"/>
    <w:rsid w:val="00C14E70"/>
    <w:rsid w:val="00C17425"/>
    <w:rsid w:val="00C20087"/>
    <w:rsid w:val="00C22621"/>
    <w:rsid w:val="00C22C69"/>
    <w:rsid w:val="00C2496D"/>
    <w:rsid w:val="00C24BFC"/>
    <w:rsid w:val="00C252D5"/>
    <w:rsid w:val="00C253E7"/>
    <w:rsid w:val="00C269B7"/>
    <w:rsid w:val="00C30A8D"/>
    <w:rsid w:val="00C52D7A"/>
    <w:rsid w:val="00C57E0D"/>
    <w:rsid w:val="00C57FF9"/>
    <w:rsid w:val="00C60208"/>
    <w:rsid w:val="00C62BEF"/>
    <w:rsid w:val="00C62D3C"/>
    <w:rsid w:val="00C630C2"/>
    <w:rsid w:val="00C63494"/>
    <w:rsid w:val="00C660D8"/>
    <w:rsid w:val="00C67E7A"/>
    <w:rsid w:val="00C82440"/>
    <w:rsid w:val="00C825D9"/>
    <w:rsid w:val="00C82F95"/>
    <w:rsid w:val="00C837B3"/>
    <w:rsid w:val="00C84C19"/>
    <w:rsid w:val="00C851B4"/>
    <w:rsid w:val="00C87DA7"/>
    <w:rsid w:val="00C956F5"/>
    <w:rsid w:val="00C97476"/>
    <w:rsid w:val="00CA3F86"/>
    <w:rsid w:val="00CA6D17"/>
    <w:rsid w:val="00CA74A0"/>
    <w:rsid w:val="00CB459F"/>
    <w:rsid w:val="00CC0D5C"/>
    <w:rsid w:val="00CC61FF"/>
    <w:rsid w:val="00CC6D99"/>
    <w:rsid w:val="00CC7127"/>
    <w:rsid w:val="00CE0059"/>
    <w:rsid w:val="00CE57AE"/>
    <w:rsid w:val="00CE642F"/>
    <w:rsid w:val="00CF00E5"/>
    <w:rsid w:val="00CF1401"/>
    <w:rsid w:val="00CF4F6C"/>
    <w:rsid w:val="00CF7DC6"/>
    <w:rsid w:val="00CF7F62"/>
    <w:rsid w:val="00D00B94"/>
    <w:rsid w:val="00D03BCC"/>
    <w:rsid w:val="00D03D5D"/>
    <w:rsid w:val="00D0455F"/>
    <w:rsid w:val="00D078B1"/>
    <w:rsid w:val="00D15361"/>
    <w:rsid w:val="00D2270C"/>
    <w:rsid w:val="00D24CC9"/>
    <w:rsid w:val="00D30DE4"/>
    <w:rsid w:val="00D30FB6"/>
    <w:rsid w:val="00D3405D"/>
    <w:rsid w:val="00D34F54"/>
    <w:rsid w:val="00D40AAF"/>
    <w:rsid w:val="00D50E99"/>
    <w:rsid w:val="00D52EB4"/>
    <w:rsid w:val="00D60F6F"/>
    <w:rsid w:val="00D62003"/>
    <w:rsid w:val="00D647A7"/>
    <w:rsid w:val="00D651AB"/>
    <w:rsid w:val="00D70092"/>
    <w:rsid w:val="00D7156E"/>
    <w:rsid w:val="00D72076"/>
    <w:rsid w:val="00D75B69"/>
    <w:rsid w:val="00D813B8"/>
    <w:rsid w:val="00D81F80"/>
    <w:rsid w:val="00D83B7D"/>
    <w:rsid w:val="00D93AE6"/>
    <w:rsid w:val="00D93AEC"/>
    <w:rsid w:val="00D94F8D"/>
    <w:rsid w:val="00DA0834"/>
    <w:rsid w:val="00DA28C1"/>
    <w:rsid w:val="00DA2BF3"/>
    <w:rsid w:val="00DA2FA0"/>
    <w:rsid w:val="00DA3DAD"/>
    <w:rsid w:val="00DA3ED6"/>
    <w:rsid w:val="00DA3F61"/>
    <w:rsid w:val="00DA6AC4"/>
    <w:rsid w:val="00DB2B02"/>
    <w:rsid w:val="00DB6050"/>
    <w:rsid w:val="00DB7BD1"/>
    <w:rsid w:val="00DC0226"/>
    <w:rsid w:val="00DC098C"/>
    <w:rsid w:val="00DC526A"/>
    <w:rsid w:val="00DD0012"/>
    <w:rsid w:val="00DD4A99"/>
    <w:rsid w:val="00DD6919"/>
    <w:rsid w:val="00DD75A4"/>
    <w:rsid w:val="00DE3ED2"/>
    <w:rsid w:val="00DE47E2"/>
    <w:rsid w:val="00DE7849"/>
    <w:rsid w:val="00DF18DD"/>
    <w:rsid w:val="00DF1993"/>
    <w:rsid w:val="00DF21D9"/>
    <w:rsid w:val="00DF2A26"/>
    <w:rsid w:val="00DF2BB7"/>
    <w:rsid w:val="00DF513B"/>
    <w:rsid w:val="00DF6897"/>
    <w:rsid w:val="00E02F2E"/>
    <w:rsid w:val="00E041C4"/>
    <w:rsid w:val="00E04C78"/>
    <w:rsid w:val="00E11EC4"/>
    <w:rsid w:val="00E25820"/>
    <w:rsid w:val="00E272FA"/>
    <w:rsid w:val="00E319CD"/>
    <w:rsid w:val="00E33D8F"/>
    <w:rsid w:val="00E34565"/>
    <w:rsid w:val="00E37BD2"/>
    <w:rsid w:val="00E41093"/>
    <w:rsid w:val="00E41C14"/>
    <w:rsid w:val="00E43753"/>
    <w:rsid w:val="00E44210"/>
    <w:rsid w:val="00E450A5"/>
    <w:rsid w:val="00E549D8"/>
    <w:rsid w:val="00E55B16"/>
    <w:rsid w:val="00E5675A"/>
    <w:rsid w:val="00E60256"/>
    <w:rsid w:val="00E61D50"/>
    <w:rsid w:val="00E67FD2"/>
    <w:rsid w:val="00E705F3"/>
    <w:rsid w:val="00E74026"/>
    <w:rsid w:val="00E80402"/>
    <w:rsid w:val="00E82138"/>
    <w:rsid w:val="00E85C5F"/>
    <w:rsid w:val="00E86486"/>
    <w:rsid w:val="00E9042F"/>
    <w:rsid w:val="00EA0802"/>
    <w:rsid w:val="00EA2BF4"/>
    <w:rsid w:val="00EA48A7"/>
    <w:rsid w:val="00EA4DA8"/>
    <w:rsid w:val="00EA5701"/>
    <w:rsid w:val="00EB21D6"/>
    <w:rsid w:val="00EB5381"/>
    <w:rsid w:val="00EC09AB"/>
    <w:rsid w:val="00EC128D"/>
    <w:rsid w:val="00EC28BD"/>
    <w:rsid w:val="00ED70AC"/>
    <w:rsid w:val="00ED76E4"/>
    <w:rsid w:val="00EE505D"/>
    <w:rsid w:val="00EF0D18"/>
    <w:rsid w:val="00EF2318"/>
    <w:rsid w:val="00F00C51"/>
    <w:rsid w:val="00F00F7B"/>
    <w:rsid w:val="00F03354"/>
    <w:rsid w:val="00F037C3"/>
    <w:rsid w:val="00F041B8"/>
    <w:rsid w:val="00F0514A"/>
    <w:rsid w:val="00F063D8"/>
    <w:rsid w:val="00F20E35"/>
    <w:rsid w:val="00F225B3"/>
    <w:rsid w:val="00F22696"/>
    <w:rsid w:val="00F22862"/>
    <w:rsid w:val="00F239DC"/>
    <w:rsid w:val="00F26CED"/>
    <w:rsid w:val="00F27228"/>
    <w:rsid w:val="00F33EE1"/>
    <w:rsid w:val="00F360B8"/>
    <w:rsid w:val="00F36290"/>
    <w:rsid w:val="00F40CFF"/>
    <w:rsid w:val="00F41928"/>
    <w:rsid w:val="00F52548"/>
    <w:rsid w:val="00F53A0B"/>
    <w:rsid w:val="00F55223"/>
    <w:rsid w:val="00F55426"/>
    <w:rsid w:val="00F62E17"/>
    <w:rsid w:val="00F63B8B"/>
    <w:rsid w:val="00F648F2"/>
    <w:rsid w:val="00F64AEA"/>
    <w:rsid w:val="00F72C18"/>
    <w:rsid w:val="00F74347"/>
    <w:rsid w:val="00F7584A"/>
    <w:rsid w:val="00F7781A"/>
    <w:rsid w:val="00F80C66"/>
    <w:rsid w:val="00F823E1"/>
    <w:rsid w:val="00F84673"/>
    <w:rsid w:val="00F84CC0"/>
    <w:rsid w:val="00F867C5"/>
    <w:rsid w:val="00F87C2D"/>
    <w:rsid w:val="00F92752"/>
    <w:rsid w:val="00F93212"/>
    <w:rsid w:val="00F93C36"/>
    <w:rsid w:val="00F94302"/>
    <w:rsid w:val="00F94C61"/>
    <w:rsid w:val="00F94F4F"/>
    <w:rsid w:val="00F959F7"/>
    <w:rsid w:val="00F95FB4"/>
    <w:rsid w:val="00FA754A"/>
    <w:rsid w:val="00FA7734"/>
    <w:rsid w:val="00FA7A9C"/>
    <w:rsid w:val="00FB465D"/>
    <w:rsid w:val="00FB536A"/>
    <w:rsid w:val="00FB7B4A"/>
    <w:rsid w:val="00FC1AAB"/>
    <w:rsid w:val="00FC469E"/>
    <w:rsid w:val="00FD060C"/>
    <w:rsid w:val="00FD1E82"/>
    <w:rsid w:val="00FD511A"/>
    <w:rsid w:val="00FD5B1E"/>
    <w:rsid w:val="00FE55C2"/>
    <w:rsid w:val="00FE5DCE"/>
    <w:rsid w:val="00FE78DC"/>
    <w:rsid w:val="00FF355A"/>
    <w:rsid w:val="00FF4C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07EA"/>
  <w15:docId w15:val="{77909BE0-2AF1-476F-B2D0-FA895CC4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480" w:lineRule="auto"/>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0F2305"/>
    <w:pPr>
      <w:ind w:firstLine="0"/>
    </w:pPr>
  </w:style>
  <w:style w:type="paragraph" w:styleId="berschrift1">
    <w:name w:val="heading 1"/>
    <w:basedOn w:val="Standard"/>
    <w:next w:val="Standard"/>
    <w:pPr>
      <w:keepNext/>
      <w:outlineLvl w:val="0"/>
    </w:pPr>
    <w:rPr>
      <w:b/>
    </w:rPr>
  </w:style>
  <w:style w:type="paragraph" w:styleId="berschrift2">
    <w:name w:val="heading 2"/>
    <w:basedOn w:val="Standard"/>
    <w:next w:val="Standard"/>
    <w:pPr>
      <w:outlineLvl w:val="1"/>
    </w:pPr>
    <w:rPr>
      <w:b/>
      <w:sz w:val="36"/>
      <w:szCs w:val="36"/>
    </w:rPr>
  </w:style>
  <w:style w:type="paragraph" w:styleId="berschrift3">
    <w:name w:val="heading 3"/>
    <w:basedOn w:val="Standard"/>
    <w:next w:val="Standard"/>
    <w:pPr>
      <w:keepNext/>
      <w:spacing w:after="120" w:line="360" w:lineRule="auto"/>
      <w:outlineLvl w:val="2"/>
    </w:pPr>
    <w:rPr>
      <w:rFonts w:ascii="Times" w:eastAsia="Times" w:hAnsi="Times" w:cs="Times"/>
      <w:color w:val="000000"/>
    </w:rPr>
  </w:style>
  <w:style w:type="paragraph" w:styleId="berschrift4">
    <w:name w:val="heading 4"/>
    <w:basedOn w:val="Standard"/>
    <w:next w:val="Standard"/>
    <w:pPr>
      <w:keepNext/>
      <w:keepLines/>
      <w:spacing w:before="240" w:after="40"/>
      <w:outlineLvl w:val="3"/>
    </w:pPr>
    <w:rPr>
      <w:b/>
    </w:rPr>
  </w:style>
  <w:style w:type="paragraph" w:styleId="berschrift5">
    <w:name w:val="heading 5"/>
    <w:basedOn w:val="Standard"/>
    <w:next w:val="Standard"/>
    <w:pPr>
      <w:keepNext/>
      <w:keepLines/>
      <w:spacing w:before="220" w:after="40"/>
      <w:outlineLvl w:val="4"/>
    </w:pPr>
    <w:rPr>
      <w:b/>
      <w:sz w:val="22"/>
      <w:szCs w:val="22"/>
    </w:rPr>
  </w:style>
  <w:style w:type="paragraph" w:styleId="berschrift6">
    <w:name w:val="heading 6"/>
    <w:basedOn w:val="Standard"/>
    <w:next w:val="Standard"/>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pPr>
      <w:keepNext/>
      <w:keepLines/>
      <w:spacing w:before="480" w:after="120"/>
    </w:pPr>
    <w:rPr>
      <w:b/>
      <w:sz w:val="72"/>
      <w:szCs w:val="72"/>
    </w:rPr>
  </w:style>
  <w:style w:type="paragraph" w:styleId="Untertitel">
    <w:name w:val="Subtitle"/>
    <w:basedOn w:val="Standard"/>
    <w:next w:val="Standard"/>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paragraph" w:styleId="StandardWeb">
    <w:name w:val="Normal (Web)"/>
    <w:basedOn w:val="Standard"/>
    <w:next w:val="Standard"/>
    <w:uiPriority w:val="99"/>
    <w:unhideWhenUsed/>
    <w:rsid w:val="000F2305"/>
    <w:pPr>
      <w:spacing w:before="100" w:beforeAutospacing="1" w:after="100" w:afterAutospacing="1"/>
    </w:pPr>
  </w:style>
  <w:style w:type="character" w:styleId="Hervorhebung">
    <w:name w:val="Emphasis"/>
    <w:basedOn w:val="Absatz-Standardschriftart"/>
    <w:uiPriority w:val="20"/>
    <w:qFormat/>
    <w:rsid w:val="00433BF6"/>
    <w:rPr>
      <w:i/>
      <w:iCs/>
    </w:rPr>
  </w:style>
  <w:style w:type="character" w:styleId="Fett">
    <w:name w:val="Strong"/>
    <w:basedOn w:val="Absatz-Standardschriftart"/>
    <w:uiPriority w:val="22"/>
    <w:qFormat/>
    <w:rsid w:val="00433BF6"/>
    <w:rPr>
      <w:b/>
      <w:bCs/>
    </w:rPr>
  </w:style>
  <w:style w:type="paragraph" w:styleId="Sprechblasentext">
    <w:name w:val="Balloon Text"/>
    <w:basedOn w:val="Standard"/>
    <w:link w:val="SprechblasentextZchn"/>
    <w:uiPriority w:val="99"/>
    <w:semiHidden/>
    <w:unhideWhenUsed/>
    <w:rsid w:val="00433BF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33BF6"/>
    <w:rPr>
      <w:rFonts w:ascii="Segoe UI" w:hAnsi="Segoe UI" w:cs="Segoe UI"/>
      <w:sz w:val="18"/>
      <w:szCs w:val="18"/>
    </w:rPr>
  </w:style>
  <w:style w:type="character" w:styleId="Kommentarzeichen">
    <w:name w:val="annotation reference"/>
    <w:basedOn w:val="Absatz-Standardschriftart"/>
    <w:uiPriority w:val="99"/>
    <w:semiHidden/>
    <w:unhideWhenUsed/>
    <w:rsid w:val="002F7471"/>
    <w:rPr>
      <w:sz w:val="16"/>
      <w:szCs w:val="16"/>
    </w:rPr>
  </w:style>
  <w:style w:type="paragraph" w:styleId="Kommentartext">
    <w:name w:val="annotation text"/>
    <w:basedOn w:val="Standard"/>
    <w:link w:val="KommentartextZchn"/>
    <w:uiPriority w:val="99"/>
    <w:unhideWhenUsed/>
    <w:rsid w:val="002F7471"/>
    <w:pPr>
      <w:spacing w:line="240" w:lineRule="auto"/>
    </w:pPr>
    <w:rPr>
      <w:sz w:val="20"/>
      <w:szCs w:val="20"/>
    </w:rPr>
  </w:style>
  <w:style w:type="character" w:customStyle="1" w:styleId="KommentartextZchn">
    <w:name w:val="Kommentartext Zchn"/>
    <w:basedOn w:val="Absatz-Standardschriftart"/>
    <w:link w:val="Kommentartext"/>
    <w:uiPriority w:val="99"/>
    <w:rsid w:val="002F7471"/>
    <w:rPr>
      <w:sz w:val="20"/>
      <w:szCs w:val="20"/>
    </w:rPr>
  </w:style>
  <w:style w:type="paragraph" w:styleId="Kommentarthema">
    <w:name w:val="annotation subject"/>
    <w:basedOn w:val="Kommentartext"/>
    <w:next w:val="Kommentartext"/>
    <w:link w:val="KommentarthemaZchn"/>
    <w:uiPriority w:val="99"/>
    <w:semiHidden/>
    <w:unhideWhenUsed/>
    <w:rsid w:val="002F7471"/>
    <w:rPr>
      <w:b/>
      <w:bCs/>
    </w:rPr>
  </w:style>
  <w:style w:type="character" w:customStyle="1" w:styleId="KommentarthemaZchn">
    <w:name w:val="Kommentarthema Zchn"/>
    <w:basedOn w:val="KommentartextZchn"/>
    <w:link w:val="Kommentarthema"/>
    <w:uiPriority w:val="99"/>
    <w:semiHidden/>
    <w:rsid w:val="002F7471"/>
    <w:rPr>
      <w:b/>
      <w:bCs/>
      <w:sz w:val="20"/>
      <w:szCs w:val="20"/>
    </w:rPr>
  </w:style>
  <w:style w:type="table" w:styleId="Tabellenraster">
    <w:name w:val="Table Grid"/>
    <w:basedOn w:val="NormaleTabelle"/>
    <w:uiPriority w:val="39"/>
    <w:rsid w:val="00B716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251F5"/>
    <w:pPr>
      <w:ind w:left="720"/>
      <w:contextualSpacing/>
    </w:pPr>
  </w:style>
  <w:style w:type="paragraph" w:styleId="berarbeitung">
    <w:name w:val="Revision"/>
    <w:hidden/>
    <w:uiPriority w:val="99"/>
    <w:semiHidden/>
    <w:rsid w:val="00AD4B76"/>
    <w:pPr>
      <w:spacing w:line="240" w:lineRule="auto"/>
      <w:ind w:firstLine="0"/>
      <w:jc w:val="left"/>
    </w:pPr>
  </w:style>
  <w:style w:type="paragraph" w:styleId="Literaturverzeichnis">
    <w:name w:val="Bibliography"/>
    <w:basedOn w:val="Standard"/>
    <w:next w:val="Standard"/>
    <w:uiPriority w:val="37"/>
    <w:unhideWhenUsed/>
    <w:rsid w:val="00910346"/>
    <w:pPr>
      <w:ind w:left="720" w:hanging="720"/>
    </w:pPr>
  </w:style>
  <w:style w:type="character" w:styleId="Hyperlink">
    <w:name w:val="Hyperlink"/>
    <w:basedOn w:val="Absatz-Standardschriftart"/>
    <w:uiPriority w:val="99"/>
    <w:unhideWhenUsed/>
    <w:rsid w:val="00D83B7D"/>
    <w:rPr>
      <w:color w:val="0000FF" w:themeColor="hyperlink"/>
      <w:u w:val="single"/>
    </w:rPr>
  </w:style>
  <w:style w:type="paragraph" w:styleId="Kopfzeile">
    <w:name w:val="header"/>
    <w:basedOn w:val="Standard"/>
    <w:link w:val="KopfzeileZchn"/>
    <w:uiPriority w:val="99"/>
    <w:unhideWhenUsed/>
    <w:rsid w:val="00DE784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DE7849"/>
  </w:style>
  <w:style w:type="paragraph" w:styleId="Fuzeile">
    <w:name w:val="footer"/>
    <w:basedOn w:val="Standard"/>
    <w:link w:val="FuzeileZchn"/>
    <w:uiPriority w:val="99"/>
    <w:unhideWhenUsed/>
    <w:rsid w:val="00DE784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DE7849"/>
  </w:style>
  <w:style w:type="table" w:customStyle="1" w:styleId="TableNormal1">
    <w:name w:val="Table Normal1"/>
    <w:rsid w:val="00B66F71"/>
    <w:tblPr>
      <w:tblCellMar>
        <w:top w:w="0" w:type="dxa"/>
        <w:left w:w="0" w:type="dxa"/>
        <w:bottom w:w="0" w:type="dxa"/>
        <w:right w:w="0" w:type="dxa"/>
      </w:tblCellMar>
    </w:tblPr>
  </w:style>
  <w:style w:type="table" w:styleId="Listentabelle6farbig">
    <w:name w:val="List Table 6 Colorful"/>
    <w:basedOn w:val="NormaleTabelle"/>
    <w:uiPriority w:val="51"/>
    <w:rsid w:val="00E705F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Ueberschrift01">
    <w:name w:val="Ueberschrift01"/>
    <w:basedOn w:val="berschrift1"/>
    <w:next w:val="Standard"/>
    <w:link w:val="Ueberschrift01Zchn"/>
    <w:qFormat/>
    <w:rsid w:val="00BB0FA0"/>
    <w:pPr>
      <w:pBdr>
        <w:top w:val="nil"/>
        <w:left w:val="nil"/>
        <w:bottom w:val="nil"/>
        <w:right w:val="nil"/>
        <w:between w:val="nil"/>
      </w:pBdr>
      <w:spacing w:after="120"/>
    </w:pPr>
    <w:rPr>
      <w:rFonts w:ascii="Arial" w:hAnsi="Arial" w:cs="Arial"/>
      <w:bCs/>
      <w:color w:val="000000"/>
    </w:rPr>
  </w:style>
  <w:style w:type="character" w:customStyle="1" w:styleId="Ueberschrift01Zchn">
    <w:name w:val="Ueberschrift01 Zchn"/>
    <w:basedOn w:val="Absatz-Standardschriftart"/>
    <w:link w:val="Ueberschrift01"/>
    <w:rsid w:val="00BB0FA0"/>
    <w:rPr>
      <w:rFonts w:ascii="Arial" w:hAnsi="Arial" w:cs="Arial"/>
      <w:b/>
      <w:bCs/>
      <w:color w:val="000000"/>
    </w:rPr>
  </w:style>
  <w:style w:type="paragraph" w:customStyle="1" w:styleId="Ueberschrift02">
    <w:name w:val="Ueberschrift02"/>
    <w:basedOn w:val="berschrift2"/>
    <w:next w:val="Standard"/>
    <w:link w:val="Ueberschrift02Zchn"/>
    <w:qFormat/>
    <w:rsid w:val="00BB0FA0"/>
    <w:pPr>
      <w:pBdr>
        <w:top w:val="nil"/>
        <w:left w:val="nil"/>
        <w:bottom w:val="nil"/>
        <w:right w:val="nil"/>
        <w:between w:val="nil"/>
      </w:pBdr>
      <w:spacing w:after="120"/>
    </w:pPr>
    <w:rPr>
      <w:rFonts w:ascii="Arial" w:hAnsi="Arial" w:cs="Arial"/>
      <w:b w:val="0"/>
      <w:i/>
      <w:color w:val="000000"/>
      <w:sz w:val="24"/>
      <w:u w:val="single"/>
    </w:rPr>
  </w:style>
  <w:style w:type="character" w:customStyle="1" w:styleId="Ueberschrift02Zchn">
    <w:name w:val="Ueberschrift02 Zchn"/>
    <w:basedOn w:val="Absatz-Standardschriftart"/>
    <w:link w:val="Ueberschrift02"/>
    <w:rsid w:val="00BB0FA0"/>
    <w:rPr>
      <w:rFonts w:ascii="Arial" w:hAnsi="Arial" w:cs="Arial"/>
      <w:i/>
      <w:color w:val="000000"/>
      <w:szCs w:val="3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20">
      <w:bodyDiv w:val="1"/>
      <w:marLeft w:val="0"/>
      <w:marRight w:val="0"/>
      <w:marTop w:val="0"/>
      <w:marBottom w:val="0"/>
      <w:divBdr>
        <w:top w:val="none" w:sz="0" w:space="0" w:color="auto"/>
        <w:left w:val="none" w:sz="0" w:space="0" w:color="auto"/>
        <w:bottom w:val="none" w:sz="0" w:space="0" w:color="auto"/>
        <w:right w:val="none" w:sz="0" w:space="0" w:color="auto"/>
      </w:divBdr>
    </w:div>
    <w:div w:id="2754929">
      <w:bodyDiv w:val="1"/>
      <w:marLeft w:val="0"/>
      <w:marRight w:val="0"/>
      <w:marTop w:val="0"/>
      <w:marBottom w:val="0"/>
      <w:divBdr>
        <w:top w:val="none" w:sz="0" w:space="0" w:color="auto"/>
        <w:left w:val="none" w:sz="0" w:space="0" w:color="auto"/>
        <w:bottom w:val="none" w:sz="0" w:space="0" w:color="auto"/>
        <w:right w:val="none" w:sz="0" w:space="0" w:color="auto"/>
      </w:divBdr>
    </w:div>
    <w:div w:id="14618182">
      <w:bodyDiv w:val="1"/>
      <w:marLeft w:val="0"/>
      <w:marRight w:val="0"/>
      <w:marTop w:val="0"/>
      <w:marBottom w:val="0"/>
      <w:divBdr>
        <w:top w:val="none" w:sz="0" w:space="0" w:color="auto"/>
        <w:left w:val="none" w:sz="0" w:space="0" w:color="auto"/>
        <w:bottom w:val="none" w:sz="0" w:space="0" w:color="auto"/>
        <w:right w:val="none" w:sz="0" w:space="0" w:color="auto"/>
      </w:divBdr>
    </w:div>
    <w:div w:id="68160084">
      <w:bodyDiv w:val="1"/>
      <w:marLeft w:val="0"/>
      <w:marRight w:val="0"/>
      <w:marTop w:val="0"/>
      <w:marBottom w:val="0"/>
      <w:divBdr>
        <w:top w:val="none" w:sz="0" w:space="0" w:color="auto"/>
        <w:left w:val="none" w:sz="0" w:space="0" w:color="auto"/>
        <w:bottom w:val="none" w:sz="0" w:space="0" w:color="auto"/>
        <w:right w:val="none" w:sz="0" w:space="0" w:color="auto"/>
      </w:divBdr>
    </w:div>
    <w:div w:id="199779921">
      <w:bodyDiv w:val="1"/>
      <w:marLeft w:val="0"/>
      <w:marRight w:val="0"/>
      <w:marTop w:val="0"/>
      <w:marBottom w:val="0"/>
      <w:divBdr>
        <w:top w:val="none" w:sz="0" w:space="0" w:color="auto"/>
        <w:left w:val="none" w:sz="0" w:space="0" w:color="auto"/>
        <w:bottom w:val="none" w:sz="0" w:space="0" w:color="auto"/>
        <w:right w:val="none" w:sz="0" w:space="0" w:color="auto"/>
      </w:divBdr>
    </w:div>
    <w:div w:id="252251216">
      <w:bodyDiv w:val="1"/>
      <w:marLeft w:val="0"/>
      <w:marRight w:val="0"/>
      <w:marTop w:val="0"/>
      <w:marBottom w:val="0"/>
      <w:divBdr>
        <w:top w:val="none" w:sz="0" w:space="0" w:color="auto"/>
        <w:left w:val="none" w:sz="0" w:space="0" w:color="auto"/>
        <w:bottom w:val="none" w:sz="0" w:space="0" w:color="auto"/>
        <w:right w:val="none" w:sz="0" w:space="0" w:color="auto"/>
      </w:divBdr>
    </w:div>
    <w:div w:id="257642186">
      <w:bodyDiv w:val="1"/>
      <w:marLeft w:val="0"/>
      <w:marRight w:val="0"/>
      <w:marTop w:val="0"/>
      <w:marBottom w:val="0"/>
      <w:divBdr>
        <w:top w:val="none" w:sz="0" w:space="0" w:color="auto"/>
        <w:left w:val="none" w:sz="0" w:space="0" w:color="auto"/>
        <w:bottom w:val="none" w:sz="0" w:space="0" w:color="auto"/>
        <w:right w:val="none" w:sz="0" w:space="0" w:color="auto"/>
      </w:divBdr>
    </w:div>
    <w:div w:id="269552717">
      <w:bodyDiv w:val="1"/>
      <w:marLeft w:val="0"/>
      <w:marRight w:val="0"/>
      <w:marTop w:val="0"/>
      <w:marBottom w:val="0"/>
      <w:divBdr>
        <w:top w:val="none" w:sz="0" w:space="0" w:color="auto"/>
        <w:left w:val="none" w:sz="0" w:space="0" w:color="auto"/>
        <w:bottom w:val="none" w:sz="0" w:space="0" w:color="auto"/>
        <w:right w:val="none" w:sz="0" w:space="0" w:color="auto"/>
      </w:divBdr>
      <w:divsChild>
        <w:div w:id="2011255457">
          <w:marLeft w:val="0"/>
          <w:marRight w:val="0"/>
          <w:marTop w:val="0"/>
          <w:marBottom w:val="0"/>
          <w:divBdr>
            <w:top w:val="none" w:sz="0" w:space="0" w:color="auto"/>
            <w:left w:val="none" w:sz="0" w:space="0" w:color="auto"/>
            <w:bottom w:val="none" w:sz="0" w:space="0" w:color="auto"/>
            <w:right w:val="none" w:sz="0" w:space="0" w:color="auto"/>
          </w:divBdr>
        </w:div>
      </w:divsChild>
    </w:div>
    <w:div w:id="299768314">
      <w:bodyDiv w:val="1"/>
      <w:marLeft w:val="0"/>
      <w:marRight w:val="0"/>
      <w:marTop w:val="0"/>
      <w:marBottom w:val="0"/>
      <w:divBdr>
        <w:top w:val="none" w:sz="0" w:space="0" w:color="auto"/>
        <w:left w:val="none" w:sz="0" w:space="0" w:color="auto"/>
        <w:bottom w:val="none" w:sz="0" w:space="0" w:color="auto"/>
        <w:right w:val="none" w:sz="0" w:space="0" w:color="auto"/>
      </w:divBdr>
    </w:div>
    <w:div w:id="381901273">
      <w:bodyDiv w:val="1"/>
      <w:marLeft w:val="0"/>
      <w:marRight w:val="0"/>
      <w:marTop w:val="0"/>
      <w:marBottom w:val="0"/>
      <w:divBdr>
        <w:top w:val="none" w:sz="0" w:space="0" w:color="auto"/>
        <w:left w:val="none" w:sz="0" w:space="0" w:color="auto"/>
        <w:bottom w:val="none" w:sz="0" w:space="0" w:color="auto"/>
        <w:right w:val="none" w:sz="0" w:space="0" w:color="auto"/>
      </w:divBdr>
      <w:divsChild>
        <w:div w:id="1391349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795273">
      <w:bodyDiv w:val="1"/>
      <w:marLeft w:val="0"/>
      <w:marRight w:val="0"/>
      <w:marTop w:val="0"/>
      <w:marBottom w:val="0"/>
      <w:divBdr>
        <w:top w:val="none" w:sz="0" w:space="0" w:color="auto"/>
        <w:left w:val="none" w:sz="0" w:space="0" w:color="auto"/>
        <w:bottom w:val="none" w:sz="0" w:space="0" w:color="auto"/>
        <w:right w:val="none" w:sz="0" w:space="0" w:color="auto"/>
      </w:divBdr>
    </w:div>
    <w:div w:id="417481375">
      <w:bodyDiv w:val="1"/>
      <w:marLeft w:val="0"/>
      <w:marRight w:val="0"/>
      <w:marTop w:val="0"/>
      <w:marBottom w:val="0"/>
      <w:divBdr>
        <w:top w:val="none" w:sz="0" w:space="0" w:color="auto"/>
        <w:left w:val="none" w:sz="0" w:space="0" w:color="auto"/>
        <w:bottom w:val="none" w:sz="0" w:space="0" w:color="auto"/>
        <w:right w:val="none" w:sz="0" w:space="0" w:color="auto"/>
      </w:divBdr>
    </w:div>
    <w:div w:id="437526044">
      <w:bodyDiv w:val="1"/>
      <w:marLeft w:val="0"/>
      <w:marRight w:val="0"/>
      <w:marTop w:val="0"/>
      <w:marBottom w:val="0"/>
      <w:divBdr>
        <w:top w:val="none" w:sz="0" w:space="0" w:color="auto"/>
        <w:left w:val="none" w:sz="0" w:space="0" w:color="auto"/>
        <w:bottom w:val="none" w:sz="0" w:space="0" w:color="auto"/>
        <w:right w:val="none" w:sz="0" w:space="0" w:color="auto"/>
      </w:divBdr>
    </w:div>
    <w:div w:id="608246118">
      <w:bodyDiv w:val="1"/>
      <w:marLeft w:val="0"/>
      <w:marRight w:val="0"/>
      <w:marTop w:val="0"/>
      <w:marBottom w:val="0"/>
      <w:divBdr>
        <w:top w:val="none" w:sz="0" w:space="0" w:color="auto"/>
        <w:left w:val="none" w:sz="0" w:space="0" w:color="auto"/>
        <w:bottom w:val="none" w:sz="0" w:space="0" w:color="auto"/>
        <w:right w:val="none" w:sz="0" w:space="0" w:color="auto"/>
      </w:divBdr>
    </w:div>
    <w:div w:id="714937971">
      <w:bodyDiv w:val="1"/>
      <w:marLeft w:val="0"/>
      <w:marRight w:val="0"/>
      <w:marTop w:val="0"/>
      <w:marBottom w:val="0"/>
      <w:divBdr>
        <w:top w:val="none" w:sz="0" w:space="0" w:color="auto"/>
        <w:left w:val="none" w:sz="0" w:space="0" w:color="auto"/>
        <w:bottom w:val="none" w:sz="0" w:space="0" w:color="auto"/>
        <w:right w:val="none" w:sz="0" w:space="0" w:color="auto"/>
      </w:divBdr>
    </w:div>
    <w:div w:id="775370602">
      <w:bodyDiv w:val="1"/>
      <w:marLeft w:val="0"/>
      <w:marRight w:val="0"/>
      <w:marTop w:val="0"/>
      <w:marBottom w:val="0"/>
      <w:divBdr>
        <w:top w:val="none" w:sz="0" w:space="0" w:color="auto"/>
        <w:left w:val="none" w:sz="0" w:space="0" w:color="auto"/>
        <w:bottom w:val="none" w:sz="0" w:space="0" w:color="auto"/>
        <w:right w:val="none" w:sz="0" w:space="0" w:color="auto"/>
      </w:divBdr>
    </w:div>
    <w:div w:id="845051946">
      <w:bodyDiv w:val="1"/>
      <w:marLeft w:val="0"/>
      <w:marRight w:val="0"/>
      <w:marTop w:val="0"/>
      <w:marBottom w:val="0"/>
      <w:divBdr>
        <w:top w:val="none" w:sz="0" w:space="0" w:color="auto"/>
        <w:left w:val="none" w:sz="0" w:space="0" w:color="auto"/>
        <w:bottom w:val="none" w:sz="0" w:space="0" w:color="auto"/>
        <w:right w:val="none" w:sz="0" w:space="0" w:color="auto"/>
      </w:divBdr>
    </w:div>
    <w:div w:id="849293140">
      <w:bodyDiv w:val="1"/>
      <w:marLeft w:val="0"/>
      <w:marRight w:val="0"/>
      <w:marTop w:val="0"/>
      <w:marBottom w:val="0"/>
      <w:divBdr>
        <w:top w:val="none" w:sz="0" w:space="0" w:color="auto"/>
        <w:left w:val="none" w:sz="0" w:space="0" w:color="auto"/>
        <w:bottom w:val="none" w:sz="0" w:space="0" w:color="auto"/>
        <w:right w:val="none" w:sz="0" w:space="0" w:color="auto"/>
      </w:divBdr>
    </w:div>
    <w:div w:id="850296810">
      <w:bodyDiv w:val="1"/>
      <w:marLeft w:val="0"/>
      <w:marRight w:val="0"/>
      <w:marTop w:val="0"/>
      <w:marBottom w:val="0"/>
      <w:divBdr>
        <w:top w:val="none" w:sz="0" w:space="0" w:color="auto"/>
        <w:left w:val="none" w:sz="0" w:space="0" w:color="auto"/>
        <w:bottom w:val="none" w:sz="0" w:space="0" w:color="auto"/>
        <w:right w:val="none" w:sz="0" w:space="0" w:color="auto"/>
      </w:divBdr>
    </w:div>
    <w:div w:id="969281390">
      <w:bodyDiv w:val="1"/>
      <w:marLeft w:val="0"/>
      <w:marRight w:val="0"/>
      <w:marTop w:val="0"/>
      <w:marBottom w:val="0"/>
      <w:divBdr>
        <w:top w:val="none" w:sz="0" w:space="0" w:color="auto"/>
        <w:left w:val="none" w:sz="0" w:space="0" w:color="auto"/>
        <w:bottom w:val="none" w:sz="0" w:space="0" w:color="auto"/>
        <w:right w:val="none" w:sz="0" w:space="0" w:color="auto"/>
      </w:divBdr>
    </w:div>
    <w:div w:id="986789073">
      <w:bodyDiv w:val="1"/>
      <w:marLeft w:val="0"/>
      <w:marRight w:val="0"/>
      <w:marTop w:val="0"/>
      <w:marBottom w:val="0"/>
      <w:divBdr>
        <w:top w:val="none" w:sz="0" w:space="0" w:color="auto"/>
        <w:left w:val="none" w:sz="0" w:space="0" w:color="auto"/>
        <w:bottom w:val="none" w:sz="0" w:space="0" w:color="auto"/>
        <w:right w:val="none" w:sz="0" w:space="0" w:color="auto"/>
      </w:divBdr>
    </w:div>
    <w:div w:id="1047724716">
      <w:bodyDiv w:val="1"/>
      <w:marLeft w:val="0"/>
      <w:marRight w:val="0"/>
      <w:marTop w:val="0"/>
      <w:marBottom w:val="0"/>
      <w:divBdr>
        <w:top w:val="none" w:sz="0" w:space="0" w:color="auto"/>
        <w:left w:val="none" w:sz="0" w:space="0" w:color="auto"/>
        <w:bottom w:val="none" w:sz="0" w:space="0" w:color="auto"/>
        <w:right w:val="none" w:sz="0" w:space="0" w:color="auto"/>
      </w:divBdr>
    </w:div>
    <w:div w:id="1302807739">
      <w:bodyDiv w:val="1"/>
      <w:marLeft w:val="0"/>
      <w:marRight w:val="0"/>
      <w:marTop w:val="0"/>
      <w:marBottom w:val="0"/>
      <w:divBdr>
        <w:top w:val="none" w:sz="0" w:space="0" w:color="auto"/>
        <w:left w:val="none" w:sz="0" w:space="0" w:color="auto"/>
        <w:bottom w:val="none" w:sz="0" w:space="0" w:color="auto"/>
        <w:right w:val="none" w:sz="0" w:space="0" w:color="auto"/>
      </w:divBdr>
    </w:div>
    <w:div w:id="1323896395">
      <w:bodyDiv w:val="1"/>
      <w:marLeft w:val="0"/>
      <w:marRight w:val="0"/>
      <w:marTop w:val="0"/>
      <w:marBottom w:val="0"/>
      <w:divBdr>
        <w:top w:val="none" w:sz="0" w:space="0" w:color="auto"/>
        <w:left w:val="none" w:sz="0" w:space="0" w:color="auto"/>
        <w:bottom w:val="none" w:sz="0" w:space="0" w:color="auto"/>
        <w:right w:val="none" w:sz="0" w:space="0" w:color="auto"/>
      </w:divBdr>
    </w:div>
    <w:div w:id="1341737089">
      <w:bodyDiv w:val="1"/>
      <w:marLeft w:val="0"/>
      <w:marRight w:val="0"/>
      <w:marTop w:val="0"/>
      <w:marBottom w:val="0"/>
      <w:divBdr>
        <w:top w:val="none" w:sz="0" w:space="0" w:color="auto"/>
        <w:left w:val="none" w:sz="0" w:space="0" w:color="auto"/>
        <w:bottom w:val="none" w:sz="0" w:space="0" w:color="auto"/>
        <w:right w:val="none" w:sz="0" w:space="0" w:color="auto"/>
      </w:divBdr>
    </w:div>
    <w:div w:id="1343975219">
      <w:bodyDiv w:val="1"/>
      <w:marLeft w:val="0"/>
      <w:marRight w:val="0"/>
      <w:marTop w:val="0"/>
      <w:marBottom w:val="0"/>
      <w:divBdr>
        <w:top w:val="none" w:sz="0" w:space="0" w:color="auto"/>
        <w:left w:val="none" w:sz="0" w:space="0" w:color="auto"/>
        <w:bottom w:val="none" w:sz="0" w:space="0" w:color="auto"/>
        <w:right w:val="none" w:sz="0" w:space="0" w:color="auto"/>
      </w:divBdr>
    </w:div>
    <w:div w:id="1349451864">
      <w:bodyDiv w:val="1"/>
      <w:marLeft w:val="0"/>
      <w:marRight w:val="0"/>
      <w:marTop w:val="0"/>
      <w:marBottom w:val="0"/>
      <w:divBdr>
        <w:top w:val="none" w:sz="0" w:space="0" w:color="auto"/>
        <w:left w:val="none" w:sz="0" w:space="0" w:color="auto"/>
        <w:bottom w:val="none" w:sz="0" w:space="0" w:color="auto"/>
        <w:right w:val="none" w:sz="0" w:space="0" w:color="auto"/>
      </w:divBdr>
    </w:div>
    <w:div w:id="1377584433">
      <w:bodyDiv w:val="1"/>
      <w:marLeft w:val="0"/>
      <w:marRight w:val="0"/>
      <w:marTop w:val="0"/>
      <w:marBottom w:val="0"/>
      <w:divBdr>
        <w:top w:val="none" w:sz="0" w:space="0" w:color="auto"/>
        <w:left w:val="none" w:sz="0" w:space="0" w:color="auto"/>
        <w:bottom w:val="none" w:sz="0" w:space="0" w:color="auto"/>
        <w:right w:val="none" w:sz="0" w:space="0" w:color="auto"/>
      </w:divBdr>
    </w:div>
    <w:div w:id="1442915282">
      <w:bodyDiv w:val="1"/>
      <w:marLeft w:val="0"/>
      <w:marRight w:val="0"/>
      <w:marTop w:val="0"/>
      <w:marBottom w:val="0"/>
      <w:divBdr>
        <w:top w:val="none" w:sz="0" w:space="0" w:color="auto"/>
        <w:left w:val="none" w:sz="0" w:space="0" w:color="auto"/>
        <w:bottom w:val="none" w:sz="0" w:space="0" w:color="auto"/>
        <w:right w:val="none" w:sz="0" w:space="0" w:color="auto"/>
      </w:divBdr>
    </w:div>
    <w:div w:id="1599752141">
      <w:bodyDiv w:val="1"/>
      <w:marLeft w:val="0"/>
      <w:marRight w:val="0"/>
      <w:marTop w:val="0"/>
      <w:marBottom w:val="0"/>
      <w:divBdr>
        <w:top w:val="none" w:sz="0" w:space="0" w:color="auto"/>
        <w:left w:val="none" w:sz="0" w:space="0" w:color="auto"/>
        <w:bottom w:val="none" w:sz="0" w:space="0" w:color="auto"/>
        <w:right w:val="none" w:sz="0" w:space="0" w:color="auto"/>
      </w:divBdr>
    </w:div>
    <w:div w:id="1647855401">
      <w:bodyDiv w:val="1"/>
      <w:marLeft w:val="0"/>
      <w:marRight w:val="0"/>
      <w:marTop w:val="0"/>
      <w:marBottom w:val="0"/>
      <w:divBdr>
        <w:top w:val="none" w:sz="0" w:space="0" w:color="auto"/>
        <w:left w:val="none" w:sz="0" w:space="0" w:color="auto"/>
        <w:bottom w:val="none" w:sz="0" w:space="0" w:color="auto"/>
        <w:right w:val="none" w:sz="0" w:space="0" w:color="auto"/>
      </w:divBdr>
    </w:div>
    <w:div w:id="2015299162">
      <w:bodyDiv w:val="1"/>
      <w:marLeft w:val="0"/>
      <w:marRight w:val="0"/>
      <w:marTop w:val="0"/>
      <w:marBottom w:val="0"/>
      <w:divBdr>
        <w:top w:val="none" w:sz="0" w:space="0" w:color="auto"/>
        <w:left w:val="none" w:sz="0" w:space="0" w:color="auto"/>
        <w:bottom w:val="none" w:sz="0" w:space="0" w:color="auto"/>
        <w:right w:val="none" w:sz="0" w:space="0" w:color="auto"/>
      </w:divBdr>
    </w:div>
    <w:div w:id="2057466353">
      <w:bodyDiv w:val="1"/>
      <w:marLeft w:val="0"/>
      <w:marRight w:val="0"/>
      <w:marTop w:val="0"/>
      <w:marBottom w:val="0"/>
      <w:divBdr>
        <w:top w:val="none" w:sz="0" w:space="0" w:color="auto"/>
        <w:left w:val="none" w:sz="0" w:space="0" w:color="auto"/>
        <w:bottom w:val="none" w:sz="0" w:space="0" w:color="auto"/>
        <w:right w:val="none" w:sz="0" w:space="0" w:color="auto"/>
      </w:divBdr>
    </w:div>
    <w:div w:id="2087802721">
      <w:bodyDiv w:val="1"/>
      <w:marLeft w:val="0"/>
      <w:marRight w:val="0"/>
      <w:marTop w:val="0"/>
      <w:marBottom w:val="0"/>
      <w:divBdr>
        <w:top w:val="none" w:sz="0" w:space="0" w:color="auto"/>
        <w:left w:val="none" w:sz="0" w:space="0" w:color="auto"/>
        <w:bottom w:val="none" w:sz="0" w:space="0" w:color="auto"/>
        <w:right w:val="none" w:sz="0" w:space="0" w:color="auto"/>
      </w:divBdr>
    </w:div>
    <w:div w:id="2110616973">
      <w:bodyDiv w:val="1"/>
      <w:marLeft w:val="0"/>
      <w:marRight w:val="0"/>
      <w:marTop w:val="0"/>
      <w:marBottom w:val="0"/>
      <w:divBdr>
        <w:top w:val="none" w:sz="0" w:space="0" w:color="auto"/>
        <w:left w:val="none" w:sz="0" w:space="0" w:color="auto"/>
        <w:bottom w:val="none" w:sz="0" w:space="0" w:color="auto"/>
        <w:right w:val="none" w:sz="0" w:space="0" w:color="auto"/>
      </w:divBdr>
    </w:div>
    <w:div w:id="2111201521">
      <w:bodyDiv w:val="1"/>
      <w:marLeft w:val="0"/>
      <w:marRight w:val="0"/>
      <w:marTop w:val="0"/>
      <w:marBottom w:val="0"/>
      <w:divBdr>
        <w:top w:val="none" w:sz="0" w:space="0" w:color="auto"/>
        <w:left w:val="none" w:sz="0" w:space="0" w:color="auto"/>
        <w:bottom w:val="none" w:sz="0" w:space="0" w:color="auto"/>
        <w:right w:val="none" w:sz="0" w:space="0" w:color="auto"/>
      </w:divBdr>
    </w:div>
    <w:div w:id="2136439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29DA7-4595-4CA4-A030-431F2354F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7766</Words>
  <Characters>49933</Characters>
  <Application>Microsoft Office Word</Application>
  <DocSecurity>0</DocSecurity>
  <Lines>956</Lines>
  <Paragraphs>317</Paragraphs>
  <ScaleCrop>false</ScaleCrop>
  <HeadingPairs>
    <vt:vector size="2" baseType="variant">
      <vt:variant>
        <vt:lpstr>Titel</vt:lpstr>
      </vt:variant>
      <vt:variant>
        <vt:i4>1</vt:i4>
      </vt:variant>
    </vt:vector>
  </HeadingPairs>
  <TitlesOfParts>
    <vt:vector size="1" baseType="lpstr">
      <vt:lpstr/>
    </vt:vector>
  </TitlesOfParts>
  <Company>Universitätsklinikum Jena</Company>
  <LinksUpToDate>false</LinksUpToDate>
  <CharactersWithSpaces>57330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Dahms, Christiane</dc:creator>
  <cp:keywords/>
  <cp:lastModifiedBy>Carsten Klingner</cp:lastModifiedBy>
  <cp:revision>28</cp:revision>
  <dcterms:created xsi:type="dcterms:W3CDTF">2026-02-15T14:29:00Z</dcterms:created>
  <dcterms:modified xsi:type="dcterms:W3CDTF">2026-02-15T18:17:00Z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id="zZFD0k4k"/&gt;&lt;style id="http://www.zotero.org/styles/apa" locale="de-DE" hasBibliography="1" bibliographyStyleHasBeenSet="1"/&gt;&lt;prefs&gt;&lt;pref name="fieldType" value="Field"/&gt;&lt;/prefs&gt;&lt;/data&gt;</vt:lpwstr>
  </property>
</Properties>
</file>