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jc w:val="center"/>
      </w:pPr>
      <w:r>
        <w:rPr>
          <w:rFonts w:ascii="Calibri" w:cs="Calibri" w:eastAsia="Calibri" w:hAnsi="Calibri"/>
          <w:b/>
          <w:bCs/>
          <w:color w:val="1F3864"/>
          <w:sz w:val="30"/>
          <w:szCs w:val="30"/>
        </w:rPr>
        <w:t xml:space="preserve">DOE Grant Proposal — Kill Brine Research Findings</w:t>
      </w:r>
    </w:p>
    <w:p>
      <w:pPr>
        <w:spacing w:after="80"/>
        <w:jc w:val="center"/>
      </w:pPr>
      <w:r>
        <w:rPr>
          <w:rFonts w:ascii="Calibri" w:cs="Calibri" w:eastAsia="Calibri" w:hAnsi="Calibri"/>
          <w:color w:val="4472C4"/>
          <w:sz w:val="20"/>
          <w:szCs w:val="20"/>
        </w:rPr>
        <w:t xml:space="preserve">Supplement to DOE_Minerals_KillBrine_Technical_Reference.docx</w:t>
      </w:r>
    </w:p>
    <w:p>
      <w:pPr>
        <w:spacing w:after="300"/>
        <w:jc w:val="center"/>
      </w:pPr>
      <w:r>
        <w:rPr>
          <w:rFonts w:ascii="Calibri" w:cs="Calibri" w:eastAsia="Calibri" w:hAnsi="Calibri"/>
          <w:color w:val="808080"/>
          <w:sz w:val="18"/>
          <w:szCs w:val="18"/>
        </w:rPr>
        <w:t xml:space="preserve">Energy Water Solutions  |  Research compiled August 4, 2026  |  Sources cited inline</w:t>
      </w:r>
    </w:p>
    <w:p>
      <w:pPr>
        <w:pStyle w:val="Heading1"/>
        <w:spacing w:after="150" w:before="300"/>
      </w:pPr>
      <w:r>
        <w:rPr>
          <w:rFonts w:ascii="Calibri" w:cs="Calibri" w:eastAsia="Calibri" w:hAnsi="Calibri"/>
          <w:b/>
          <w:bCs/>
          <w:color w:val="1F3864"/>
          <w:sz w:val="28"/>
          <w:szCs w:val="28"/>
        </w:rPr>
        <w:t xml:space="preserve">1. Completion Fluids Market Size &amp; Context</w:t>
      </w:r>
    </w:p>
    <w:p>
      <w:pPr>
        <w:pStyle w:val="Heading2"/>
        <w:spacing w:after="100" w:before="240"/>
      </w:pPr>
      <w:r>
        <w:rPr>
          <w:rFonts w:ascii="Calibri" w:cs="Calibri" w:eastAsia="Calibri" w:hAnsi="Calibri"/>
          <w:b/>
          <w:bCs/>
          <w:color w:val="2E75B6"/>
          <w:sz w:val="24"/>
          <w:szCs w:val="24"/>
        </w:rPr>
        <w:t xml:space="preserve">1.1 Global Market</w:t>
      </w:r>
    </w:p>
    <w:p>
      <w:pPr>
        <w:pStyle w:val="ListParagraph"/>
        <w:numPr>
          <w:ilvl w:val="0"/>
          <w:numId w:val="1"/>
        </w:numPr>
        <w:spacing w:after="60"/>
      </w:pPr>
      <w:r>
        <w:rPr>
          <w:rFonts w:ascii="Calibri" w:cs="Calibri" w:eastAsia="Calibri" w:hAnsi="Calibri"/>
          <w:sz w:val="21"/>
          <w:szCs w:val="21"/>
        </w:rPr>
        <w:t xml:space="preserve">Global drilling and completion fluids market: $10.3B (2025), growing at 4.2% CAGR to $12.9B by 2032. Source: Allied Market Research, Future Market Insights, Zion Market Research (multiple corroborating reports).</w:t>
      </w:r>
    </w:p>
    <w:p>
      <w:pPr>
        <w:pStyle w:val="ListParagraph"/>
        <w:numPr>
          <w:ilvl w:val="0"/>
          <w:numId w:val="1"/>
        </w:numPr>
        <w:spacing w:after="60"/>
      </w:pPr>
      <w:r>
        <w:rPr>
          <w:rFonts w:ascii="Calibri" w:cs="Calibri" w:eastAsia="Calibri" w:hAnsi="Calibri"/>
          <w:sz w:val="21"/>
          <w:szCs w:val="21"/>
        </w:rPr>
        <w:t xml:space="preserve">North America = ~55% of global market (~$5.7B). Driven by Permian Basin completions and Gulf of America deepwater.</w:t>
      </w:r>
    </w:p>
    <w:p>
      <w:pPr>
        <w:pStyle w:val="ListParagraph"/>
        <w:numPr>
          <w:ilvl w:val="0"/>
          <w:numId w:val="1"/>
        </w:numPr>
        <w:spacing w:after="60"/>
      </w:pPr>
      <w:r>
        <w:rPr>
          <w:rFonts w:ascii="Calibri" w:cs="Calibri" w:eastAsia="Calibri" w:hAnsi="Calibri"/>
          <w:sz w:val="21"/>
          <w:szCs w:val="21"/>
        </w:rPr>
        <w:t xml:space="preserve">Water-based fluids = ~60% of market, oil-based = 30%, synthetic = 10%.</w:t>
      </w:r>
    </w:p>
    <w:p>
      <w:pPr>
        <w:pStyle w:val="ListParagraph"/>
        <w:numPr>
          <w:ilvl w:val="0"/>
          <w:numId w:val="1"/>
        </w:numPr>
        <w:spacing w:after="60"/>
      </w:pPr>
      <w:r>
        <w:rPr>
          <w:rFonts w:ascii="Calibri" w:cs="Calibri" w:eastAsia="Calibri" w:hAnsi="Calibri"/>
          <w:sz w:val="21"/>
          <w:szCs w:val="21"/>
        </w:rPr>
        <w:t xml:space="preserve">Completion fluids specifically (clear brines, not drilling mud) is a subset — dominated by TETRA Technologies, Albemarle, ICL Group, Newpark.</w:t>
      </w:r>
    </w:p>
    <w:p>
      <w:pPr>
        <w:pStyle w:val="Heading2"/>
        <w:spacing w:after="100" w:before="240"/>
      </w:pPr>
      <w:r>
        <w:rPr>
          <w:rFonts w:ascii="Calibri" w:cs="Calibri" w:eastAsia="Calibri" w:hAnsi="Calibri"/>
          <w:b/>
          <w:bCs/>
          <w:color w:val="2E75B6"/>
          <w:sz w:val="24"/>
          <w:szCs w:val="24"/>
        </w:rPr>
        <w:t xml:space="preserve">1.2 TETRA Technologies — Public Benchmark</w:t>
      </w:r>
    </w:p>
    <w:p>
      <w:pPr>
        <w:spacing w:after="120"/>
      </w:pPr>
      <w:r>
        <w:rPr>
          <w:rFonts w:ascii="Calibri" w:cs="Calibri" w:eastAsia="Calibri" w:hAnsi="Calibri"/>
          <w:sz w:val="21"/>
          <w:szCs w:val="21"/>
        </w:rPr>
        <w:t xml:space="preserve">TETRA (NYSE: TTI) is the largest pure-play completion fluids company and the only oilfield service provider that manufactures its own calcium chloride and heavy brines. Their financials provide the best public benchmark for the kill brine market: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4000"/>
      </w:tblGrid>
      <w:tr>
        <w:tc>
          <w:tcPr>
            <w:tcW w:type="dxa" w:w="3000"/>
            <w:shd w:fill="1F3864" w:val="clear"/>
          </w:tcPr>
          <w:p>
            <w:r>
              <w:rPr>
                <w:rFonts w:ascii="Calibri" w:cs="Calibri" w:eastAsia="Calibri" w:hAnsi="Calibri"/>
                <w:b/>
                <w:bCs/>
                <w:color w:val="FFFFFF"/>
                <w:sz w:val="19"/>
                <w:szCs w:val="19"/>
              </w:rPr>
              <w:t xml:space="preserve">Metric</w:t>
            </w:r>
          </w:p>
        </w:tc>
        <w:tc>
          <w:tcPr>
            <w:tcW w:type="dxa" w:w="4000"/>
            <w:shd w:fill="1F3864" w:val="clear"/>
          </w:tcPr>
          <w:p>
            <w:r>
              <w:rPr>
                <w:rFonts w:ascii="Calibri" w:cs="Calibri" w:eastAsia="Calibri" w:hAnsi="Calibri"/>
                <w:b/>
                <w:bCs/>
                <w:color w:val="FFFFFF"/>
                <w:sz w:val="19"/>
                <w:szCs w:val="19"/>
              </w:rPr>
              <w:t xml:space="preserve">Value</w:t>
            </w:r>
          </w:p>
        </w:tc>
        <w:tc>
          <w:tcPr>
            <w:tcW w:type="dxa" w:w="4000"/>
            <w:shd w:fill="1F3864" w:val="clear"/>
          </w:tcPr>
          <w:p>
            <w:r>
              <w:rPr>
                <w:rFonts w:ascii="Calibri" w:cs="Calibri" w:eastAsia="Calibri" w:hAnsi="Calibri"/>
                <w:b/>
                <w:bCs/>
                <w:color w:val="FFFFFF"/>
                <w:sz w:val="19"/>
                <w:szCs w:val="19"/>
              </w:rPr>
              <w:t xml:space="preserve">Source</w:t>
            </w:r>
          </w:p>
        </w:tc>
      </w:tr>
      <w:tr>
        <w:tc>
          <w:tcPr>
            <w:tcW w:type="dxa" w:w="3000"/>
            <w:shd w:fill="D6E4F0" w:val="clear"/>
          </w:tcPr>
          <w:p>
            <w:r>
              <w:rPr>
                <w:rFonts w:ascii="Calibri" w:cs="Calibri" w:eastAsia="Calibri" w:hAnsi="Calibri"/>
                <w:sz w:val="19"/>
                <w:szCs w:val="19"/>
              </w:rPr>
              <w:t xml:space="preserve">Completion Fluids &amp; Products
Q4 2024 quarterly revenue</w:t>
            </w:r>
          </w:p>
        </w:tc>
        <w:tc>
          <w:tcPr>
            <w:tcW w:type="dxa" w:w="4000"/>
            <w:shd w:fill="D6E4F0" w:val="clear"/>
          </w:tcPr>
          <w:p>
            <w:r>
              <w:rPr>
                <w:rFonts w:ascii="Calibri" w:cs="Calibri" w:eastAsia="Calibri" w:hAnsi="Calibri"/>
                <w:sz w:val="19"/>
                <w:szCs w:val="19"/>
              </w:rPr>
              <w:t xml:space="preserve">$69M (27.3% EBITDA margin)</w:t>
            </w:r>
          </w:p>
        </w:tc>
        <w:tc>
          <w:tcPr>
            <w:tcW w:type="dxa" w:w="4000"/>
            <w:shd w:fill="D6E4F0" w:val="clear"/>
          </w:tcPr>
          <w:p>
            <w:r>
              <w:rPr>
                <w:rFonts w:ascii="Calibri" w:cs="Calibri" w:eastAsia="Calibri" w:hAnsi="Calibri"/>
                <w:sz w:val="19"/>
                <w:szCs w:val="19"/>
              </w:rPr>
              <w:t xml:space="preserve">TETRA Q4 2024 Earnings Release
(Feb 25, 2025)</w:t>
            </w:r>
          </w:p>
        </w:tc>
      </w:tr>
      <w:tr>
        <w:tc>
          <w:tcPr>
            <w:tcW w:type="dxa" w:w="3000"/>
          </w:tcPr>
          <w:p>
            <w:r>
              <w:rPr>
                <w:rFonts w:ascii="Calibri" w:cs="Calibri" w:eastAsia="Calibri" w:hAnsi="Calibri"/>
                <w:sz w:val="19"/>
                <w:szCs w:val="19"/>
              </w:rPr>
              <w:t xml:space="preserve">Completion Fluids annualized
run-rate (Q4 2024)</w:t>
            </w:r>
          </w:p>
        </w:tc>
        <w:tc>
          <w:tcPr>
            <w:tcW w:type="dxa" w:w="4000"/>
          </w:tcPr>
          <w:p>
            <w:r>
              <w:rPr>
                <w:rFonts w:ascii="Calibri" w:cs="Calibri" w:eastAsia="Calibri" w:hAnsi="Calibri"/>
                <w:sz w:val="19"/>
                <w:szCs w:val="19"/>
              </w:rPr>
              <w:t xml:space="preserve">~$276M/year</w:t>
            </w:r>
          </w:p>
        </w:tc>
        <w:tc>
          <w:tcPr>
            <w:tcW w:type="dxa" w:w="4000"/>
          </w:tcPr>
          <w:p>
            <w:r>
              <w:rPr>
                <w:rFonts w:ascii="Calibri" w:cs="Calibri" w:eastAsia="Calibri" w:hAnsi="Calibri"/>
                <w:sz w:val="19"/>
                <w:szCs w:val="19"/>
              </w:rPr>
              <w:t xml:space="preserve">Extrapolated from $69M quarterly</w:t>
            </w:r>
          </w:p>
        </w:tc>
      </w:tr>
      <w:tr>
        <w:tc>
          <w:tcPr>
            <w:tcW w:type="dxa" w:w="3000"/>
            <w:shd w:fill="D6E4F0" w:val="clear"/>
          </w:tcPr>
          <w:p>
            <w:r>
              <w:rPr>
                <w:rFonts w:ascii="Calibri" w:cs="Calibri" w:eastAsia="Calibri" w:hAnsi="Calibri"/>
                <w:sz w:val="19"/>
                <w:szCs w:val="19"/>
              </w:rPr>
              <w:t xml:space="preserve">Total TETRA 2024 revenue</w:t>
            </w:r>
          </w:p>
        </w:tc>
        <w:tc>
          <w:tcPr>
            <w:tcW w:type="dxa" w:w="4000"/>
            <w:shd w:fill="D6E4F0" w:val="clear"/>
          </w:tcPr>
          <w:p>
            <w:r>
              <w:rPr>
                <w:rFonts w:ascii="Calibri" w:cs="Calibri" w:eastAsia="Calibri" w:hAnsi="Calibri"/>
                <w:sz w:val="19"/>
                <w:szCs w:val="19"/>
              </w:rPr>
              <w:t xml:space="preserve">~$540M (all segments)</w:t>
            </w:r>
          </w:p>
        </w:tc>
        <w:tc>
          <w:tcPr>
            <w:tcW w:type="dxa" w:w="4000"/>
            <w:shd w:fill="D6E4F0" w:val="clear"/>
          </w:tcPr>
          <w:p>
            <w:r>
              <w:rPr>
                <w:rFonts w:ascii="Calibri" w:cs="Calibri" w:eastAsia="Calibri" w:hAnsi="Calibri"/>
                <w:sz w:val="19"/>
                <w:szCs w:val="19"/>
              </w:rPr>
              <w:t xml:space="preserve">TETRA FY2024 results</w:t>
            </w:r>
          </w:p>
        </w:tc>
      </w:tr>
      <w:tr>
        <w:tc>
          <w:tcPr>
            <w:tcW w:type="dxa" w:w="3000"/>
          </w:tcPr>
          <w:p>
            <w:r>
              <w:rPr>
                <w:rFonts w:ascii="Calibri" w:cs="Calibri" w:eastAsia="Calibri" w:hAnsi="Calibri"/>
                <w:sz w:val="19"/>
                <w:szCs w:val="19"/>
              </w:rPr>
              <w:t xml:space="preserve">Total TETRA 2025 revenue
guidance</w:t>
            </w:r>
          </w:p>
        </w:tc>
        <w:tc>
          <w:tcPr>
            <w:tcW w:type="dxa" w:w="4000"/>
          </w:tcPr>
          <w:p>
            <w:r>
              <w:rPr>
                <w:rFonts w:ascii="Calibri" w:cs="Calibri" w:eastAsia="Calibri" w:hAnsi="Calibri"/>
                <w:sz w:val="19"/>
                <w:szCs w:val="19"/>
              </w:rPr>
              <w:t xml:space="preserve">$620–630M (raised twice)</w:t>
            </w:r>
          </w:p>
        </w:tc>
        <w:tc>
          <w:tcPr>
            <w:tcW w:type="dxa" w:w="4000"/>
          </w:tcPr>
          <w:p>
            <w:r>
              <w:rPr>
                <w:rFonts w:ascii="Calibri" w:cs="Calibri" w:eastAsia="Calibri" w:hAnsi="Calibri"/>
                <w:sz w:val="19"/>
                <w:szCs w:val="19"/>
              </w:rPr>
              <w:t xml:space="preserve">TETRA Q3 2025 Earnings
(Oct 28, 2025)</w:t>
            </w:r>
          </w:p>
        </w:tc>
      </w:tr>
      <w:tr>
        <w:tc>
          <w:tcPr>
            <w:tcW w:type="dxa" w:w="3000"/>
            <w:shd w:fill="D6E4F0" w:val="clear"/>
          </w:tcPr>
          <w:p>
            <w:r>
              <w:rPr>
                <w:rFonts w:ascii="Calibri" w:cs="Calibri" w:eastAsia="Calibri" w:hAnsi="Calibri"/>
                <w:sz w:val="19"/>
                <w:szCs w:val="19"/>
              </w:rPr>
              <w:t xml:space="preserve">Completion Fluids 2025
YoY revenue growth</w:t>
            </w:r>
          </w:p>
        </w:tc>
        <w:tc>
          <w:tcPr>
            <w:tcW w:type="dxa" w:w="4000"/>
            <w:shd w:fill="D6E4F0" w:val="clear"/>
          </w:tcPr>
          <w:p>
            <w:r>
              <w:rPr>
                <w:rFonts w:ascii="Calibri" w:cs="Calibri" w:eastAsia="Calibri" w:hAnsi="Calibri"/>
                <w:sz w:val="19"/>
                <w:szCs w:val="19"/>
              </w:rPr>
              <w:t xml:space="preserve">+50% YoY (2025 vs 2024)</w:t>
            </w:r>
          </w:p>
        </w:tc>
        <w:tc>
          <w:tcPr>
            <w:tcW w:type="dxa" w:w="4000"/>
            <w:shd w:fill="D6E4F0" w:val="clear"/>
          </w:tcPr>
          <w:p>
            <w:r>
              <w:rPr>
                <w:rFonts w:ascii="Calibri" w:cs="Calibri" w:eastAsia="Calibri" w:hAnsi="Calibri"/>
                <w:sz w:val="19"/>
                <w:szCs w:val="19"/>
              </w:rPr>
              <w:t xml:space="preserve">EarningsIQ TETRA analysis
(Aug 2026)</w:t>
            </w:r>
          </w:p>
        </w:tc>
      </w:tr>
      <w:tr>
        <w:tc>
          <w:tcPr>
            <w:tcW w:type="dxa" w:w="3000"/>
          </w:tcPr>
          <w:p>
            <w:r>
              <w:rPr>
                <w:rFonts w:ascii="Calibri" w:cs="Calibri" w:eastAsia="Calibri" w:hAnsi="Calibri"/>
                <w:sz w:val="19"/>
                <w:szCs w:val="19"/>
              </w:rPr>
              <w:t xml:space="preserve">Completion Fluids 2025
EBITDA margin</w:t>
            </w:r>
          </w:p>
        </w:tc>
        <w:tc>
          <w:tcPr>
            <w:tcW w:type="dxa" w:w="4000"/>
          </w:tcPr>
          <w:p>
            <w:r>
              <w:rPr>
                <w:rFonts w:ascii="Calibri" w:cs="Calibri" w:eastAsia="Calibri" w:hAnsi="Calibri"/>
                <w:sz w:val="19"/>
                <w:szCs w:val="19"/>
              </w:rPr>
              <w:t xml:space="preserve">33% (up 420 bps YoY)</w:t>
            </w:r>
          </w:p>
        </w:tc>
        <w:tc>
          <w:tcPr>
            <w:tcW w:type="dxa" w:w="4000"/>
          </w:tcPr>
          <w:p>
            <w:r>
              <w:rPr>
                <w:rFonts w:ascii="Calibri" w:cs="Calibri" w:eastAsia="Calibri" w:hAnsi="Calibri"/>
                <w:sz w:val="19"/>
                <w:szCs w:val="19"/>
              </w:rPr>
              <w:t xml:space="preserve">EarningsIQ TETRA analysis
(Aug 2026)</w:t>
            </w:r>
          </w:p>
        </w:tc>
      </w:tr>
      <w:tr>
        <w:tc>
          <w:tcPr>
            <w:tcW w:type="dxa" w:w="3000"/>
            <w:shd w:fill="D6E4F0" w:val="clear"/>
          </w:tcPr>
          <w:p>
            <w:r>
              <w:rPr>
                <w:rFonts w:ascii="Calibri" w:cs="Calibri" w:eastAsia="Calibri" w:hAnsi="Calibri"/>
                <w:sz w:val="19"/>
                <w:szCs w:val="19"/>
              </w:rPr>
              <w:t xml:space="preserve">TETRA 2030 target</w:t>
            </w:r>
          </w:p>
        </w:tc>
        <w:tc>
          <w:tcPr>
            <w:tcW w:type="dxa" w:w="4000"/>
            <w:shd w:fill="D6E4F0" w:val="clear"/>
          </w:tcPr>
          <w:p>
            <w:r>
              <w:rPr>
                <w:rFonts w:ascii="Calibri" w:cs="Calibri" w:eastAsia="Calibri" w:hAnsi="Calibri"/>
                <w:sz w:val="19"/>
                <w:szCs w:val="19"/>
              </w:rPr>
              <w:t xml:space="preserve">$1.2–1.3B total revenue</w:t>
            </w:r>
          </w:p>
        </w:tc>
        <w:tc>
          <w:tcPr>
            <w:tcW w:type="dxa" w:w="4000"/>
            <w:shd w:fill="D6E4F0" w:val="clear"/>
          </w:tcPr>
          <w:p>
            <w:r>
              <w:rPr>
                <w:rFonts w:ascii="Calibri" w:cs="Calibri" w:eastAsia="Calibri" w:hAnsi="Calibri"/>
                <w:sz w:val="19"/>
                <w:szCs w:val="19"/>
              </w:rPr>
              <w:t xml:space="preserve">TETRA Investor Day /
Gurufocus analysis</w:t>
            </w:r>
          </w:p>
        </w:tc>
      </w:tr>
      <w:tr>
        <w:tc>
          <w:tcPr>
            <w:tcW w:type="dxa" w:w="3000"/>
          </w:tcPr>
          <w:p>
            <w:r>
              <w:rPr>
                <w:rFonts w:ascii="Calibri" w:cs="Calibri" w:eastAsia="Calibri" w:hAnsi="Calibri"/>
                <w:sz w:val="19"/>
                <w:szCs w:val="19"/>
              </w:rPr>
              <w:t xml:space="preserve">Arkansas bromine plant</w:t>
            </w:r>
          </w:p>
        </w:tc>
        <w:tc>
          <w:tcPr>
            <w:tcW w:type="dxa" w:w="4000"/>
          </w:tcPr>
          <w:p>
            <w:r>
              <w:rPr>
                <w:rFonts w:ascii="Calibri" w:cs="Calibri" w:eastAsia="Calibri" w:hAnsi="Calibri"/>
                <w:sz w:val="19"/>
                <w:szCs w:val="19"/>
              </w:rPr>
              <w:t xml:space="preserve">Phase 1 completed below budget;
40% above supply agreement output</w:t>
            </w:r>
          </w:p>
        </w:tc>
        <w:tc>
          <w:tcPr>
            <w:tcW w:type="dxa" w:w="4000"/>
          </w:tcPr>
          <w:p>
            <w:r>
              <w:rPr>
                <w:rFonts w:ascii="Calibri" w:cs="Calibri" w:eastAsia="Calibri" w:hAnsi="Calibri"/>
                <w:sz w:val="19"/>
                <w:szCs w:val="19"/>
              </w:rPr>
              <w:t xml:space="preserve">TETRA Q4 2025 Earnings
(Feb 25, 2026)</w:t>
            </w:r>
          </w:p>
        </w:tc>
      </w:tr>
    </w:tbl>
    <w:p>
      <w:pPr>
        <w:spacing w:after="150"/>
      </w:pPr>
    </w:p>
    <w:p>
      <w:pPr>
        <w:pStyle w:val="Heading2"/>
        <w:spacing w:after="100" w:before="240"/>
      </w:pPr>
      <w:r>
        <w:rPr>
          <w:rFonts w:ascii="Calibri" w:cs="Calibri" w:eastAsia="Calibri" w:hAnsi="Calibri"/>
          <w:b/>
          <w:bCs/>
          <w:color w:val="2E75B6"/>
          <w:sz w:val="24"/>
          <w:szCs w:val="24"/>
        </w:rPr>
        <w:t xml:space="preserve">1.3 Permian Kill Fluid Market Estimate</w:t>
      </w:r>
    </w:p>
    <w:p>
      <w:pPr>
        <w:spacing w:after="120"/>
      </w:pPr>
      <w:r>
        <w:rPr>
          <w:rFonts w:ascii="Calibri" w:cs="Calibri" w:eastAsia="Calibri" w:hAnsi="Calibri"/>
          <w:b/>
          <w:bCs/>
          <w:sz w:val="21"/>
          <w:szCs w:val="21"/>
        </w:rPr>
        <w:t xml:space="preserve">Bottom line: Ian's 30–40,000 bpd figure is likely in the right order of magnitude for the Permian-specific kill-weight completion brine market, but the total addressable market is larger.</w:t>
      </w:r>
    </w:p>
    <w:p>
      <w:pPr>
        <w:pStyle w:val="ListParagraph"/>
        <w:numPr>
          <w:ilvl w:val="0"/>
          <w:numId w:val="1"/>
        </w:numPr>
        <w:spacing w:after="60"/>
      </w:pPr>
      <w:r>
        <w:rPr>
          <w:rFonts w:ascii="Calibri" w:cs="Calibri" w:eastAsia="Calibri" w:hAnsi="Calibri"/>
          <w:sz w:val="21"/>
          <w:szCs w:val="21"/>
        </w:rPr>
        <w:t xml:space="preserve">Each Permian horizontal completion uses 300,000–500,000 bbl of total water (frac fluid + produced water for sourcing). Of this, completion/workover fluid is a smaller, denser subset.</w:t>
      </w:r>
    </w:p>
    <w:p>
      <w:pPr>
        <w:pStyle w:val="ListParagraph"/>
        <w:numPr>
          <w:ilvl w:val="0"/>
          <w:numId w:val="1"/>
        </w:numPr>
        <w:spacing w:after="60"/>
      </w:pPr>
      <w:r>
        <w:rPr>
          <w:rFonts w:ascii="Calibri" w:cs="Calibri" w:eastAsia="Calibri" w:hAnsi="Calibri"/>
          <w:sz w:val="21"/>
          <w:szCs w:val="21"/>
        </w:rPr>
        <w:t xml:space="preserve">~450 active frac crews in the Permian (2024–2025). At ~2 wells/month/crew, that's ~900 completions/month.</w:t>
      </w:r>
    </w:p>
    <w:p>
      <w:pPr>
        <w:pStyle w:val="ListParagraph"/>
        <w:numPr>
          <w:ilvl w:val="0"/>
          <w:numId w:val="1"/>
        </w:numPr>
        <w:spacing w:after="60"/>
      </w:pPr>
      <w:r>
        <w:rPr>
          <w:rFonts w:ascii="Calibri" w:cs="Calibri" w:eastAsia="Calibri" w:hAnsi="Calibri"/>
          <w:sz w:val="21"/>
          <w:szCs w:val="21"/>
        </w:rPr>
        <w:t xml:space="preserve">If each completion uses ~5,000–15,000 bbl of heavy brine (10+ ppg), total demand = 4.5–13.5M bbl/month = 150,000–450,000 bpd.</w:t>
      </w:r>
    </w:p>
    <w:p>
      <w:pPr>
        <w:pStyle w:val="ListParagraph"/>
        <w:numPr>
          <w:ilvl w:val="0"/>
          <w:numId w:val="1"/>
        </w:numPr>
        <w:spacing w:after="60"/>
      </w:pPr>
      <w:r>
        <w:rPr>
          <w:rFonts w:ascii="Calibri" w:cs="Calibri" w:eastAsia="Calibri" w:hAnsi="Calibri"/>
          <w:sz w:val="21"/>
          <w:szCs w:val="21"/>
        </w:rPr>
        <w:t xml:space="preserve">The kill-weight brine subset (CaCl₂, CaBr₂, ZnBr₂ — 10.0+ ppg) is narrower: ~50,000–150,000 bpd.</w:t>
      </w:r>
    </w:p>
    <w:p>
      <w:pPr>
        <w:pStyle w:val="ListParagraph"/>
        <w:numPr>
          <w:ilvl w:val="0"/>
          <w:numId w:val="1"/>
        </w:numPr>
        <w:spacing w:after="60"/>
      </w:pPr>
      <w:r>
        <w:rPr>
          <w:rFonts w:ascii="Calibri" w:cs="Calibri" w:eastAsia="Calibri" w:hAnsi="Calibri"/>
          <w:sz w:val="21"/>
          <w:szCs w:val="21"/>
        </w:rPr>
        <w:t xml:space="preserve">At $20–80/bbl for CaCl₂ brine (low end) and $100–300/bbl for CaBr₂/ZnBr₂ (high end), the Permian kill brine market is $400M–$1.5B/year.</w:t>
      </w:r>
    </w:p>
    <w:p>
      <w:pPr>
        <w:pStyle w:val="ListParagraph"/>
        <w:numPr>
          <w:ilvl w:val="0"/>
          <w:numId w:val="1"/>
        </w:numPr>
        <w:spacing w:after="60"/>
      </w:pPr>
      <w:r>
        <w:rPr>
          <w:rFonts w:ascii="Calibri" w:cs="Calibri" w:eastAsia="Calibri" w:hAnsi="Calibri"/>
          <w:sz w:val="21"/>
          <w:szCs w:val="21"/>
        </w:rPr>
        <w:t xml:space="preserve">EWS's 10-unit deployment would produce ~2,850 bpd of brine — roughly 2–6% of the Permian kill brine market. Niche, not saturated.</w:t>
      </w:r>
    </w:p>
    <w:p>
      <w:pPr>
        <w:spacing w:after="120"/>
      </w:pPr>
      <w:r>
        <w:rPr>
          <w:rFonts w:ascii="Calibri" w:cs="Calibri" w:eastAsia="Calibri" w:hAnsi="Calibri"/>
          <w:sz w:val="21"/>
          <w:szCs w:val="21"/>
        </w:rPr>
        <w:t xml:space="preserve"/>
      </w:r>
    </w:p>
    <w:p>
      <w:pPr>
        <w:pStyle w:val="Heading2"/>
        <w:spacing w:after="100" w:before="240"/>
      </w:pPr>
      <w:r>
        <w:rPr>
          <w:rFonts w:ascii="Calibri" w:cs="Calibri" w:eastAsia="Calibri" w:hAnsi="Calibri"/>
          <w:b/>
          <w:bCs/>
          <w:color w:val="2E75B6"/>
          <w:sz w:val="24"/>
          <w:szCs w:val="24"/>
        </w:rPr>
        <w:t xml:space="preserve">1.4 Key Industry Players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5500"/>
      </w:tblGrid>
      <w:tr>
        <w:tc>
          <w:tcPr>
            <w:tcW w:type="dxa" w:w="2000"/>
            <w:shd w:fill="1F3864" w:val="clear"/>
          </w:tcPr>
          <w:p>
            <w:r>
              <w:rPr>
                <w:rFonts w:ascii="Calibri" w:cs="Calibri" w:eastAsia="Calibri" w:hAnsi="Calibri"/>
                <w:b/>
                <w:bCs/>
                <w:color w:val="FFFFFF"/>
                <w:sz w:val="19"/>
                <w:szCs w:val="19"/>
              </w:rPr>
              <w:t xml:space="preserve">Company</w:t>
            </w:r>
          </w:p>
        </w:tc>
        <w:tc>
          <w:tcPr>
            <w:tcW w:type="dxa" w:w="3500"/>
            <w:shd w:fill="1F3864" w:val="clear"/>
          </w:tcPr>
          <w:p>
            <w:r>
              <w:rPr>
                <w:rFonts w:ascii="Calibri" w:cs="Calibri" w:eastAsia="Calibri" w:hAnsi="Calibri"/>
                <w:b/>
                <w:bCs/>
                <w:color w:val="FFFFFF"/>
                <w:sz w:val="19"/>
                <w:szCs w:val="19"/>
              </w:rPr>
              <w:t xml:space="preserve">Role</w:t>
            </w:r>
          </w:p>
        </w:tc>
        <w:tc>
          <w:tcPr>
            <w:tcW w:type="dxa" w:w="5500"/>
            <w:shd w:fill="1F3864" w:val="clear"/>
          </w:tcPr>
          <w:p>
            <w:r>
              <w:rPr>
                <w:rFonts w:ascii="Calibri" w:cs="Calibri" w:eastAsia="Calibri" w:hAnsi="Calibri"/>
                <w:b/>
                <w:bCs/>
                <w:color w:val="FFFFFF"/>
                <w:sz w:val="19"/>
                <w:szCs w:val="19"/>
              </w:rPr>
              <w:t xml:space="preserve">Relevance to EWS</w:t>
            </w:r>
          </w:p>
        </w:tc>
      </w:tr>
      <w:tr>
        <w:tc>
          <w:tcPr>
            <w:tcW w:type="dxa" w:w="2000"/>
            <w:shd w:fill="D6E4F0" w:val="clear"/>
          </w:tcPr>
          <w:p>
            <w:r>
              <w:rPr>
                <w:rFonts w:ascii="Calibri" w:cs="Calibri" w:eastAsia="Calibri" w:hAnsi="Calibri"/>
                <w:sz w:val="19"/>
                <w:szCs w:val="19"/>
              </w:rPr>
              <w:t xml:space="preserve">TETRA Technologies
(NYSE: TTI)</w:t>
            </w:r>
          </w:p>
        </w:tc>
        <w:tc>
          <w:tcPr>
            <w:tcW w:type="dxa" w:w="3500"/>
            <w:shd w:fill="D6E4F0" w:val="clear"/>
          </w:tcPr>
          <w:p>
            <w:r>
              <w:rPr>
                <w:rFonts w:ascii="Calibri" w:cs="Calibri" w:eastAsia="Calibri" w:hAnsi="Calibri"/>
                <w:sz w:val="19"/>
                <w:szCs w:val="19"/>
              </w:rPr>
              <w:t xml:space="preserve">Largest pure-play completion
fluids provider. Manufactures
CaCl₂, CaBr₂, ZnBr₂ brines.
Only OFS company that makes
their own CaCl₂.</w:t>
            </w:r>
          </w:p>
        </w:tc>
        <w:tc>
          <w:tcPr>
            <w:tcW w:type="dxa" w:w="5500"/>
            <w:shd w:fill="D6E4F0" w:val="clear"/>
          </w:tcPr>
          <w:p>
            <w:r>
              <w:rPr>
                <w:rFonts w:ascii="Calibri" w:cs="Calibri" w:eastAsia="Calibri" w:hAnsi="Calibri"/>
                <w:sz w:val="19"/>
                <w:szCs w:val="19"/>
              </w:rPr>
              <w:t xml:space="preserve">Potential partner or competitor. They buy CaCl₂
feedstock — EWS brine could be a supply source.
HQ in The Woodlands, TX (45 min from Tomball).
Brady Murphy, CEO.</w:t>
            </w:r>
          </w:p>
        </w:tc>
      </w:tr>
      <w:tr>
        <w:tc>
          <w:tcPr>
            <w:tcW w:type="dxa" w:w="2000"/>
          </w:tcPr>
          <w:p>
            <w:r>
              <w:rPr>
                <w:rFonts w:ascii="Calibri" w:cs="Calibri" w:eastAsia="Calibri" w:hAnsi="Calibri"/>
                <w:sz w:val="19"/>
                <w:szCs w:val="19"/>
              </w:rPr>
              <w:t xml:space="preserve">Albemarle
(NYSE: ALB)</w:t>
            </w:r>
          </w:p>
        </w:tc>
        <w:tc>
          <w:tcPr>
            <w:tcW w:type="dxa" w:w="3500"/>
          </w:tcPr>
          <w:p>
            <w:r>
              <w:rPr>
                <w:rFonts w:ascii="Calibri" w:cs="Calibri" w:eastAsia="Calibri" w:hAnsi="Calibri"/>
                <w:sz w:val="19"/>
                <w:szCs w:val="19"/>
              </w:rPr>
              <w:t xml:space="preserve">WELLBROM® clear brine fluids.
Sodium/calcium bromide based.
Also the world's largest lithium
producer.</w:t>
            </w:r>
          </w:p>
        </w:tc>
        <w:tc>
          <w:tcPr>
            <w:tcW w:type="dxa" w:w="5500"/>
          </w:tcPr>
          <w:p>
            <w:r>
              <w:rPr>
                <w:rFonts w:ascii="Calibri" w:cs="Calibri" w:eastAsia="Calibri" w:hAnsi="Calibri"/>
                <w:sz w:val="19"/>
                <w:szCs w:val="19"/>
              </w:rPr>
              <w:t xml:space="preserve">Bromine supplier, not competitor. Their WELLBROM
products are bromide-based completion fluids.
Potential bromine off-take partner from EWS
mineral extraction.</w:t>
            </w:r>
          </w:p>
        </w:tc>
      </w:tr>
      <w:tr>
        <w:tc>
          <w:tcPr>
            <w:tcW w:type="dxa" w:w="2000"/>
            <w:shd w:fill="D6E4F0" w:val="clear"/>
          </w:tcPr>
          <w:p>
            <w:r>
              <w:rPr>
                <w:rFonts w:ascii="Calibri" w:cs="Calibri" w:eastAsia="Calibri" w:hAnsi="Calibri"/>
                <w:sz w:val="19"/>
                <w:szCs w:val="19"/>
              </w:rPr>
              <w:t xml:space="preserve">ICL Group
(NYSE: ICL)</w:t>
            </w:r>
          </w:p>
        </w:tc>
        <w:tc>
          <w:tcPr>
            <w:tcW w:type="dxa" w:w="3500"/>
            <w:shd w:fill="D6E4F0" w:val="clear"/>
          </w:tcPr>
          <w:p>
            <w:r>
              <w:rPr>
                <w:rFonts w:ascii="Calibri" w:cs="Calibri" w:eastAsia="Calibri" w:hAnsi="Calibri"/>
                <w:sz w:val="19"/>
                <w:szCs w:val="19"/>
              </w:rPr>
              <w:t xml:space="preserve">World-leading bromine-based
clear brine fluids manufacturer.
Bromine from Dead Sea.</w:t>
            </w:r>
          </w:p>
        </w:tc>
        <w:tc>
          <w:tcPr>
            <w:tcW w:type="dxa" w:w="5500"/>
            <w:shd w:fill="D6E4F0" w:val="clear"/>
          </w:tcPr>
          <w:p>
            <w:r>
              <w:rPr>
                <w:rFonts w:ascii="Calibri" w:cs="Calibri" w:eastAsia="Calibri" w:hAnsi="Calibri"/>
                <w:sz w:val="19"/>
                <w:szCs w:val="19"/>
              </w:rPr>
              <w:t xml:space="preserve">Bromine chemistry expertise. Potential mineral
extraction partner or technology collaborator
for iodine/bromine separation.</w:t>
            </w:r>
          </w:p>
        </w:tc>
      </w:tr>
      <w:tr>
        <w:tc>
          <w:tcPr>
            <w:tcW w:type="dxa" w:w="2000"/>
          </w:tcPr>
          <w:p>
            <w:r>
              <w:rPr>
                <w:rFonts w:ascii="Calibri" w:cs="Calibri" w:eastAsia="Calibri" w:hAnsi="Calibri"/>
                <w:sz w:val="19"/>
                <w:szCs w:val="19"/>
              </w:rPr>
              <w:t xml:space="preserve">Newpark Resources
(NYSE: NR)</w:t>
            </w:r>
          </w:p>
        </w:tc>
        <w:tc>
          <w:tcPr>
            <w:tcW w:type="dxa" w:w="3500"/>
          </w:tcPr>
          <w:p>
            <w:r>
              <w:rPr>
                <w:rFonts w:ascii="Calibri" w:cs="Calibri" w:eastAsia="Calibri" w:hAnsi="Calibri"/>
                <w:sz w:val="19"/>
                <w:szCs w:val="19"/>
              </w:rPr>
              <w:t xml:space="preserve">Full line of clear brine fluids,
filtration units, and additives.
Completion fluids + drilling fluids.</w:t>
            </w:r>
          </w:p>
        </w:tc>
        <w:tc>
          <w:tcPr>
            <w:tcW w:type="dxa" w:w="5500"/>
          </w:tcPr>
          <w:p>
            <w:r>
              <w:rPr>
                <w:rFonts w:ascii="Calibri" w:cs="Calibri" w:eastAsia="Calibri" w:hAnsi="Calibri"/>
                <w:sz w:val="19"/>
                <w:szCs w:val="19"/>
              </w:rPr>
              <w:t xml:space="preserve">Smaller than TETRA in completion fluids. Also
HQ in The Woodlands. Potential conditioning
partner — they sell filtration units.</w:t>
            </w:r>
          </w:p>
        </w:tc>
      </w:tr>
      <w:tr>
        <w:tc>
          <w:tcPr>
            <w:tcW w:type="dxa" w:w="2000"/>
            <w:shd w:fill="D6E4F0" w:val="clear"/>
          </w:tcPr>
          <w:p>
            <w:r>
              <w:rPr>
                <w:rFonts w:ascii="Calibri" w:cs="Calibri" w:eastAsia="Calibri" w:hAnsi="Calibri"/>
                <w:sz w:val="19"/>
                <w:szCs w:val="19"/>
              </w:rPr>
              <w:t xml:space="preserve">Select Water Solutions
(NYSE: WTTR)</w:t>
            </w:r>
          </w:p>
        </w:tc>
        <w:tc>
          <w:tcPr>
            <w:tcW w:type="dxa" w:w="3500"/>
            <w:shd w:fill="D6E4F0" w:val="clear"/>
          </w:tcPr>
          <w:p>
            <w:r>
              <w:rPr>
                <w:rFonts w:ascii="Calibri" w:cs="Calibri" w:eastAsia="Calibri" w:hAnsi="Calibri"/>
                <w:sz w:val="19"/>
                <w:szCs w:val="19"/>
              </w:rPr>
              <w:t xml:space="preserve">Water management + completions.
Produced water sourcing for fracs.</w:t>
            </w:r>
          </w:p>
        </w:tc>
        <w:tc>
          <w:tcPr>
            <w:tcW w:type="dxa" w:w="5500"/>
            <w:shd w:fill="D6E4F0" w:val="clear"/>
          </w:tcPr>
          <w:p>
            <w:r>
              <w:rPr>
                <w:rFonts w:ascii="Calibri" w:cs="Calibri" w:eastAsia="Calibri" w:hAnsi="Calibri"/>
                <w:sz w:val="19"/>
                <w:szCs w:val="19"/>
              </w:rPr>
              <w:t xml:space="preserve">Competitor in produced water reuse. Their
business model validates the produced-water-
to-completion-fluid concept.</w:t>
            </w:r>
          </w:p>
        </w:tc>
      </w:tr>
    </w:tbl>
    <w:p>
      <w:pPr>
        <w:spacing w:after="200"/>
      </w:pPr>
    </w:p>
    <w:p>
      <w:r>
        <w:br w:type="page"/>
      </w:r>
    </w:p>
    <w:p>
      <w:pPr>
        <w:pStyle w:val="Heading1"/>
        <w:spacing w:after="150" w:before="300"/>
      </w:pPr>
      <w:r>
        <w:rPr>
          <w:rFonts w:ascii="Calibri" w:cs="Calibri" w:eastAsia="Calibri" w:hAnsi="Calibri"/>
          <w:b/>
          <w:bCs/>
          <w:color w:val="1F3864"/>
          <w:sz w:val="28"/>
          <w:szCs w:val="28"/>
        </w:rPr>
        <w:t xml:space="preserve">2. Verified Commercial Specifications</w:t>
      </w:r>
    </w:p>
    <w:p>
      <w:pPr>
        <w:pStyle w:val="Heading2"/>
        <w:spacing w:after="100" w:before="240"/>
      </w:pPr>
      <w:r>
        <w:rPr>
          <w:rFonts w:ascii="Calibri" w:cs="Calibri" w:eastAsia="Calibri" w:hAnsi="Calibri"/>
          <w:b/>
          <w:bCs/>
          <w:color w:val="2E75B6"/>
          <w:sz w:val="24"/>
          <w:szCs w:val="24"/>
        </w:rPr>
        <w:t xml:space="preserve">2.1 ISO 13503-3:2022 — The Governing Standard</w:t>
      </w:r>
    </w:p>
    <w:p>
      <w:pPr>
        <w:pStyle w:val="ListParagraph"/>
        <w:numPr>
          <w:ilvl w:val="0"/>
          <w:numId w:val="1"/>
        </w:numPr>
        <w:spacing w:after="60"/>
      </w:pPr>
      <w:r>
        <w:rPr>
          <w:rFonts w:ascii="Calibri" w:cs="Calibri" w:eastAsia="Calibri" w:hAnsi="Calibri"/>
          <w:sz w:val="21"/>
          <w:szCs w:val="21"/>
        </w:rPr>
        <w:t xml:space="preserve">Title: "Petroleum and natural gas industries — Completion fluids and materials — Part 3: Testing of heavy brines"</w:t>
      </w:r>
    </w:p>
    <w:p>
      <w:pPr>
        <w:pStyle w:val="ListParagraph"/>
        <w:numPr>
          <w:ilvl w:val="0"/>
          <w:numId w:val="1"/>
        </w:numPr>
        <w:spacing w:after="60"/>
      </w:pPr>
      <w:r>
        <w:rPr>
          <w:rFonts w:ascii="Calibri" w:cs="Calibri" w:eastAsia="Calibri" w:hAnsi="Calibri"/>
          <w:sz w:val="21"/>
          <w:szCs w:val="21"/>
        </w:rPr>
        <w:t xml:space="preserve">Covers: physical properties, potential contaminants, and test procedures for heavy brine fluids manufactured for oil and gas well drilling, completion, and workover fluids.</w:t>
      </w:r>
    </w:p>
    <w:p>
      <w:pPr>
        <w:pStyle w:val="ListParagraph"/>
        <w:numPr>
          <w:ilvl w:val="0"/>
          <w:numId w:val="1"/>
        </w:numPr>
        <w:spacing w:after="60"/>
      </w:pPr>
      <w:r>
        <w:rPr>
          <w:rFonts w:ascii="Calibri" w:cs="Calibri" w:eastAsia="Calibri" w:hAnsi="Calibri"/>
          <w:sz w:val="21"/>
          <w:szCs w:val="21"/>
        </w:rPr>
        <w:t xml:space="preserve">Replaces ISO 13503-3:2005. Updated 2022.</w:t>
      </w:r>
    </w:p>
    <w:p>
      <w:pPr>
        <w:pStyle w:val="ListParagraph"/>
        <w:numPr>
          <w:ilvl w:val="0"/>
          <w:numId w:val="1"/>
        </w:numPr>
        <w:spacing w:after="60"/>
      </w:pPr>
      <w:r>
        <w:rPr>
          <w:rFonts w:ascii="Calibri" w:cs="Calibri" w:eastAsia="Calibri" w:hAnsi="Calibri"/>
          <w:sz w:val="21"/>
          <w:szCs w:val="21"/>
        </w:rPr>
        <w:t xml:space="preserve">Paired with API RP 13J (5th Edition, 2014) — "Testing of Heavy Brines" — the operational field standard.</w:t>
      </w:r>
    </w:p>
    <w:p>
      <w:pPr>
        <w:pStyle w:val="Heading2"/>
        <w:spacing w:after="100" w:before="240"/>
      </w:pPr>
      <w:r>
        <w:rPr>
          <w:rFonts w:ascii="Calibri" w:cs="Calibri" w:eastAsia="Calibri" w:hAnsi="Calibri"/>
          <w:b/>
          <w:bCs/>
          <w:color w:val="2E75B6"/>
          <w:sz w:val="24"/>
          <w:szCs w:val="24"/>
        </w:rPr>
        <w:t xml:space="preserve">2.2 Key Performance Parameters</w:t>
      </w:r>
    </w:p>
    <w:p>
      <w:pPr>
        <w:spacing w:after="120"/>
      </w:pPr>
      <w:r>
        <w:rPr>
          <w:rFonts w:ascii="Calibri" w:cs="Calibri" w:eastAsia="Calibri" w:hAnsi="Calibri"/>
          <w:sz w:val="21"/>
          <w:szCs w:val="21"/>
        </w:rPr>
        <w:t xml:space="preserve">From the Drilling Fluids Explored technical reference (corroborated by ISO 13503-3 and API RP 13J):</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4400"/>
      </w:tblGrid>
      <w:tr>
        <w:tc>
          <w:tcPr>
            <w:tcW w:type="dxa" w:w="2200"/>
            <w:shd w:fill="1F3864" w:val="clear"/>
          </w:tcPr>
          <w:p>
            <w:r>
              <w:rPr>
                <w:rFonts w:ascii="Calibri" w:cs="Calibri" w:eastAsia="Calibri" w:hAnsi="Calibri"/>
                <w:b/>
                <w:bCs/>
                <w:color w:val="FFFFFF"/>
                <w:sz w:val="19"/>
                <w:szCs w:val="19"/>
              </w:rPr>
              <w:t xml:space="preserve">Parameter</w:t>
            </w:r>
          </w:p>
        </w:tc>
        <w:tc>
          <w:tcPr>
            <w:tcW w:type="dxa" w:w="2200"/>
            <w:shd w:fill="1F3864" w:val="clear"/>
          </w:tcPr>
          <w:p>
            <w:r>
              <w:rPr>
                <w:rFonts w:ascii="Calibri" w:cs="Calibri" w:eastAsia="Calibri" w:hAnsi="Calibri"/>
                <w:b/>
                <w:bCs/>
                <w:color w:val="FFFFFF"/>
                <w:sz w:val="19"/>
                <w:szCs w:val="19"/>
              </w:rPr>
              <w:t xml:space="preserve">Specification</w:t>
            </w:r>
          </w:p>
        </w:tc>
        <w:tc>
          <w:tcPr>
            <w:tcW w:type="dxa" w:w="2200"/>
            <w:shd w:fill="1F3864" w:val="clear"/>
          </w:tcPr>
          <w:p>
            <w:r>
              <w:rPr>
                <w:rFonts w:ascii="Calibri" w:cs="Calibri" w:eastAsia="Calibri" w:hAnsi="Calibri"/>
                <w:b/>
                <w:bCs/>
                <w:color w:val="FFFFFF"/>
                <w:sz w:val="19"/>
                <w:szCs w:val="19"/>
              </w:rPr>
              <w:t xml:space="preserve">Test Method</w:t>
            </w:r>
          </w:p>
        </w:tc>
        <w:tc>
          <w:tcPr>
            <w:tcW w:type="dxa" w:w="4400"/>
            <w:shd w:fill="1F3864" w:val="clear"/>
          </w:tcPr>
          <w:p>
            <w:r>
              <w:rPr>
                <w:rFonts w:ascii="Calibri" w:cs="Calibri" w:eastAsia="Calibri" w:hAnsi="Calibri"/>
                <w:b/>
                <w:bCs/>
                <w:color w:val="FFFFFF"/>
                <w:sz w:val="19"/>
                <w:szCs w:val="19"/>
              </w:rPr>
              <w:t xml:space="preserve">EWS Relevance</w:t>
            </w:r>
          </w:p>
        </w:tc>
      </w:tr>
      <w:tr>
        <w:tc>
          <w:tcPr>
            <w:tcW w:type="dxa" w:w="2200"/>
            <w:shd w:fill="D6E4F0" w:val="clear"/>
          </w:tcPr>
          <w:p>
            <w:r>
              <w:rPr>
                <w:rFonts w:ascii="Calibri" w:cs="Calibri" w:eastAsia="Calibri" w:hAnsi="Calibri"/>
                <w:sz w:val="19"/>
                <w:szCs w:val="19"/>
              </w:rPr>
              <w:t xml:space="preserve">Density (ppg / SG)</w:t>
            </w:r>
          </w:p>
        </w:tc>
        <w:tc>
          <w:tcPr>
            <w:tcW w:type="dxa" w:w="2200"/>
            <w:shd w:fill="D6E4F0" w:val="clear"/>
          </w:tcPr>
          <w:p>
            <w:r>
              <w:rPr>
                <w:rFonts w:ascii="Calibri" w:cs="Calibri" w:eastAsia="Calibri" w:hAnsi="Calibri"/>
                <w:sz w:val="19"/>
                <w:szCs w:val="19"/>
              </w:rPr>
              <w:t xml:space="preserve">8.4–19.2 ppg
Tolerance: ±0.1 ppg</w:t>
            </w:r>
          </w:p>
        </w:tc>
        <w:tc>
          <w:tcPr>
            <w:tcW w:type="dxa" w:w="2200"/>
            <w:shd w:fill="D6E4F0" w:val="clear"/>
          </w:tcPr>
          <w:p>
            <w:r>
              <w:rPr>
                <w:rFonts w:ascii="Calibri" w:cs="Calibri" w:eastAsia="Calibri" w:hAnsi="Calibri"/>
                <w:sz w:val="19"/>
                <w:szCs w:val="19"/>
              </w:rPr>
              <w:t xml:space="preserve">Mud balance
(API RP 13J §5)</w:t>
            </w:r>
          </w:p>
        </w:tc>
        <w:tc>
          <w:tcPr>
            <w:tcW w:type="dxa" w:w="4400"/>
            <w:shd w:fill="D6E4F0" w:val="clear"/>
          </w:tcPr>
          <w:p>
            <w:r>
              <w:rPr>
                <w:rFonts w:ascii="Calibri" w:cs="Calibri" w:eastAsia="Calibri" w:hAnsi="Calibri"/>
                <w:sz w:val="19"/>
                <w:szCs w:val="19"/>
              </w:rPr>
              <w:t xml:space="preserve">VOX output at 70% evap: 9.9 ppg median.
Can target higher via more evap or CaCl₂
addition. ±0.1 tolerance is achievable.</w:t>
            </w:r>
          </w:p>
        </w:tc>
      </w:tr>
      <w:tr>
        <w:tc>
          <w:tcPr>
            <w:tcW w:type="dxa" w:w="2200"/>
          </w:tcPr>
          <w:p>
            <w:r>
              <w:rPr>
                <w:rFonts w:ascii="Calibri" w:cs="Calibri" w:eastAsia="Calibri" w:hAnsi="Calibri"/>
                <w:sz w:val="19"/>
                <w:szCs w:val="19"/>
              </w:rPr>
              <w:t xml:space="preserve">Clarity / Turbidity</w:t>
            </w:r>
          </w:p>
        </w:tc>
        <w:tc>
          <w:tcPr>
            <w:tcW w:type="dxa" w:w="2200"/>
          </w:tcPr>
          <w:p>
            <w:r>
              <w:rPr>
                <w:rFonts w:ascii="Calibri" w:cs="Calibri" w:eastAsia="Calibri" w:hAnsi="Calibri"/>
                <w:sz w:val="19"/>
                <w:szCs w:val="19"/>
              </w:rPr>
              <w:t xml:space="preserve">&lt;25–50 NTU
(solids-free)</w:t>
            </w:r>
          </w:p>
        </w:tc>
        <w:tc>
          <w:tcPr>
            <w:tcW w:type="dxa" w:w="2200"/>
          </w:tcPr>
          <w:p>
            <w:r>
              <w:rPr>
                <w:rFonts w:ascii="Calibri" w:cs="Calibri" w:eastAsia="Calibri" w:hAnsi="Calibri"/>
                <w:sz w:val="19"/>
                <w:szCs w:val="19"/>
              </w:rPr>
              <w:t xml:space="preserve">Turbidimeter
(API RP 13J §7)</w:t>
            </w:r>
          </w:p>
        </w:tc>
        <w:tc>
          <w:tcPr>
            <w:tcW w:type="dxa" w:w="4400"/>
          </w:tcPr>
          <w:p>
            <w:r>
              <w:rPr>
                <w:rFonts w:ascii="Calibri" w:cs="Calibri" w:eastAsia="Calibri" w:hAnsi="Calibri"/>
                <w:sz w:val="19"/>
                <w:szCs w:val="19"/>
              </w:rPr>
              <w:t xml:space="preserve">CRITICAL GAP: VOX output will contain
precipitated BaSO₄, SrSO₄, CaSO₄, possibly
NaCl. Filtration REQUIRED.</w:t>
            </w:r>
          </w:p>
        </w:tc>
      </w:tr>
      <w:tr>
        <w:tc>
          <w:tcPr>
            <w:tcW w:type="dxa" w:w="2200"/>
            <w:shd w:fill="D6E4F0" w:val="clear"/>
          </w:tcPr>
          <w:p>
            <w:r>
              <w:rPr>
                <w:rFonts w:ascii="Calibri" w:cs="Calibri" w:eastAsia="Calibri" w:hAnsi="Calibri"/>
                <w:sz w:val="19"/>
                <w:szCs w:val="19"/>
              </w:rPr>
              <w:t xml:space="preserve">Crystallization
Temperature</w:t>
            </w:r>
          </w:p>
        </w:tc>
        <w:tc>
          <w:tcPr>
            <w:tcW w:type="dxa" w:w="2200"/>
            <w:shd w:fill="D6E4F0" w:val="clear"/>
          </w:tcPr>
          <w:p>
            <w:r>
              <w:rPr>
                <w:rFonts w:ascii="Calibri" w:cs="Calibri" w:eastAsia="Calibri" w:hAnsi="Calibri"/>
                <w:sz w:val="19"/>
                <w:szCs w:val="19"/>
              </w:rPr>
              <w:t xml:space="preserve">Must remain liquid
at BHST and surface
(typically &lt;−20°C)</w:t>
            </w:r>
          </w:p>
        </w:tc>
        <w:tc>
          <w:tcPr>
            <w:tcW w:type="dxa" w:w="2200"/>
            <w:shd w:fill="D6E4F0" w:val="clear"/>
          </w:tcPr>
          <w:p>
            <w:r>
              <w:rPr>
                <w:rFonts w:ascii="Calibri" w:cs="Calibri" w:eastAsia="Calibri" w:hAnsi="Calibri"/>
                <w:sz w:val="19"/>
                <w:szCs w:val="19"/>
              </w:rPr>
              <w:t xml:space="preserve">ISO 13503-3 §8
Fann CT tester</w:t>
            </w:r>
          </w:p>
        </w:tc>
        <w:tc>
          <w:tcPr>
            <w:tcW w:type="dxa" w:w="4400"/>
            <w:shd w:fill="D6E4F0" w:val="clear"/>
          </w:tcPr>
          <w:p>
            <w:r>
              <w:rPr>
                <w:rFonts w:ascii="Calibri" w:cs="Calibri" w:eastAsia="Calibri" w:hAnsi="Calibri"/>
                <w:sz w:val="19"/>
                <w:szCs w:val="19"/>
              </w:rPr>
              <w:t xml:space="preserve">CaCl₂ brines crystallize −20 to −50°C.
Not a Permian issue (ambient &gt;0°C).
CaBr₂/ZnBr₂ brines go much lower.</w:t>
            </w:r>
          </w:p>
        </w:tc>
      </w:tr>
      <w:tr>
        <w:tc>
          <w:tcPr>
            <w:tcW w:type="dxa" w:w="2200"/>
          </w:tcPr>
          <w:p>
            <w:r>
              <w:rPr>
                <w:rFonts w:ascii="Calibri" w:cs="Calibri" w:eastAsia="Calibri" w:hAnsi="Calibri"/>
                <w:sz w:val="19"/>
                <w:szCs w:val="19"/>
              </w:rPr>
              <w:t xml:space="preserve">pH</w:t>
            </w:r>
          </w:p>
        </w:tc>
        <w:tc>
          <w:tcPr>
            <w:tcW w:type="dxa" w:w="2200"/>
          </w:tcPr>
          <w:p>
            <w:r>
              <w:rPr>
                <w:rFonts w:ascii="Calibri" w:cs="Calibri" w:eastAsia="Calibri" w:hAnsi="Calibri"/>
                <w:sz w:val="19"/>
                <w:szCs w:val="19"/>
              </w:rPr>
              <w:t xml:space="preserve">Typically 6–9</w:t>
            </w:r>
          </w:p>
        </w:tc>
        <w:tc>
          <w:tcPr>
            <w:tcW w:type="dxa" w:w="2200"/>
          </w:tcPr>
          <w:p>
            <w:r>
              <w:rPr>
                <w:rFonts w:ascii="Calibri" w:cs="Calibri" w:eastAsia="Calibri" w:hAnsi="Calibri"/>
                <w:sz w:val="19"/>
                <w:szCs w:val="19"/>
              </w:rPr>
              <w:t xml:space="preserve">pH meter
(API RP 13J §6)</w:t>
            </w:r>
          </w:p>
        </w:tc>
        <w:tc>
          <w:tcPr>
            <w:tcW w:type="dxa" w:w="4400"/>
          </w:tcPr>
          <w:p>
            <w:r>
              <w:rPr>
                <w:rFonts w:ascii="Calibri" w:cs="Calibri" w:eastAsia="Calibri" w:hAnsi="Calibri"/>
                <w:sz w:val="19"/>
                <w:szCs w:val="19"/>
              </w:rPr>
              <w:t xml:space="preserve">GAP: VOX evaporation generates HCl via
MgCl₂/CaCl₂ hydrolysis. pH may drop to
4–5. Needs caustic/lime addition.</w:t>
            </w:r>
          </w:p>
        </w:tc>
      </w:tr>
      <w:tr>
        <w:tc>
          <w:tcPr>
            <w:tcW w:type="dxa" w:w="2200"/>
            <w:shd w:fill="D6E4F0" w:val="clear"/>
          </w:tcPr>
          <w:p>
            <w:r>
              <w:rPr>
                <w:rFonts w:ascii="Calibri" w:cs="Calibri" w:eastAsia="Calibri" w:hAnsi="Calibri"/>
                <w:sz w:val="19"/>
                <w:szCs w:val="19"/>
              </w:rPr>
              <w:t xml:space="preserve">Total Suspended
Solids (TSS)</w:t>
            </w:r>
          </w:p>
        </w:tc>
        <w:tc>
          <w:tcPr>
            <w:tcW w:type="dxa" w:w="2200"/>
            <w:shd w:fill="D6E4F0" w:val="clear"/>
          </w:tcPr>
          <w:p>
            <w:r>
              <w:rPr>
                <w:rFonts w:ascii="Calibri" w:cs="Calibri" w:eastAsia="Calibri" w:hAnsi="Calibri"/>
                <w:sz w:val="19"/>
                <w:szCs w:val="19"/>
              </w:rPr>
              <w:t xml:space="preserve">&lt;50–100 mg/L</w:t>
            </w:r>
          </w:p>
        </w:tc>
        <w:tc>
          <w:tcPr>
            <w:tcW w:type="dxa" w:w="2200"/>
            <w:shd w:fill="D6E4F0" w:val="clear"/>
          </w:tcPr>
          <w:p>
            <w:r>
              <w:rPr>
                <w:rFonts w:ascii="Calibri" w:cs="Calibri" w:eastAsia="Calibri" w:hAnsi="Calibri"/>
                <w:sz w:val="19"/>
                <w:szCs w:val="19"/>
              </w:rPr>
              <w:t xml:space="preserve">Gravimetric /
filtration test</w:t>
            </w:r>
          </w:p>
        </w:tc>
        <w:tc>
          <w:tcPr>
            <w:tcW w:type="dxa" w:w="4400"/>
            <w:shd w:fill="D6E4F0" w:val="clear"/>
          </w:tcPr>
          <w:p>
            <w:r>
              <w:rPr>
                <w:rFonts w:ascii="Calibri" w:cs="Calibri" w:eastAsia="Calibri" w:hAnsi="Calibri"/>
                <w:sz w:val="19"/>
                <w:szCs w:val="19"/>
              </w:rPr>
              <w:t xml:space="preserve">Precipitated salts from concentration.
Bag/cartridge filtration + settling.</w:t>
            </w:r>
          </w:p>
        </w:tc>
      </w:tr>
      <w:tr>
        <w:tc>
          <w:tcPr>
            <w:tcW w:type="dxa" w:w="2200"/>
          </w:tcPr>
          <w:p>
            <w:r>
              <w:rPr>
                <w:rFonts w:ascii="Calibri" w:cs="Calibri" w:eastAsia="Calibri" w:hAnsi="Calibri"/>
                <w:sz w:val="19"/>
                <w:szCs w:val="19"/>
              </w:rPr>
              <w:t xml:space="preserve">Formation
Compatibility</w:t>
            </w:r>
          </w:p>
        </w:tc>
        <w:tc>
          <w:tcPr>
            <w:tcW w:type="dxa" w:w="2200"/>
          </w:tcPr>
          <w:p>
            <w:r>
              <w:rPr>
                <w:rFonts w:ascii="Calibri" w:cs="Calibri" w:eastAsia="Calibri" w:hAnsi="Calibri"/>
                <w:sz w:val="19"/>
                <w:szCs w:val="19"/>
              </w:rPr>
              <w:t xml:space="preserve">No swelling, scaling,
or permeability damage</w:t>
            </w:r>
          </w:p>
        </w:tc>
        <w:tc>
          <w:tcPr>
            <w:tcW w:type="dxa" w:w="2200"/>
          </w:tcPr>
          <w:p>
            <w:r>
              <w:rPr>
                <w:rFonts w:ascii="Calibri" w:cs="Calibri" w:eastAsia="Calibri" w:hAnsi="Calibri"/>
                <w:sz w:val="19"/>
                <w:szCs w:val="19"/>
              </w:rPr>
              <w:t xml:space="preserve">Core flood testing
(API RP 13J §10)</w:t>
            </w:r>
          </w:p>
        </w:tc>
        <w:tc>
          <w:tcPr>
            <w:tcW w:type="dxa" w:w="4400"/>
          </w:tcPr>
          <w:p>
            <w:r>
              <w:rPr>
                <w:rFonts w:ascii="Calibri" w:cs="Calibri" w:eastAsia="Calibri" w:hAnsi="Calibri"/>
                <w:sz w:val="19"/>
                <w:szCs w:val="19"/>
              </w:rPr>
              <w:t xml:space="preserve">Year 1 activity at university partner.
CaCl₂ brines generally compatible with
sandstone and carbonate formations.</w:t>
            </w:r>
          </w:p>
        </w:tc>
      </w:tr>
      <w:tr>
        <w:tc>
          <w:tcPr>
            <w:tcW w:type="dxa" w:w="2200"/>
            <w:shd w:fill="D6E4F0" w:val="clear"/>
          </w:tcPr>
          <w:p>
            <w:r>
              <w:rPr>
                <w:rFonts w:ascii="Calibri" w:cs="Calibri" w:eastAsia="Calibri" w:hAnsi="Calibri"/>
                <w:sz w:val="19"/>
                <w:szCs w:val="19"/>
              </w:rPr>
              <w:t xml:space="preserve">Iron Content</w:t>
            </w:r>
          </w:p>
        </w:tc>
        <w:tc>
          <w:tcPr>
            <w:tcW w:type="dxa" w:w="2200"/>
            <w:shd w:fill="D6E4F0" w:val="clear"/>
          </w:tcPr>
          <w:p>
            <w:r>
              <w:rPr>
                <w:rFonts w:ascii="Calibri" w:cs="Calibri" w:eastAsia="Calibri" w:hAnsi="Calibri"/>
                <w:sz w:val="19"/>
                <w:szCs w:val="19"/>
              </w:rPr>
              <w:t xml:space="preserve">Varies by formation
(typically &lt;50 mg/L)</w:t>
            </w:r>
          </w:p>
        </w:tc>
        <w:tc>
          <w:tcPr>
            <w:tcW w:type="dxa" w:w="2200"/>
            <w:shd w:fill="D6E4F0" w:val="clear"/>
          </w:tcPr>
          <w:p>
            <w:r>
              <w:rPr>
                <w:rFonts w:ascii="Calibri" w:cs="Calibri" w:eastAsia="Calibri" w:hAnsi="Calibri"/>
                <w:sz w:val="19"/>
                <w:szCs w:val="19"/>
              </w:rPr>
              <w:t xml:space="preserve">ICP / titration
(ISO 13503-3 §9)</w:t>
            </w:r>
          </w:p>
        </w:tc>
        <w:tc>
          <w:tcPr>
            <w:tcW w:type="dxa" w:w="4400"/>
            <w:shd w:fill="D6E4F0" w:val="clear"/>
          </w:tcPr>
          <w:p>
            <w:r>
              <w:rPr>
                <w:rFonts w:ascii="Calibri" w:cs="Calibri" w:eastAsia="Calibri" w:hAnsi="Calibri"/>
                <w:sz w:val="19"/>
                <w:szCs w:val="19"/>
              </w:rPr>
              <w:t xml:space="preserve">Permian median Fe = 17 mg/L feed.
At 10× = 170 mg/L in brine. Chelation
or oxidation/filtration may be needed.</w:t>
            </w:r>
          </w:p>
        </w:tc>
      </w:tr>
    </w:tbl>
    <w:p>
      <w:pPr>
        <w:spacing w:after="150"/>
      </w:pPr>
    </w:p>
    <w:p>
      <w:pPr>
        <w:pStyle w:val="Heading2"/>
        <w:spacing w:after="100" w:before="240"/>
      </w:pPr>
      <w:r>
        <w:rPr>
          <w:rFonts w:ascii="Calibri" w:cs="Calibri" w:eastAsia="Calibri" w:hAnsi="Calibri"/>
          <w:b/>
          <w:bCs/>
          <w:color w:val="2E75B6"/>
          <w:sz w:val="24"/>
          <w:szCs w:val="24"/>
        </w:rPr>
        <w:t xml:space="preserve">2.3 Brine Types and Density Ranges</w:t>
      </w:r>
    </w:p>
    <w:p>
      <w:pPr>
        <w:spacing w:after="120"/>
      </w:pPr>
      <w:r>
        <w:rPr>
          <w:rFonts w:ascii="Calibri" w:cs="Calibri" w:eastAsia="Calibri" w:hAnsi="Calibri"/>
          <w:sz w:val="21"/>
          <w:szCs w:val="21"/>
        </w:rPr>
        <w:t xml:space="preserve">The standard clear brine fluid types, ordered by density (ISO 13503-3 / API RP 13J):</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000"/>
        <w:gridCol w:w="3000"/>
      </w:tblGrid>
      <w:tr>
        <w:tc>
          <w:tcPr>
            <w:tcW w:type="dxa" w:w="2500"/>
            <w:shd w:fill="1F3864" w:val="clear"/>
          </w:tcPr>
          <w:p>
            <w:r>
              <w:rPr>
                <w:rFonts w:ascii="Calibri" w:cs="Calibri" w:eastAsia="Calibri" w:hAnsi="Calibri"/>
                <w:b/>
                <w:bCs/>
                <w:color w:val="FFFFFF"/>
                <w:sz w:val="19"/>
                <w:szCs w:val="19"/>
              </w:rPr>
              <w:t xml:space="preserve">Brine Type</w:t>
            </w:r>
          </w:p>
        </w:tc>
        <w:tc>
          <w:tcPr>
            <w:tcW w:type="dxa" w:w="2500"/>
            <w:shd w:fill="1F3864" w:val="clear"/>
          </w:tcPr>
          <w:p>
            <w:r>
              <w:rPr>
                <w:rFonts w:ascii="Calibri" w:cs="Calibri" w:eastAsia="Calibri" w:hAnsi="Calibri"/>
                <w:b/>
                <w:bCs/>
                <w:color w:val="FFFFFF"/>
                <w:sz w:val="19"/>
                <w:szCs w:val="19"/>
              </w:rPr>
              <w:t xml:space="preserve">Density Range (ppg)</w:t>
            </w:r>
          </w:p>
        </w:tc>
        <w:tc>
          <w:tcPr>
            <w:tcW w:type="dxa" w:w="3000"/>
            <w:shd w:fill="1F3864" w:val="clear"/>
          </w:tcPr>
          <w:p>
            <w:r>
              <w:rPr>
                <w:rFonts w:ascii="Calibri" w:cs="Calibri" w:eastAsia="Calibri" w:hAnsi="Calibri"/>
                <w:b/>
                <w:bCs/>
                <w:color w:val="FFFFFF"/>
                <w:sz w:val="19"/>
                <w:szCs w:val="19"/>
              </w:rPr>
              <w:t xml:space="preserve">Primary Salt</w:t>
            </w:r>
          </w:p>
        </w:tc>
        <w:tc>
          <w:tcPr>
            <w:tcW w:type="dxa" w:w="3000"/>
            <w:shd w:fill="1F3864" w:val="clear"/>
          </w:tcPr>
          <w:p>
            <w:r>
              <w:rPr>
                <w:rFonts w:ascii="Calibri" w:cs="Calibri" w:eastAsia="Calibri" w:hAnsi="Calibri"/>
                <w:b/>
                <w:bCs/>
                <w:color w:val="FFFFFF"/>
                <w:sz w:val="19"/>
                <w:szCs w:val="19"/>
              </w:rPr>
              <w:t xml:space="preserve">EWS Production Viability</w:t>
            </w:r>
          </w:p>
        </w:tc>
      </w:tr>
      <w:tr>
        <w:tc>
          <w:tcPr>
            <w:tcW w:type="dxa" w:w="2500"/>
            <w:shd w:fill="D6E4F0" w:val="clear"/>
          </w:tcPr>
          <w:p>
            <w:r>
              <w:rPr>
                <w:rFonts w:ascii="Calibri" w:cs="Calibri" w:eastAsia="Calibri" w:hAnsi="Calibri"/>
                <w:sz w:val="19"/>
                <w:szCs w:val="19"/>
              </w:rPr>
              <w:t xml:space="preserve">Potassium chloride (KCl)</w:t>
            </w:r>
          </w:p>
        </w:tc>
        <w:tc>
          <w:tcPr>
            <w:tcW w:type="dxa" w:w="2500"/>
            <w:shd w:fill="D6E4F0" w:val="clear"/>
          </w:tcPr>
          <w:p>
            <w:r>
              <w:rPr>
                <w:rFonts w:ascii="Calibri" w:cs="Calibri" w:eastAsia="Calibri" w:hAnsi="Calibri"/>
                <w:sz w:val="19"/>
                <w:szCs w:val="19"/>
              </w:rPr>
              <w:t xml:space="preserve">8.4–9.0</w:t>
            </w:r>
          </w:p>
        </w:tc>
        <w:tc>
          <w:tcPr>
            <w:tcW w:type="dxa" w:w="3000"/>
            <w:shd w:fill="D6E4F0" w:val="clear"/>
          </w:tcPr>
          <w:p>
            <w:r>
              <w:rPr>
                <w:rFonts w:ascii="Calibri" w:cs="Calibri" w:eastAsia="Calibri" w:hAnsi="Calibri"/>
                <w:sz w:val="19"/>
                <w:szCs w:val="19"/>
              </w:rPr>
              <w:t xml:space="preserve">KCl</w:t>
            </w:r>
          </w:p>
        </w:tc>
        <w:tc>
          <w:tcPr>
            <w:tcW w:type="dxa" w:w="3000"/>
            <w:shd w:fill="D6E4F0" w:val="clear"/>
          </w:tcPr>
          <w:p>
            <w:r>
              <w:rPr>
                <w:rFonts w:ascii="Calibri" w:cs="Calibri" w:eastAsia="Calibri" w:hAnsi="Calibri"/>
                <w:sz w:val="19"/>
                <w:szCs w:val="19"/>
              </w:rPr>
              <w:t xml:space="preserve">Not relevant — too dilute. EWS brine
starts well above this range.</w:t>
            </w:r>
          </w:p>
        </w:tc>
      </w:tr>
      <w:tr>
        <w:tc>
          <w:tcPr>
            <w:tcW w:type="dxa" w:w="2500"/>
          </w:tcPr>
          <w:p>
            <w:r>
              <w:rPr>
                <w:rFonts w:ascii="Calibri" w:cs="Calibri" w:eastAsia="Calibri" w:hAnsi="Calibri"/>
                <w:sz w:val="19"/>
                <w:szCs w:val="19"/>
              </w:rPr>
              <w:t xml:space="preserve">Sodium chloride (NaCl)</w:t>
            </w:r>
          </w:p>
        </w:tc>
        <w:tc>
          <w:tcPr>
            <w:tcW w:type="dxa" w:w="2500"/>
          </w:tcPr>
          <w:p>
            <w:r>
              <w:rPr>
                <w:rFonts w:ascii="Calibri" w:cs="Calibri" w:eastAsia="Calibri" w:hAnsi="Calibri"/>
                <w:sz w:val="19"/>
                <w:szCs w:val="19"/>
              </w:rPr>
              <w:t xml:space="preserve">8.4–10.0</w:t>
            </w:r>
          </w:p>
        </w:tc>
        <w:tc>
          <w:tcPr>
            <w:tcW w:type="dxa" w:w="3000"/>
          </w:tcPr>
          <w:p>
            <w:r>
              <w:rPr>
                <w:rFonts w:ascii="Calibri" w:cs="Calibri" w:eastAsia="Calibri" w:hAnsi="Calibri"/>
                <w:sz w:val="19"/>
                <w:szCs w:val="19"/>
              </w:rPr>
              <w:t xml:space="preserve">NaCl</w:t>
            </w:r>
          </w:p>
        </w:tc>
        <w:tc>
          <w:tcPr>
            <w:tcW w:type="dxa" w:w="3000"/>
          </w:tcPr>
          <w:p>
            <w:r>
              <w:rPr>
                <w:rFonts w:ascii="Calibri" w:cs="Calibri" w:eastAsia="Calibri" w:hAnsi="Calibri"/>
                <w:sz w:val="19"/>
                <w:szCs w:val="19"/>
              </w:rPr>
              <w:t xml:space="preserve">EWS brine at 50% evap achieves this.
Lowest value tier. Baseline case.</w:t>
            </w:r>
          </w:p>
        </w:tc>
      </w:tr>
      <w:tr>
        <w:tc>
          <w:tcPr>
            <w:tcW w:type="dxa" w:w="2500"/>
            <w:shd w:fill="D6E4F0" w:val="clear"/>
          </w:tcPr>
          <w:p>
            <w:r>
              <w:rPr>
                <w:rFonts w:ascii="Calibri" w:cs="Calibri" w:eastAsia="Calibri" w:hAnsi="Calibri"/>
                <w:sz w:val="19"/>
                <w:szCs w:val="19"/>
              </w:rPr>
              <w:t xml:space="preserve">Sodium bromide (NaBr)</w:t>
            </w:r>
          </w:p>
        </w:tc>
        <w:tc>
          <w:tcPr>
            <w:tcW w:type="dxa" w:w="2500"/>
            <w:shd w:fill="D6E4F0" w:val="clear"/>
          </w:tcPr>
          <w:p>
            <w:r>
              <w:rPr>
                <w:rFonts w:ascii="Calibri" w:cs="Calibri" w:eastAsia="Calibri" w:hAnsi="Calibri"/>
                <w:sz w:val="19"/>
                <w:szCs w:val="19"/>
              </w:rPr>
              <w:t xml:space="preserve">8.4–12.5</w:t>
            </w:r>
          </w:p>
        </w:tc>
        <w:tc>
          <w:tcPr>
            <w:tcW w:type="dxa" w:w="3000"/>
            <w:shd w:fill="D6E4F0" w:val="clear"/>
          </w:tcPr>
          <w:p>
            <w:r>
              <w:rPr>
                <w:rFonts w:ascii="Calibri" w:cs="Calibri" w:eastAsia="Calibri" w:hAnsi="Calibri"/>
                <w:sz w:val="19"/>
                <w:szCs w:val="19"/>
              </w:rPr>
              <w:t xml:space="preserve">NaBr</w:t>
            </w:r>
          </w:p>
        </w:tc>
        <w:tc>
          <w:tcPr>
            <w:tcW w:type="dxa" w:w="3000"/>
            <w:shd w:fill="D6E4F0" w:val="clear"/>
          </w:tcPr>
          <w:p>
            <w:r>
              <w:rPr>
                <w:rFonts w:ascii="Calibri" w:cs="Calibri" w:eastAsia="Calibri" w:hAnsi="Calibri"/>
                <w:sz w:val="19"/>
                <w:szCs w:val="19"/>
              </w:rPr>
              <w:t xml:space="preserve">Requires bromine from mineral extraction.
Mid-tier value. 0.5% of Permian wells.</w:t>
            </w:r>
          </w:p>
        </w:tc>
      </w:tr>
      <w:tr>
        <w:tc>
          <w:tcPr>
            <w:tcW w:type="dxa" w:w="2500"/>
          </w:tcPr>
          <w:p>
            <w:r>
              <w:rPr>
                <w:rFonts w:ascii="Calibri" w:cs="Calibri" w:eastAsia="Calibri" w:hAnsi="Calibri"/>
                <w:sz w:val="19"/>
                <w:szCs w:val="19"/>
              </w:rPr>
              <w:t xml:space="preserve">Calcium chloride (CaCl₂)</w:t>
            </w:r>
          </w:p>
        </w:tc>
        <w:tc>
          <w:tcPr>
            <w:tcW w:type="dxa" w:w="2500"/>
          </w:tcPr>
          <w:p>
            <w:r>
              <w:rPr>
                <w:rFonts w:ascii="Calibri" w:cs="Calibri" w:eastAsia="Calibri" w:hAnsi="Calibri"/>
                <w:sz w:val="19"/>
                <w:szCs w:val="19"/>
              </w:rPr>
              <w:t xml:space="preserve">8.5–11.6</w:t>
            </w:r>
          </w:p>
        </w:tc>
        <w:tc>
          <w:tcPr>
            <w:tcW w:type="dxa" w:w="3000"/>
          </w:tcPr>
          <w:p>
            <w:r>
              <w:rPr>
                <w:rFonts w:ascii="Calibri" w:cs="Calibri" w:eastAsia="Calibri" w:hAnsi="Calibri"/>
                <w:sz w:val="19"/>
                <w:szCs w:val="19"/>
              </w:rPr>
              <w:t xml:space="preserve">CaCl₂</w:t>
            </w:r>
          </w:p>
        </w:tc>
        <w:tc>
          <w:tcPr>
            <w:tcW w:type="dxa" w:w="3000"/>
          </w:tcPr>
          <w:p>
            <w:r>
              <w:rPr>
                <w:rFonts w:ascii="Calibri" w:cs="Calibri" w:eastAsia="Calibri" w:hAnsi="Calibri"/>
                <w:sz w:val="19"/>
                <w:szCs w:val="19"/>
              </w:rPr>
              <w:t xml:space="preserve">EWS SWEET SPOT. 62.8% of Permian wells
at 70% evap. No imported salt needed.</w:t>
            </w:r>
          </w:p>
        </w:tc>
      </w:tr>
      <w:tr>
        <w:tc>
          <w:tcPr>
            <w:tcW w:type="dxa" w:w="2500"/>
            <w:shd w:fill="D6E4F0" w:val="clear"/>
          </w:tcPr>
          <w:p>
            <w:r>
              <w:rPr>
                <w:rFonts w:ascii="Calibri" w:cs="Calibri" w:eastAsia="Calibri" w:hAnsi="Calibri"/>
                <w:sz w:val="19"/>
                <w:szCs w:val="19"/>
              </w:rPr>
              <w:t xml:space="preserve">Calcium bromide (CaBr₂)</w:t>
            </w:r>
          </w:p>
        </w:tc>
        <w:tc>
          <w:tcPr>
            <w:tcW w:type="dxa" w:w="2500"/>
            <w:shd w:fill="D6E4F0" w:val="clear"/>
          </w:tcPr>
          <w:p>
            <w:r>
              <w:rPr>
                <w:rFonts w:ascii="Calibri" w:cs="Calibri" w:eastAsia="Calibri" w:hAnsi="Calibri"/>
                <w:sz w:val="19"/>
                <w:szCs w:val="19"/>
              </w:rPr>
              <w:t xml:space="preserve">11.0–14.2</w:t>
            </w:r>
          </w:p>
        </w:tc>
        <w:tc>
          <w:tcPr>
            <w:tcW w:type="dxa" w:w="3000"/>
            <w:shd w:fill="D6E4F0" w:val="clear"/>
          </w:tcPr>
          <w:p>
            <w:r>
              <w:rPr>
                <w:rFonts w:ascii="Calibri" w:cs="Calibri" w:eastAsia="Calibri" w:hAnsi="Calibri"/>
                <w:sz w:val="19"/>
                <w:szCs w:val="19"/>
              </w:rPr>
              <w:t xml:space="preserve">CaBr₂</w:t>
            </w:r>
          </w:p>
        </w:tc>
        <w:tc>
          <w:tcPr>
            <w:tcW w:type="dxa" w:w="3000"/>
            <w:shd w:fill="D6E4F0" w:val="clear"/>
          </w:tcPr>
          <w:p>
            <w:r>
              <w:rPr>
                <w:rFonts w:ascii="Calibri" w:cs="Calibri" w:eastAsia="Calibri" w:hAnsi="Calibri"/>
                <w:sz w:val="19"/>
                <w:szCs w:val="19"/>
              </w:rPr>
              <w:t xml:space="preserve">Requires bromine extraction. Premium pricing.
0.05% of Permian wells naturally. Must
formulate with extracted Br.</w:t>
            </w:r>
          </w:p>
        </w:tc>
      </w:tr>
      <w:tr>
        <w:tc>
          <w:tcPr>
            <w:tcW w:type="dxa" w:w="2500"/>
          </w:tcPr>
          <w:p>
            <w:r>
              <w:rPr>
                <w:rFonts w:ascii="Calibri" w:cs="Calibri" w:eastAsia="Calibri" w:hAnsi="Calibri"/>
                <w:sz w:val="19"/>
                <w:szCs w:val="19"/>
              </w:rPr>
              <w:t xml:space="preserve">Calcium chloride/
bromide blends</w:t>
            </w:r>
          </w:p>
        </w:tc>
        <w:tc>
          <w:tcPr>
            <w:tcW w:type="dxa" w:w="2500"/>
          </w:tcPr>
          <w:p>
            <w:r>
              <w:rPr>
                <w:rFonts w:ascii="Calibri" w:cs="Calibri" w:eastAsia="Calibri" w:hAnsi="Calibri"/>
                <w:sz w:val="19"/>
                <w:szCs w:val="19"/>
              </w:rPr>
              <w:t xml:space="preserve">11.6–14.2</w:t>
            </w:r>
          </w:p>
        </w:tc>
        <w:tc>
          <w:tcPr>
            <w:tcW w:type="dxa" w:w="3000"/>
          </w:tcPr>
          <w:p>
            <w:r>
              <w:rPr>
                <w:rFonts w:ascii="Calibri" w:cs="Calibri" w:eastAsia="Calibri" w:hAnsi="Calibri"/>
                <w:sz w:val="19"/>
                <w:szCs w:val="19"/>
              </w:rPr>
              <w:t xml:space="preserve">CaCl₂ + CaBr₂</w:t>
            </w:r>
          </w:p>
        </w:tc>
        <w:tc>
          <w:tcPr>
            <w:tcW w:type="dxa" w:w="3000"/>
          </w:tcPr>
          <w:p>
            <w:r>
              <w:rPr>
                <w:rFonts w:ascii="Calibri" w:cs="Calibri" w:eastAsia="Calibri" w:hAnsi="Calibri"/>
                <w:sz w:val="19"/>
                <w:szCs w:val="19"/>
              </w:rPr>
              <w:t xml:space="preserve">Mixed salt. EWS could formulate from
concentrated CaCl₂ brine + extracted bromine.</w:t>
            </w:r>
          </w:p>
        </w:tc>
      </w:tr>
      <w:tr>
        <w:tc>
          <w:tcPr>
            <w:tcW w:type="dxa" w:w="2500"/>
            <w:shd w:fill="D6E4F0" w:val="clear"/>
          </w:tcPr>
          <w:p>
            <w:r>
              <w:rPr>
                <w:rFonts w:ascii="Calibri" w:cs="Calibri" w:eastAsia="Calibri" w:hAnsi="Calibri"/>
                <w:sz w:val="19"/>
                <w:szCs w:val="19"/>
              </w:rPr>
              <w:t xml:space="preserve">Zinc bromide (ZnBr₂)</w:t>
            </w:r>
          </w:p>
        </w:tc>
        <w:tc>
          <w:tcPr>
            <w:tcW w:type="dxa" w:w="2500"/>
            <w:shd w:fill="D6E4F0" w:val="clear"/>
          </w:tcPr>
          <w:p>
            <w:r>
              <w:rPr>
                <w:rFonts w:ascii="Calibri" w:cs="Calibri" w:eastAsia="Calibri" w:hAnsi="Calibri"/>
                <w:sz w:val="19"/>
                <w:szCs w:val="19"/>
              </w:rPr>
              <w:t xml:space="preserve">14.2–19.2</w:t>
            </w:r>
          </w:p>
        </w:tc>
        <w:tc>
          <w:tcPr>
            <w:tcW w:type="dxa" w:w="3000"/>
            <w:shd w:fill="D6E4F0" w:val="clear"/>
          </w:tcPr>
          <w:p>
            <w:r>
              <w:rPr>
                <w:rFonts w:ascii="Calibri" w:cs="Calibri" w:eastAsia="Calibri" w:hAnsi="Calibri"/>
                <w:sz w:val="19"/>
                <w:szCs w:val="19"/>
              </w:rPr>
              <w:t xml:space="preserve">CaBr₂ + ZnBr₂</w:t>
            </w:r>
          </w:p>
        </w:tc>
        <w:tc>
          <w:tcPr>
            <w:tcW w:type="dxa" w:w="3000"/>
            <w:shd w:fill="D6E4F0" w:val="clear"/>
          </w:tcPr>
          <w:p>
            <w:r>
              <w:rPr>
                <w:rFonts w:ascii="Calibri" w:cs="Calibri" w:eastAsia="Calibri" w:hAnsi="Calibri"/>
                <w:sz w:val="19"/>
                <w:szCs w:val="19"/>
              </w:rPr>
              <w:t xml:space="preserve">Highest density. Zinc is toxic — TETRA's
zinc-free fluids are a differentiator. EWS
should NOT pursue zinc.</w:t>
            </w:r>
          </w:p>
        </w:tc>
      </w:tr>
      <w:tr>
        <w:tc>
          <w:tcPr>
            <w:tcW w:type="dxa" w:w="2500"/>
          </w:tcPr>
          <w:p>
            <w:r>
              <w:rPr>
                <w:rFonts w:ascii="Calibri" w:cs="Calibri" w:eastAsia="Calibri" w:hAnsi="Calibri"/>
                <w:sz w:val="19"/>
                <w:szCs w:val="19"/>
              </w:rPr>
              <w:t xml:space="preserve">Cesium formate</w:t>
            </w:r>
          </w:p>
        </w:tc>
        <w:tc>
          <w:tcPr>
            <w:tcW w:type="dxa" w:w="2500"/>
          </w:tcPr>
          <w:p>
            <w:r>
              <w:rPr>
                <w:rFonts w:ascii="Calibri" w:cs="Calibri" w:eastAsia="Calibri" w:hAnsi="Calibri"/>
                <w:sz w:val="19"/>
                <w:szCs w:val="19"/>
              </w:rPr>
              <w:t xml:space="preserve">Up to 19.2+</w:t>
            </w:r>
          </w:p>
        </w:tc>
        <w:tc>
          <w:tcPr>
            <w:tcW w:type="dxa" w:w="3000"/>
          </w:tcPr>
          <w:p>
            <w:r>
              <w:rPr>
                <w:rFonts w:ascii="Calibri" w:cs="Calibri" w:eastAsia="Calibri" w:hAnsi="Calibri"/>
                <w:sz w:val="19"/>
                <w:szCs w:val="19"/>
              </w:rPr>
              <w:t xml:space="preserve">CsCOOH</w:t>
            </w:r>
          </w:p>
        </w:tc>
        <w:tc>
          <w:tcPr>
            <w:tcW w:type="dxa" w:w="3000"/>
          </w:tcPr>
          <w:p>
            <w:r>
              <w:rPr>
                <w:rFonts w:ascii="Calibri" w:cs="Calibri" w:eastAsia="Calibri" w:hAnsi="Calibri"/>
                <w:sz w:val="19"/>
                <w:szCs w:val="19"/>
              </w:rPr>
              <w:t xml:space="preserve">Niche HPHT. Not relevant to Permian.</w:t>
            </w:r>
          </w:p>
        </w:tc>
      </w:tr>
    </w:tbl>
    <w:p>
      <w:pPr>
        <w:spacing w:after="200"/>
      </w:pPr>
    </w:p>
    <w:p>
      <w:r>
        <w:br w:type="page"/>
      </w:r>
    </w:p>
    <w:p>
      <w:pPr>
        <w:pStyle w:val="Heading1"/>
        <w:spacing w:after="150" w:before="300"/>
      </w:pPr>
      <w:r>
        <w:rPr>
          <w:rFonts w:ascii="Calibri" w:cs="Calibri" w:eastAsia="Calibri" w:hAnsi="Calibri"/>
          <w:b/>
          <w:bCs/>
          <w:color w:val="1F3864"/>
          <w:sz w:val="28"/>
          <w:szCs w:val="28"/>
        </w:rPr>
        <w:t xml:space="preserve">3. Conditioning Process — From VOX Output to Spec Brine</w:t>
      </w:r>
    </w:p>
    <w:p>
      <w:pPr>
        <w:pStyle w:val="Heading2"/>
        <w:spacing w:after="100" w:before="240"/>
      </w:pPr>
      <w:r>
        <w:rPr>
          <w:rFonts w:ascii="Calibri" w:cs="Calibri" w:eastAsia="Calibri" w:hAnsi="Calibri"/>
          <w:b/>
          <w:bCs/>
          <w:color w:val="2E75B6"/>
          <w:sz w:val="24"/>
          <w:szCs w:val="24"/>
        </w:rPr>
        <w:t xml:space="preserve">3.1 Current VOX Output State</w:t>
      </w:r>
    </w:p>
    <w:p>
      <w:pPr>
        <w:pStyle w:val="ListParagraph"/>
        <w:numPr>
          <w:ilvl w:val="0"/>
          <w:numId w:val="1"/>
        </w:numPr>
        <w:spacing w:after="60"/>
      </w:pPr>
      <w:r>
        <w:rPr>
          <w:rFonts w:ascii="Calibri" w:cs="Calibri" w:eastAsia="Calibri" w:hAnsi="Calibri"/>
          <w:sz w:val="21"/>
          <w:szCs w:val="21"/>
        </w:rPr>
        <w:t xml:space="preserve">Temperature: 80–90°C (operating temp at tower base).</w:t>
      </w:r>
    </w:p>
    <w:p>
      <w:pPr>
        <w:pStyle w:val="ListParagraph"/>
        <w:numPr>
          <w:ilvl w:val="0"/>
          <w:numId w:val="1"/>
        </w:numPr>
        <w:spacing w:after="60"/>
      </w:pPr>
      <w:r>
        <w:rPr>
          <w:rFonts w:ascii="Calibri" w:cs="Calibri" w:eastAsia="Calibri" w:hAnsi="Calibri"/>
          <w:sz w:val="21"/>
          <w:szCs w:val="21"/>
        </w:rPr>
        <w:t xml:space="preserve">Density: 9.9 ppg median (at 70% evap of median Permian feed). Can go higher with more evaporation.</w:t>
      </w:r>
    </w:p>
    <w:p>
      <w:pPr>
        <w:pStyle w:val="ListParagraph"/>
        <w:numPr>
          <w:ilvl w:val="0"/>
          <w:numId w:val="1"/>
        </w:numPr>
        <w:spacing w:after="60"/>
      </w:pPr>
      <w:r>
        <w:rPr>
          <w:rFonts w:ascii="Calibri" w:cs="Calibri" w:eastAsia="Calibri" w:hAnsi="Calibri"/>
          <w:sz w:val="21"/>
          <w:szCs w:val="21"/>
        </w:rPr>
        <w:t xml:space="preserve">Solids: Precipitated CaSO₄ (gypsum), BaSO₄ (barite), SrSO₄ (celestite), possibly NaCl (halite) at &gt;85% evap.</w:t>
      </w:r>
    </w:p>
    <w:p>
      <w:pPr>
        <w:pStyle w:val="ListParagraph"/>
        <w:numPr>
          <w:ilvl w:val="0"/>
          <w:numId w:val="1"/>
        </w:numPr>
        <w:spacing w:after="60"/>
      </w:pPr>
      <w:r>
        <w:rPr>
          <w:rFonts w:ascii="Calibri" w:cs="Calibri" w:eastAsia="Calibri" w:hAnsi="Calibri"/>
          <w:sz w:val="21"/>
          <w:szCs w:val="21"/>
        </w:rPr>
        <w:t xml:space="preserve">pH: Likely 4–6 due to HCl generation from MgCl₂/CaCl₂ hydrolysis (not neutral as feed water).</w:t>
      </w:r>
    </w:p>
    <w:p>
      <w:pPr>
        <w:pStyle w:val="ListParagraph"/>
        <w:numPr>
          <w:ilvl w:val="0"/>
          <w:numId w:val="1"/>
        </w:numPr>
        <w:spacing w:after="60"/>
      </w:pPr>
      <w:r>
        <w:rPr>
          <w:rFonts w:ascii="Calibri" w:cs="Calibri" w:eastAsia="Calibri" w:hAnsi="Calibri"/>
          <w:sz w:val="21"/>
          <w:szCs w:val="21"/>
        </w:rPr>
        <w:t xml:space="preserve">Iron: ~56 mg/L (from 17 mg/L feed × 3.3× concentration).</w:t>
      </w:r>
    </w:p>
    <w:p>
      <w:pPr>
        <w:pStyle w:val="Heading2"/>
        <w:spacing w:after="100" w:before="240"/>
      </w:pPr>
      <w:r>
        <w:rPr>
          <w:rFonts w:ascii="Calibri" w:cs="Calibri" w:eastAsia="Calibri" w:hAnsi="Calibri"/>
          <w:b/>
          <w:bCs/>
          <w:color w:val="2E75B6"/>
          <w:sz w:val="24"/>
          <w:szCs w:val="24"/>
        </w:rPr>
        <w:t xml:space="preserve">3.2 Required Unit Operations (in order)</w:t>
      </w:r>
    </w:p>
    <w:p>
      <w:pPr>
        <w:spacing w:after="120"/>
      </w:pPr>
      <w:r>
        <w:rPr>
          <w:rFonts w:ascii="Calibri" w:cs="Calibri" w:eastAsia="Calibri" w:hAnsi="Calibri"/>
          <w:b/>
          <w:bCs/>
          <w:sz w:val="21"/>
          <w:szCs w:val="21"/>
        </w:rPr>
        <w:t xml:space="preserve">These are standard oilfield unit operations. No novel technology required. System can be skid-mounted.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500"/>
        <w:gridCol w:w="3000"/>
        <w:gridCol w:w="2000"/>
      </w:tblGrid>
      <w:tr>
        <w:tc>
          <w:tcPr>
            <w:tcW w:type="dxa" w:w="1200"/>
            <w:shd w:fill="1F3864" w:val="clear"/>
          </w:tcPr>
          <w:p>
            <w:r>
              <w:rPr>
                <w:rFonts w:ascii="Calibri" w:cs="Calibri" w:eastAsia="Calibri" w:hAnsi="Calibri"/>
                <w:b/>
                <w:bCs/>
                <w:color w:val="FFFFFF"/>
                <w:sz w:val="19"/>
                <w:szCs w:val="19"/>
              </w:rPr>
              <w:t xml:space="preserve">Step</w:t>
            </w:r>
          </w:p>
        </w:tc>
        <w:tc>
          <w:tcPr>
            <w:tcW w:type="dxa" w:w="2500"/>
            <w:shd w:fill="1F3864" w:val="clear"/>
          </w:tcPr>
          <w:p>
            <w:r>
              <w:rPr>
                <w:rFonts w:ascii="Calibri" w:cs="Calibri" w:eastAsia="Calibri" w:hAnsi="Calibri"/>
                <w:b/>
                <w:bCs/>
                <w:color w:val="FFFFFF"/>
                <w:sz w:val="19"/>
                <w:szCs w:val="19"/>
              </w:rPr>
              <w:t xml:space="preserve">Operation</w:t>
            </w:r>
          </w:p>
        </w:tc>
        <w:tc>
          <w:tcPr>
            <w:tcW w:type="dxa" w:w="2500"/>
            <w:shd w:fill="1F3864" w:val="clear"/>
          </w:tcPr>
          <w:p>
            <w:r>
              <w:rPr>
                <w:rFonts w:ascii="Calibri" w:cs="Calibri" w:eastAsia="Calibri" w:hAnsi="Calibri"/>
                <w:b/>
                <w:bCs/>
                <w:color w:val="FFFFFF"/>
                <w:sz w:val="19"/>
                <w:szCs w:val="19"/>
              </w:rPr>
              <w:t xml:space="preserve">Equipment</w:t>
            </w:r>
          </w:p>
        </w:tc>
        <w:tc>
          <w:tcPr>
            <w:tcW w:type="dxa" w:w="3000"/>
            <w:shd w:fill="1F3864" w:val="clear"/>
          </w:tcPr>
          <w:p>
            <w:r>
              <w:rPr>
                <w:rFonts w:ascii="Calibri" w:cs="Calibri" w:eastAsia="Calibri" w:hAnsi="Calibri"/>
                <w:b/>
                <w:bCs/>
                <w:color w:val="FFFFFF"/>
                <w:sz w:val="19"/>
                <w:szCs w:val="19"/>
              </w:rPr>
              <w:t xml:space="preserve">Purpose</w:t>
            </w:r>
          </w:p>
        </w:tc>
        <w:tc>
          <w:tcPr>
            <w:tcW w:type="dxa" w:w="2000"/>
            <w:shd w:fill="1F3864" w:val="clear"/>
          </w:tcPr>
          <w:p>
            <w:r>
              <w:rPr>
                <w:rFonts w:ascii="Calibri" w:cs="Calibri" w:eastAsia="Calibri" w:hAnsi="Calibri"/>
                <w:b/>
                <w:bCs/>
                <w:color w:val="FFFFFF"/>
                <w:sz w:val="19"/>
                <w:szCs w:val="19"/>
              </w:rPr>
              <w:t xml:space="preserve">Est. Cost</w:t>
            </w:r>
          </w:p>
        </w:tc>
      </w:tr>
      <w:tr>
        <w:tc>
          <w:tcPr>
            <w:tcW w:type="dxa" w:w="1200"/>
            <w:shd w:fill="D6E4F0" w:val="clear"/>
          </w:tcPr>
          <w:p>
            <w:r>
              <w:rPr>
                <w:rFonts w:ascii="Calibri" w:cs="Calibri" w:eastAsia="Calibri" w:hAnsi="Calibri"/>
                <w:sz w:val="19"/>
                <w:szCs w:val="19"/>
              </w:rPr>
              <w:t xml:space="preserve">1</w:t>
            </w:r>
          </w:p>
        </w:tc>
        <w:tc>
          <w:tcPr>
            <w:tcW w:type="dxa" w:w="2500"/>
            <w:shd w:fill="D6E4F0" w:val="clear"/>
          </w:tcPr>
          <w:p>
            <w:r>
              <w:rPr>
                <w:rFonts w:ascii="Calibri" w:cs="Calibri" w:eastAsia="Calibri" w:hAnsi="Calibri"/>
                <w:sz w:val="19"/>
                <w:szCs w:val="19"/>
              </w:rPr>
              <w:t xml:space="preserve">Cooling</w:t>
            </w:r>
          </w:p>
        </w:tc>
        <w:tc>
          <w:tcPr>
            <w:tcW w:type="dxa" w:w="2500"/>
            <w:shd w:fill="D6E4F0" w:val="clear"/>
          </w:tcPr>
          <w:p>
            <w:r>
              <w:rPr>
                <w:rFonts w:ascii="Calibri" w:cs="Calibri" w:eastAsia="Calibri" w:hAnsi="Calibri"/>
                <w:sz w:val="19"/>
                <w:szCs w:val="19"/>
              </w:rPr>
              <w:t xml:space="preserve">Shell-and-tube or plate
heat exchanger</w:t>
            </w:r>
          </w:p>
        </w:tc>
        <w:tc>
          <w:tcPr>
            <w:tcW w:type="dxa" w:w="3000"/>
            <w:shd w:fill="D6E4F0" w:val="clear"/>
          </w:tcPr>
          <w:p>
            <w:r>
              <w:rPr>
                <w:rFonts w:ascii="Calibri" w:cs="Calibri" w:eastAsia="Calibri" w:hAnsi="Calibri"/>
                <w:sz w:val="19"/>
                <w:szCs w:val="19"/>
              </w:rPr>
              <w:t xml:space="preserve">Bring brine from 80–90°C
to ambient (&lt;40°C) for
safe handling and next steps</w:t>
            </w:r>
          </w:p>
        </w:tc>
        <w:tc>
          <w:tcPr>
            <w:tcW w:type="dxa" w:w="2000"/>
            <w:shd w:fill="D6E4F0" w:val="clear"/>
          </w:tcPr>
          <w:p>
            <w:r>
              <w:rPr>
                <w:rFonts w:ascii="Calibri" w:cs="Calibri" w:eastAsia="Calibri" w:hAnsi="Calibri"/>
                <w:sz w:val="19"/>
                <w:szCs w:val="19"/>
              </w:rPr>
              <w:t xml:space="preserve">$30–80K</w:t>
            </w:r>
          </w:p>
        </w:tc>
      </w:tr>
      <w:tr>
        <w:tc>
          <w:tcPr>
            <w:tcW w:type="dxa" w:w="1200"/>
          </w:tcPr>
          <w:p>
            <w:r>
              <w:rPr>
                <w:rFonts w:ascii="Calibri" w:cs="Calibri" w:eastAsia="Calibri" w:hAnsi="Calibri"/>
                <w:sz w:val="19"/>
                <w:szCs w:val="19"/>
              </w:rPr>
              <w:t xml:space="preserve">2</w:t>
            </w:r>
          </w:p>
        </w:tc>
        <w:tc>
          <w:tcPr>
            <w:tcW w:type="dxa" w:w="2500"/>
          </w:tcPr>
          <w:p>
            <w:r>
              <w:rPr>
                <w:rFonts w:ascii="Calibri" w:cs="Calibri" w:eastAsia="Calibri" w:hAnsi="Calibri"/>
                <w:sz w:val="19"/>
                <w:szCs w:val="19"/>
              </w:rPr>
              <w:t xml:space="preserve">Settling /
Coarse Filtration</w:t>
            </w:r>
          </w:p>
        </w:tc>
        <w:tc>
          <w:tcPr>
            <w:tcW w:type="dxa" w:w="2500"/>
          </w:tcPr>
          <w:p>
            <w:r>
              <w:rPr>
                <w:rFonts w:ascii="Calibri" w:cs="Calibri" w:eastAsia="Calibri" w:hAnsi="Calibri"/>
                <w:sz w:val="19"/>
                <w:szCs w:val="19"/>
              </w:rPr>
              <w:t xml:space="preserve">Settling tank +
bag filter (50–100 µm)</w:t>
            </w:r>
          </w:p>
        </w:tc>
        <w:tc>
          <w:tcPr>
            <w:tcW w:type="dxa" w:w="3000"/>
          </w:tcPr>
          <w:p>
            <w:r>
              <w:rPr>
                <w:rFonts w:ascii="Calibri" w:cs="Calibri" w:eastAsia="Calibri" w:hAnsi="Calibri"/>
                <w:sz w:val="19"/>
                <w:szCs w:val="19"/>
              </w:rPr>
              <w:t xml:space="preserve">Remove bulk precipitated
solids (gypsum, barite,
celestite)</w:t>
            </w:r>
          </w:p>
        </w:tc>
        <w:tc>
          <w:tcPr>
            <w:tcW w:type="dxa" w:w="2000"/>
          </w:tcPr>
          <w:p>
            <w:r>
              <w:rPr>
                <w:rFonts w:ascii="Calibri" w:cs="Calibri" w:eastAsia="Calibri" w:hAnsi="Calibri"/>
                <w:sz w:val="19"/>
                <w:szCs w:val="19"/>
              </w:rPr>
              <w:t xml:space="preserve">$20–50K
(tank + filters)</w:t>
            </w:r>
          </w:p>
        </w:tc>
      </w:tr>
      <w:tr>
        <w:tc>
          <w:tcPr>
            <w:tcW w:type="dxa" w:w="1200"/>
            <w:shd w:fill="D6E4F0" w:val="clear"/>
          </w:tcPr>
          <w:p>
            <w:r>
              <w:rPr>
                <w:rFonts w:ascii="Calibri" w:cs="Calibri" w:eastAsia="Calibri" w:hAnsi="Calibri"/>
                <w:sz w:val="19"/>
                <w:szCs w:val="19"/>
              </w:rPr>
              <w:t xml:space="preserve">3</w:t>
            </w:r>
          </w:p>
        </w:tc>
        <w:tc>
          <w:tcPr>
            <w:tcW w:type="dxa" w:w="2500"/>
            <w:shd w:fill="D6E4F0" w:val="clear"/>
          </w:tcPr>
          <w:p>
            <w:r>
              <w:rPr>
                <w:rFonts w:ascii="Calibri" w:cs="Calibri" w:eastAsia="Calibri" w:hAnsi="Calibri"/>
                <w:sz w:val="19"/>
                <w:szCs w:val="19"/>
              </w:rPr>
              <w:t xml:space="preserve">Fine Filtration</w:t>
            </w:r>
          </w:p>
        </w:tc>
        <w:tc>
          <w:tcPr>
            <w:tcW w:type="dxa" w:w="2500"/>
            <w:shd w:fill="D6E4F0" w:val="clear"/>
          </w:tcPr>
          <w:p>
            <w:r>
              <w:rPr>
                <w:rFonts w:ascii="Calibri" w:cs="Calibri" w:eastAsia="Calibri" w:hAnsi="Calibri"/>
                <w:sz w:val="19"/>
                <w:szCs w:val="19"/>
              </w:rPr>
              <w:t xml:space="preserve">Cartridge filter
(5–25 µm nominal)</w:t>
            </w:r>
          </w:p>
        </w:tc>
        <w:tc>
          <w:tcPr>
            <w:tcW w:type="dxa" w:w="3000"/>
            <w:shd w:fill="D6E4F0" w:val="clear"/>
          </w:tcPr>
          <w:p>
            <w:r>
              <w:rPr>
                <w:rFonts w:ascii="Calibri" w:cs="Calibri" w:eastAsia="Calibri" w:hAnsi="Calibri"/>
                <w:sz w:val="19"/>
                <w:szCs w:val="19"/>
              </w:rPr>
              <w:t xml:space="preserve">Achieve &lt;50 NTU clarity
per API RP 13J</w:t>
            </w:r>
          </w:p>
        </w:tc>
        <w:tc>
          <w:tcPr>
            <w:tcW w:type="dxa" w:w="2000"/>
            <w:shd w:fill="D6E4F0" w:val="clear"/>
          </w:tcPr>
          <w:p>
            <w:r>
              <w:rPr>
                <w:rFonts w:ascii="Calibri" w:cs="Calibri" w:eastAsia="Calibri" w:hAnsi="Calibri"/>
                <w:sz w:val="19"/>
                <w:szCs w:val="19"/>
              </w:rPr>
              <w:t xml:space="preserve">$15–30K
(vessel + elements)</w:t>
            </w:r>
          </w:p>
        </w:tc>
      </w:tr>
      <w:tr>
        <w:tc>
          <w:tcPr>
            <w:tcW w:type="dxa" w:w="1200"/>
          </w:tcPr>
          <w:p>
            <w:r>
              <w:rPr>
                <w:rFonts w:ascii="Calibri" w:cs="Calibri" w:eastAsia="Calibri" w:hAnsi="Calibri"/>
                <w:sz w:val="19"/>
                <w:szCs w:val="19"/>
              </w:rPr>
              <w:t xml:space="preserve">4</w:t>
            </w:r>
          </w:p>
        </w:tc>
        <w:tc>
          <w:tcPr>
            <w:tcW w:type="dxa" w:w="2500"/>
          </w:tcPr>
          <w:p>
            <w:r>
              <w:rPr>
                <w:rFonts w:ascii="Calibri" w:cs="Calibri" w:eastAsia="Calibri" w:hAnsi="Calibri"/>
                <w:sz w:val="19"/>
                <w:szCs w:val="19"/>
              </w:rPr>
              <w:t xml:space="preserve">pH Adjustment</w:t>
            </w:r>
          </w:p>
        </w:tc>
        <w:tc>
          <w:tcPr>
            <w:tcW w:type="dxa" w:w="2500"/>
          </w:tcPr>
          <w:p>
            <w:r>
              <w:rPr>
                <w:rFonts w:ascii="Calibri" w:cs="Calibri" w:eastAsia="Calibri" w:hAnsi="Calibri"/>
                <w:sz w:val="19"/>
                <w:szCs w:val="19"/>
              </w:rPr>
              <w:t xml:space="preserve">Chemical injection:
caustic soda (NaOH)
or hydrated lime</w:t>
            </w:r>
          </w:p>
        </w:tc>
        <w:tc>
          <w:tcPr>
            <w:tcW w:type="dxa" w:w="3000"/>
          </w:tcPr>
          <w:p>
            <w:r>
              <w:rPr>
                <w:rFonts w:ascii="Calibri" w:cs="Calibri" w:eastAsia="Calibri" w:hAnsi="Calibri"/>
                <w:sz w:val="19"/>
                <w:szCs w:val="19"/>
              </w:rPr>
              <w:t xml:space="preserve">Neutralize HCl from
evaporation, raise pH
to 6–9</w:t>
            </w:r>
          </w:p>
        </w:tc>
        <w:tc>
          <w:tcPr>
            <w:tcW w:type="dxa" w:w="2000"/>
          </w:tcPr>
          <w:p>
            <w:r>
              <w:rPr>
                <w:rFonts w:ascii="Calibri" w:cs="Calibri" w:eastAsia="Calibri" w:hAnsi="Calibri"/>
                <w:sz w:val="19"/>
                <w:szCs w:val="19"/>
              </w:rPr>
              <w:t xml:space="preserve">$10–20K
(tank + pump)</w:t>
            </w:r>
          </w:p>
        </w:tc>
      </w:tr>
      <w:tr>
        <w:tc>
          <w:tcPr>
            <w:tcW w:type="dxa" w:w="1200"/>
            <w:shd w:fill="D6E4F0" w:val="clear"/>
          </w:tcPr>
          <w:p>
            <w:r>
              <w:rPr>
                <w:rFonts w:ascii="Calibri" w:cs="Calibri" w:eastAsia="Calibri" w:hAnsi="Calibri"/>
                <w:sz w:val="19"/>
                <w:szCs w:val="19"/>
              </w:rPr>
              <w:t xml:space="preserve">5</w:t>
            </w:r>
          </w:p>
        </w:tc>
        <w:tc>
          <w:tcPr>
            <w:tcW w:type="dxa" w:w="2500"/>
            <w:shd w:fill="D6E4F0" w:val="clear"/>
          </w:tcPr>
          <w:p>
            <w:r>
              <w:rPr>
                <w:rFonts w:ascii="Calibri" w:cs="Calibri" w:eastAsia="Calibri" w:hAnsi="Calibri"/>
                <w:sz w:val="19"/>
                <w:szCs w:val="19"/>
              </w:rPr>
              <w:t xml:space="preserve">Density
Adjustment</w:t>
            </w:r>
          </w:p>
        </w:tc>
        <w:tc>
          <w:tcPr>
            <w:tcW w:type="dxa" w:w="2500"/>
            <w:shd w:fill="D6E4F0" w:val="clear"/>
          </w:tcPr>
          <w:p>
            <w:r>
              <w:rPr>
                <w:rFonts w:ascii="Calibri" w:cs="Calibri" w:eastAsia="Calibri" w:hAnsi="Calibri"/>
                <w:sz w:val="19"/>
                <w:szCs w:val="19"/>
              </w:rPr>
              <w:t xml:space="preserve">Dilution water or
additional evaporation</w:t>
            </w:r>
          </w:p>
        </w:tc>
        <w:tc>
          <w:tcPr>
            <w:tcW w:type="dxa" w:w="3000"/>
            <w:shd w:fill="D6E4F0" w:val="clear"/>
          </w:tcPr>
          <w:p>
            <w:r>
              <w:rPr>
                <w:rFonts w:ascii="Calibri" w:cs="Calibri" w:eastAsia="Calibri" w:hAnsi="Calibri"/>
                <w:sz w:val="19"/>
                <w:szCs w:val="19"/>
              </w:rPr>
              <w:t xml:space="preserve">Hit target ppg ±0.1.
Dilute if over-concentrated;
evaporate more if
under-concentrated.</w:t>
            </w:r>
          </w:p>
        </w:tc>
        <w:tc>
          <w:tcPr>
            <w:tcW w:type="dxa" w:w="2000"/>
            <w:shd w:fill="D6E4F0" w:val="clear"/>
          </w:tcPr>
          <w:p>
            <w:r>
              <w:rPr>
                <w:rFonts w:ascii="Calibri" w:cs="Calibri" w:eastAsia="Calibri" w:hAnsi="Calibri"/>
                <w:sz w:val="19"/>
                <w:szCs w:val="19"/>
              </w:rPr>
              <w:t xml:space="preserve">Included in
VOX op cost</w:t>
            </w:r>
          </w:p>
        </w:tc>
      </w:tr>
      <w:tr>
        <w:tc>
          <w:tcPr>
            <w:tcW w:type="dxa" w:w="1200"/>
          </w:tcPr>
          <w:p>
            <w:r>
              <w:rPr>
                <w:rFonts w:ascii="Calibri" w:cs="Calibri" w:eastAsia="Calibri" w:hAnsi="Calibri"/>
                <w:sz w:val="19"/>
                <w:szCs w:val="19"/>
              </w:rPr>
              <w:t xml:space="preserve">6</w:t>
            </w:r>
          </w:p>
        </w:tc>
        <w:tc>
          <w:tcPr>
            <w:tcW w:type="dxa" w:w="2500"/>
          </w:tcPr>
          <w:p>
            <w:r>
              <w:rPr>
                <w:rFonts w:ascii="Calibri" w:cs="Calibri" w:eastAsia="Calibri" w:hAnsi="Calibri"/>
                <w:sz w:val="19"/>
                <w:szCs w:val="19"/>
              </w:rPr>
              <w:t xml:space="preserve">Iron Removal
(if needed)</w:t>
            </w:r>
          </w:p>
        </w:tc>
        <w:tc>
          <w:tcPr>
            <w:tcW w:type="dxa" w:w="2500"/>
          </w:tcPr>
          <w:p>
            <w:r>
              <w:rPr>
                <w:rFonts w:ascii="Calibri" w:cs="Calibri" w:eastAsia="Calibri" w:hAnsi="Calibri"/>
                <w:sz w:val="19"/>
                <w:szCs w:val="19"/>
              </w:rPr>
              <w:t xml:space="preserve">Aeration + filtration
or chelation (EDTA)</w:t>
            </w:r>
          </w:p>
        </w:tc>
        <w:tc>
          <w:tcPr>
            <w:tcW w:type="dxa" w:w="3000"/>
          </w:tcPr>
          <w:p>
            <w:r>
              <w:rPr>
                <w:rFonts w:ascii="Calibri" w:cs="Calibri" w:eastAsia="Calibri" w:hAnsi="Calibri"/>
                <w:sz w:val="19"/>
                <w:szCs w:val="19"/>
              </w:rPr>
              <w:t xml:space="preserve">Remove dissolved iron
for sensitive formations.
May be optional.</w:t>
            </w:r>
          </w:p>
        </w:tc>
        <w:tc>
          <w:tcPr>
            <w:tcW w:type="dxa" w:w="2000"/>
          </w:tcPr>
          <w:p>
            <w:r>
              <w:rPr>
                <w:rFonts w:ascii="Calibri" w:cs="Calibri" w:eastAsia="Calibri" w:hAnsi="Calibri"/>
                <w:sz w:val="19"/>
                <w:szCs w:val="19"/>
              </w:rPr>
              <w:t xml:space="preserve">$15–25K</w:t>
            </w:r>
          </w:p>
        </w:tc>
      </w:tr>
      <w:tr>
        <w:tc>
          <w:tcPr>
            <w:tcW w:type="dxa" w:w="1200"/>
            <w:shd w:fill="D6E4F0" w:val="clear"/>
          </w:tcPr>
          <w:p>
            <w:r>
              <w:rPr>
                <w:rFonts w:ascii="Calibri" w:cs="Calibri" w:eastAsia="Calibri" w:hAnsi="Calibri"/>
                <w:sz w:val="19"/>
                <w:szCs w:val="19"/>
              </w:rPr>
              <w:t xml:space="preserve">7</w:t>
            </w:r>
          </w:p>
        </w:tc>
        <w:tc>
          <w:tcPr>
            <w:tcW w:type="dxa" w:w="2500"/>
            <w:shd w:fill="D6E4F0" w:val="clear"/>
          </w:tcPr>
          <w:p>
            <w:r>
              <w:rPr>
                <w:rFonts w:ascii="Calibri" w:cs="Calibri" w:eastAsia="Calibri" w:hAnsi="Calibri"/>
                <w:sz w:val="19"/>
                <w:szCs w:val="19"/>
              </w:rPr>
              <w:t xml:space="preserve">Biocide
Treatment</w:t>
            </w:r>
          </w:p>
        </w:tc>
        <w:tc>
          <w:tcPr>
            <w:tcW w:type="dxa" w:w="2500"/>
            <w:shd w:fill="D6E4F0" w:val="clear"/>
          </w:tcPr>
          <w:p>
            <w:r>
              <w:rPr>
                <w:rFonts w:ascii="Calibri" w:cs="Calibri" w:eastAsia="Calibri" w:hAnsi="Calibri"/>
                <w:sz w:val="19"/>
                <w:szCs w:val="19"/>
              </w:rPr>
              <w:t xml:space="preserve">Chemical injection:
glutaraldehyde or THPS</w:t>
            </w:r>
          </w:p>
        </w:tc>
        <w:tc>
          <w:tcPr>
            <w:tcW w:type="dxa" w:w="3000"/>
            <w:shd w:fill="D6E4F0" w:val="clear"/>
          </w:tcPr>
          <w:p>
            <w:r>
              <w:rPr>
                <w:rFonts w:ascii="Calibri" w:cs="Calibri" w:eastAsia="Calibri" w:hAnsi="Calibri"/>
                <w:sz w:val="19"/>
                <w:szCs w:val="19"/>
              </w:rPr>
              <w:t xml:space="preserve">Prevent bacterial growth
if brine stored before
use</w:t>
            </w:r>
          </w:p>
        </w:tc>
        <w:tc>
          <w:tcPr>
            <w:tcW w:type="dxa" w:w="2000"/>
            <w:shd w:fill="D6E4F0" w:val="clear"/>
          </w:tcPr>
          <w:p>
            <w:r>
              <w:rPr>
                <w:rFonts w:ascii="Calibri" w:cs="Calibri" w:eastAsia="Calibri" w:hAnsi="Calibri"/>
                <w:sz w:val="19"/>
                <w:szCs w:val="19"/>
              </w:rPr>
              <w:t xml:space="preserve">$5–10K</w:t>
            </w:r>
          </w:p>
        </w:tc>
      </w:tr>
      <w:tr>
        <w:tc>
          <w:tcPr>
            <w:tcW w:type="dxa" w:w="1200"/>
          </w:tcPr>
          <w:p>
            <w:r>
              <w:rPr>
                <w:rFonts w:ascii="Calibri" w:cs="Calibri" w:eastAsia="Calibri" w:hAnsi="Calibri"/>
                <w:sz w:val="19"/>
                <w:szCs w:val="19"/>
              </w:rPr>
              <w:t xml:space="preserve">8</w:t>
            </w:r>
          </w:p>
        </w:tc>
        <w:tc>
          <w:tcPr>
            <w:tcW w:type="dxa" w:w="2500"/>
          </w:tcPr>
          <w:p>
            <w:r>
              <w:rPr>
                <w:rFonts w:ascii="Calibri" w:cs="Calibri" w:eastAsia="Calibri" w:hAnsi="Calibri"/>
                <w:sz w:val="19"/>
                <w:szCs w:val="19"/>
              </w:rPr>
              <w:t xml:space="preserve">Quality Testing</w:t>
            </w:r>
          </w:p>
        </w:tc>
        <w:tc>
          <w:tcPr>
            <w:tcW w:type="dxa" w:w="2500"/>
          </w:tcPr>
          <w:p>
            <w:r>
              <w:rPr>
                <w:rFonts w:ascii="Calibri" w:cs="Calibri" w:eastAsia="Calibri" w:hAnsi="Calibri"/>
                <w:sz w:val="19"/>
                <w:szCs w:val="19"/>
              </w:rPr>
              <w:t xml:space="preserve">Mud balance, turbidimeter,
pH meter, filtration test</w:t>
            </w:r>
          </w:p>
        </w:tc>
        <w:tc>
          <w:tcPr>
            <w:tcW w:type="dxa" w:w="3000"/>
          </w:tcPr>
          <w:p>
            <w:r>
              <w:rPr>
                <w:rFonts w:ascii="Calibri" w:cs="Calibri" w:eastAsia="Calibri" w:hAnsi="Calibri"/>
                <w:sz w:val="19"/>
                <w:szCs w:val="19"/>
              </w:rPr>
              <w:t xml:space="preserve">Verify spec compliance
per ISO 13503-3/API RP 13J.
Per-batch QA/QC.</w:t>
            </w:r>
          </w:p>
        </w:tc>
        <w:tc>
          <w:tcPr>
            <w:tcW w:type="dxa" w:w="2000"/>
          </w:tcPr>
          <w:p>
            <w:r>
              <w:rPr>
                <w:rFonts w:ascii="Calibri" w:cs="Calibri" w:eastAsia="Calibri" w:hAnsi="Calibri"/>
                <w:sz w:val="19"/>
                <w:szCs w:val="19"/>
              </w:rPr>
              <w:t xml:space="preserve">$10–15K
(instruments)</w:t>
            </w:r>
          </w:p>
        </w:tc>
      </w:tr>
    </w:tbl>
    <w:p>
      <w:pPr>
        <w:spacing w:after="120"/>
      </w:pPr>
      <w:r>
        <w:rPr>
          <w:rFonts w:ascii="Calibri" w:cs="Calibri" w:eastAsia="Calibri" w:hAnsi="Calibri"/>
          <w:sz w:val="21"/>
          <w:szCs w:val="21"/>
        </w:rPr>
        <w:t xml:space="preserve"/>
      </w:r>
    </w:p>
    <w:p>
      <w:pPr>
        <w:spacing w:after="120"/>
      </w:pPr>
      <w:r>
        <w:rPr>
          <w:rFonts w:ascii="Calibri" w:cs="Calibri" w:eastAsia="Calibri" w:hAnsi="Calibri"/>
          <w:b/>
          <w:bCs/>
          <w:sz w:val="21"/>
          <w:szCs w:val="21"/>
        </w:rPr>
        <w:t xml:space="preserve">Total estimated conditioning skid cost: $150–250K per pad (1,000 bpd brine output).</w:t>
      </w:r>
      <w:r>
        <w:rPr>
          <w:rFonts w:ascii="Calibri" w:cs="Calibri" w:eastAsia="Calibri" w:hAnsi="Calibri"/>
          <w:sz w:val="21"/>
          <w:szCs w:val="21"/>
        </w:rPr>
        <w:t xml:space="preserve"> Range is wide because iron removal and fine filtration are site-specific. Get vendor quotes before locking the budget number.</w:t>
      </w:r>
    </w:p>
    <w:p>
      <w:pPr>
        <w:pStyle w:val="Heading2"/>
        <w:spacing w:after="100" w:before="240"/>
      </w:pPr>
      <w:r>
        <w:rPr>
          <w:rFonts w:ascii="Calibri" w:cs="Calibri" w:eastAsia="Calibri" w:hAnsi="Calibri"/>
          <w:b/>
          <w:bCs/>
          <w:color w:val="2E75B6"/>
          <w:sz w:val="24"/>
          <w:szCs w:val="24"/>
        </w:rPr>
        <w:t xml:space="preserve">3.3 Integration with Mineral Extraction</w:t>
      </w:r>
    </w:p>
    <w:p>
      <w:pPr>
        <w:spacing w:after="120"/>
      </w:pPr>
      <w:r>
        <w:rPr>
          <w:rFonts w:ascii="Calibri" w:cs="Calibri" w:eastAsia="Calibri" w:hAnsi="Calibri"/>
          <w:sz w:val="21"/>
          <w:szCs w:val="21"/>
        </w:rPr>
        <w:t xml:space="preserve">The conditioning step follows mineral extraction in the process flow. This is important for the proposal narrative:</w:t>
      </w:r>
    </w:p>
    <w:p>
      <w:pPr>
        <w:pStyle w:val="ListParagraph"/>
        <w:numPr>
          <w:ilvl w:val="0"/>
          <w:numId w:val="1"/>
        </w:numPr>
        <w:spacing w:after="60"/>
      </w:pPr>
      <w:r>
        <w:rPr>
          <w:rFonts w:ascii="Calibri" w:cs="Calibri" w:eastAsia="Calibri" w:hAnsi="Calibri"/>
          <w:sz w:val="21"/>
          <w:szCs w:val="21"/>
        </w:rPr>
        <w:t xml:space="preserve">1. VOX evaporation → concentrated brine (~285 g/L TDS)</w:t>
      </w:r>
    </w:p>
    <w:p>
      <w:pPr>
        <w:pStyle w:val="ListParagraph"/>
        <w:numPr>
          <w:ilvl w:val="0"/>
          <w:numId w:val="1"/>
        </w:numPr>
        <w:spacing w:after="60"/>
      </w:pPr>
      <w:r>
        <w:rPr>
          <w:rFonts w:ascii="Calibri" w:cs="Calibri" w:eastAsia="Calibri" w:hAnsi="Calibri"/>
          <w:sz w:val="21"/>
          <w:szCs w:val="21"/>
        </w:rPr>
        <w:t xml:space="preserve">2. Slipstream (100–200 bpd) → Neighbors/Hexagon media → iodine + bromine extraction</w:t>
      </w:r>
    </w:p>
    <w:p>
      <w:pPr>
        <w:pStyle w:val="ListParagraph"/>
        <w:numPr>
          <w:ilvl w:val="0"/>
          <w:numId w:val="1"/>
        </w:numPr>
        <w:spacing w:after="60"/>
      </w:pPr>
      <w:r>
        <w:rPr>
          <w:rFonts w:ascii="Calibri" w:cs="Calibri" w:eastAsia="Calibri" w:hAnsi="Calibri"/>
          <w:sz w:val="21"/>
          <w:szCs w:val="21"/>
        </w:rPr>
        <w:t xml:space="preserve">3. Main brine stream → conditioning skid (cool, filter, pH adjust, density trim)</w:t>
      </w:r>
    </w:p>
    <w:p>
      <w:pPr>
        <w:pStyle w:val="ListParagraph"/>
        <w:numPr>
          <w:ilvl w:val="0"/>
          <w:numId w:val="1"/>
        </w:numPr>
        <w:spacing w:after="60"/>
      </w:pPr>
      <w:r>
        <w:rPr>
          <w:rFonts w:ascii="Calibri" w:cs="Calibri" w:eastAsia="Calibri" w:hAnsi="Calibri"/>
          <w:sz w:val="21"/>
          <w:szCs w:val="21"/>
        </w:rPr>
        <w:t xml:space="preserve">4. Spec-grade kill brine → tank storage → truck to customer location</w:t>
      </w:r>
    </w:p>
    <w:p>
      <w:pPr>
        <w:pStyle w:val="ListParagraph"/>
        <w:numPr>
          <w:ilvl w:val="0"/>
          <w:numId w:val="1"/>
        </w:numPr>
        <w:spacing w:after="60"/>
      </w:pPr>
      <w:r>
        <w:rPr>
          <w:rFonts w:ascii="Calibri" w:cs="Calibri" w:eastAsia="Calibri" w:hAnsi="Calibri"/>
          <w:sz w:val="21"/>
          <w:szCs w:val="21"/>
        </w:rPr>
        <w:t xml:space="preserve">Critical unknown: Does iodine/bromine extraction change brine chemistry in ways that affect kill brine grade? Neighbors claims halogens are selectively removed (shouldn't strip Ca), but this needs verification with actual post-extraction brine samples.</w:t>
      </w:r>
    </w:p>
    <w:p>
      <w:pPr>
        <w:spacing w:after="200"/>
      </w:pPr>
    </w:p>
    <w:p>
      <w:r>
        <w:br w:type="page"/>
      </w:r>
    </w:p>
    <w:p>
      <w:pPr>
        <w:pStyle w:val="Heading1"/>
        <w:spacing w:after="150" w:before="300"/>
      </w:pPr>
      <w:r>
        <w:rPr>
          <w:rFonts w:ascii="Calibri" w:cs="Calibri" w:eastAsia="Calibri" w:hAnsi="Calibri"/>
          <w:b/>
          <w:bCs/>
          <w:color w:val="1F3864"/>
          <w:sz w:val="28"/>
          <w:szCs w:val="28"/>
        </w:rPr>
        <w:t xml:space="preserve">4. Potential Partners &amp; Consultant Targets</w:t>
      </w:r>
    </w:p>
    <w:p>
      <w:pPr>
        <w:pStyle w:val="Heading2"/>
        <w:spacing w:after="100" w:before="240"/>
      </w:pPr>
      <w:r>
        <w:rPr>
          <w:rFonts w:ascii="Calibri" w:cs="Calibri" w:eastAsia="Calibri" w:hAnsi="Calibri"/>
          <w:b/>
          <w:bCs/>
          <w:color w:val="2E75B6"/>
          <w:sz w:val="24"/>
          <w:szCs w:val="24"/>
        </w:rPr>
        <w:t xml:space="preserve">4.1 Completion Fluids Companies (Partner or Customer)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700"/>
      </w:tblGrid>
      <w:tr>
        <w:tc>
          <w:tcPr>
            <w:tcW w:type="dxa" w:w="1800"/>
            <w:shd w:fill="1F3864" w:val="clear"/>
          </w:tcPr>
          <w:p>
            <w:r>
              <w:rPr>
                <w:rFonts w:ascii="Calibri" w:cs="Calibri" w:eastAsia="Calibri" w:hAnsi="Calibri"/>
                <w:b/>
                <w:bCs/>
                <w:color w:val="FFFFFF"/>
                <w:sz w:val="19"/>
                <w:szCs w:val="19"/>
              </w:rPr>
              <w:t xml:space="preserve">Company</w:t>
            </w:r>
          </w:p>
        </w:tc>
        <w:tc>
          <w:tcPr>
            <w:tcW w:type="dxa" w:w="1500"/>
            <w:shd w:fill="1F3864" w:val="clear"/>
          </w:tcPr>
          <w:p>
            <w:r>
              <w:rPr>
                <w:rFonts w:ascii="Calibri" w:cs="Calibri" w:eastAsia="Calibri" w:hAnsi="Calibri"/>
                <w:b/>
                <w:bCs/>
                <w:color w:val="FFFFFF"/>
                <w:sz w:val="19"/>
                <w:szCs w:val="19"/>
              </w:rPr>
              <w:t xml:space="preserve">HQ</w:t>
            </w:r>
          </w:p>
        </w:tc>
        <w:tc>
          <w:tcPr>
            <w:tcW w:type="dxa" w:w="5700"/>
            <w:shd w:fill="1F3864" w:val="clear"/>
          </w:tcPr>
          <w:p>
            <w:r>
              <w:rPr>
                <w:rFonts w:ascii="Calibri" w:cs="Calibri" w:eastAsia="Calibri" w:hAnsi="Calibri"/>
                <w:b/>
                <w:bCs/>
                <w:color w:val="FFFFFF"/>
                <w:sz w:val="19"/>
                <w:szCs w:val="19"/>
              </w:rPr>
              <w:t xml:space="preserve">Approach</w:t>
            </w:r>
          </w:p>
        </w:tc>
      </w:tr>
      <w:tr>
        <w:tc>
          <w:tcPr>
            <w:tcW w:type="dxa" w:w="1800"/>
            <w:shd w:fill="D6E4F0" w:val="clear"/>
          </w:tcPr>
          <w:p>
            <w:r>
              <w:rPr>
                <w:rFonts w:ascii="Calibri" w:cs="Calibri" w:eastAsia="Calibri" w:hAnsi="Calibri"/>
                <w:sz w:val="19"/>
                <w:szCs w:val="19"/>
              </w:rPr>
              <w:t xml:space="preserve">TETRA Technologies</w:t>
            </w:r>
          </w:p>
        </w:tc>
        <w:tc>
          <w:tcPr>
            <w:tcW w:type="dxa" w:w="1500"/>
            <w:shd w:fill="D6E4F0" w:val="clear"/>
          </w:tcPr>
          <w:p>
            <w:r>
              <w:rPr>
                <w:rFonts w:ascii="Calibri" w:cs="Calibri" w:eastAsia="Calibri" w:hAnsi="Calibri"/>
                <w:sz w:val="19"/>
                <w:szCs w:val="19"/>
              </w:rPr>
              <w:t xml:space="preserve">The Woodlands, TX
(45 min from Tomball)</w:t>
            </w:r>
          </w:p>
        </w:tc>
        <w:tc>
          <w:tcPr>
            <w:tcW w:type="dxa" w:w="5700"/>
            <w:shd w:fill="D6E4F0" w:val="clear"/>
          </w:tcPr>
          <w:p>
            <w:r>
              <w:rPr>
                <w:rFonts w:ascii="Calibri" w:cs="Calibri" w:eastAsia="Calibri" w:hAnsi="Calibri"/>
                <w:sz w:val="19"/>
                <w:szCs w:val="19"/>
              </w:rPr>
              <w:t xml:space="preserve">Largest and most relevant. They manufacture their own CaCl₂ — EWS brine could be a feedstock. Brady Murphy, CEO. Approach: 'We're building a DOE-funded brine concentration platform. Your Arkansas bromine operation needs CaCl₂ feedstock — we can supply it from produced water at lower cost.'</w:t>
            </w:r>
          </w:p>
        </w:tc>
      </w:tr>
      <w:tr>
        <w:tc>
          <w:tcPr>
            <w:tcW w:type="dxa" w:w="1800"/>
          </w:tcPr>
          <w:p>
            <w:r>
              <w:rPr>
                <w:rFonts w:ascii="Calibri" w:cs="Calibri" w:eastAsia="Calibri" w:hAnsi="Calibri"/>
                <w:sz w:val="19"/>
                <w:szCs w:val="19"/>
              </w:rPr>
              <w:t xml:space="preserve">Newpark Resources</w:t>
            </w:r>
          </w:p>
        </w:tc>
        <w:tc>
          <w:tcPr>
            <w:tcW w:type="dxa" w:w="1500"/>
          </w:tcPr>
          <w:p>
            <w:r>
              <w:rPr>
                <w:rFonts w:ascii="Calibri" w:cs="Calibri" w:eastAsia="Calibri" w:hAnsi="Calibri"/>
                <w:sz w:val="19"/>
                <w:szCs w:val="19"/>
              </w:rPr>
              <w:t xml:space="preserve">The Woodlands, TX</w:t>
            </w:r>
          </w:p>
        </w:tc>
        <w:tc>
          <w:tcPr>
            <w:tcW w:type="dxa" w:w="5700"/>
          </w:tcPr>
          <w:p>
            <w:r>
              <w:rPr>
                <w:rFonts w:ascii="Calibri" w:cs="Calibri" w:eastAsia="Calibri" w:hAnsi="Calibri"/>
                <w:sz w:val="19"/>
                <w:szCs w:val="19"/>
              </w:rPr>
              <w:t xml:space="preserve">Smaller, more likely to partner. They sell filtration units for completion fluids — exactly the equipment EWS needs. Approach: 'We're piloting produced-water-to-kill-fluid. Your filtration units are the conditioning step. Partnership gets your equipment into a DOE-funded demonstration.'</w:t>
            </w:r>
          </w:p>
        </w:tc>
      </w:tr>
      <w:tr>
        <w:tc>
          <w:tcPr>
            <w:tcW w:type="dxa" w:w="1800"/>
            <w:shd w:fill="D6E4F0" w:val="clear"/>
          </w:tcPr>
          <w:p>
            <w:r>
              <w:rPr>
                <w:rFonts w:ascii="Calibri" w:cs="Calibri" w:eastAsia="Calibri" w:hAnsi="Calibri"/>
                <w:sz w:val="19"/>
                <w:szCs w:val="19"/>
              </w:rPr>
              <w:t xml:space="preserve">Albemarle</w:t>
            </w:r>
          </w:p>
        </w:tc>
        <w:tc>
          <w:tcPr>
            <w:tcW w:type="dxa" w:w="1500"/>
            <w:shd w:fill="D6E4F0" w:val="clear"/>
          </w:tcPr>
          <w:p>
            <w:r>
              <w:rPr>
                <w:rFonts w:ascii="Calibri" w:cs="Calibri" w:eastAsia="Calibri" w:hAnsi="Calibri"/>
                <w:sz w:val="19"/>
                <w:szCs w:val="19"/>
              </w:rPr>
              <w:t xml:space="preserve">Charlotte, NC</w:t>
            </w:r>
          </w:p>
        </w:tc>
        <w:tc>
          <w:tcPr>
            <w:tcW w:type="dxa" w:w="5700"/>
            <w:shd w:fill="D6E4F0" w:val="clear"/>
          </w:tcPr>
          <w:p>
            <w:r>
              <w:rPr>
                <w:rFonts w:ascii="Calibri" w:cs="Calibri" w:eastAsia="Calibri" w:hAnsi="Calibri"/>
                <w:sz w:val="19"/>
                <w:szCs w:val="19"/>
              </w:rPr>
              <w:t xml:space="preserve">If bromine extraction is the priority. WELLBROM products use their bromine — EWS could be a domestic bromine source. Approach: 'You import bromine from the Dead Sea and Chile. We can produce it domestically from Permian produced water.'</w:t>
            </w:r>
          </w:p>
        </w:tc>
      </w:tr>
      <w:tr>
        <w:tc>
          <w:tcPr>
            <w:tcW w:type="dxa" w:w="1800"/>
          </w:tcPr>
          <w:p>
            <w:r>
              <w:rPr>
                <w:rFonts w:ascii="Calibri" w:cs="Calibri" w:eastAsia="Calibri" w:hAnsi="Calibri"/>
                <w:sz w:val="19"/>
                <w:szCs w:val="19"/>
              </w:rPr>
              <w:t xml:space="preserve">Select Water
Solutions</w:t>
            </w:r>
          </w:p>
        </w:tc>
        <w:tc>
          <w:tcPr>
            <w:tcW w:type="dxa" w:w="1500"/>
          </w:tcPr>
          <w:p>
            <w:r>
              <w:rPr>
                <w:rFonts w:ascii="Calibri" w:cs="Calibri" w:eastAsia="Calibri" w:hAnsi="Calibri"/>
                <w:sz w:val="19"/>
                <w:szCs w:val="19"/>
              </w:rPr>
              <w:t xml:space="preserve">Houston, TX</w:t>
            </w:r>
          </w:p>
        </w:tc>
        <w:tc>
          <w:tcPr>
            <w:tcW w:type="dxa" w:w="5700"/>
          </w:tcPr>
          <w:p>
            <w:r>
              <w:rPr>
                <w:rFonts w:ascii="Calibri" w:cs="Calibri" w:eastAsia="Calibri" w:hAnsi="Calibri"/>
                <w:sz w:val="19"/>
                <w:szCs w:val="19"/>
              </w:rPr>
              <w:t xml:space="preserve">They already source produced water for fracs. EWS adds the concentration/mineral extraction layer. Potential: 'You source the water, we concentrate it, we both sell the brine.'</w:t>
            </w:r>
          </w:p>
        </w:tc>
      </w:tr>
    </w:tbl>
    <w:p>
      <w:pPr>
        <w:spacing w:after="150"/>
      </w:pPr>
    </w:p>
    <w:p>
      <w:pPr>
        <w:pStyle w:val="Heading2"/>
        <w:spacing w:after="100" w:before="240"/>
      </w:pPr>
      <w:r>
        <w:rPr>
          <w:rFonts w:ascii="Calibri" w:cs="Calibri" w:eastAsia="Calibri" w:hAnsi="Calibri"/>
          <w:b/>
          <w:bCs/>
          <w:color w:val="2E75B6"/>
          <w:sz w:val="24"/>
          <w:szCs w:val="24"/>
        </w:rPr>
        <w:t xml:space="preserve">4.2 Individual Consultants / Domain Experts</w:t>
      </w:r>
    </w:p>
    <w:p>
      <w:pPr>
        <w:spacing w:after="120"/>
      </w:pPr>
      <w:r>
        <w:rPr>
          <w:rFonts w:ascii="Calibri" w:cs="Calibri" w:eastAsia="Calibri" w:hAnsi="Calibri"/>
          <w:b/>
          <w:bCs/>
          <w:sz w:val="21"/>
          <w:szCs w:val="21"/>
        </w:rPr>
        <w:t xml:space="preserve">Target profile: </w:t>
      </w:r>
      <w:r>
        <w:rPr>
          <w:rFonts w:ascii="Calibri" w:cs="Calibri" w:eastAsia="Calibri" w:hAnsi="Calibri"/>
          <w:sz w:val="21"/>
          <w:szCs w:val="21"/>
        </w:rPr>
        <w:t xml:space="preserve">Completions engineer with 15+ years experience in completion fluid design, preferably with operating company or service company background. Needs to be willing to put resume/letter in the DOE proposal.</w:t>
      </w:r>
    </w:p>
    <w:p>
      <w:pPr>
        <w:pStyle w:val="ListParagraph"/>
        <w:numPr>
          <w:ilvl w:val="0"/>
          <w:numId w:val="1"/>
        </w:numPr>
        <w:spacing w:after="60"/>
      </w:pPr>
      <w:r>
        <w:rPr>
          <w:rFonts w:ascii="Calibri" w:cs="Calibri" w:eastAsia="Calibri" w:hAnsi="Calibri"/>
          <w:sz w:val="21"/>
          <w:szCs w:val="21"/>
        </w:rPr>
        <w:t xml:space="preserve">Path 1: Steep Shiner (EWS internal — inventor of the box, former completions engineer). Does he have contacts from his completions days?</w:t>
      </w:r>
    </w:p>
    <w:p>
      <w:pPr>
        <w:pStyle w:val="ListParagraph"/>
        <w:numPr>
          <w:ilvl w:val="0"/>
          <w:numId w:val="1"/>
        </w:numPr>
        <w:spacing w:after="60"/>
      </w:pPr>
      <w:r>
        <w:rPr>
          <w:rFonts w:ascii="Calibri" w:cs="Calibri" w:eastAsia="Calibri" w:hAnsi="Calibri"/>
          <w:sz w:val="21"/>
          <w:szCs w:val="21"/>
        </w:rPr>
        <w:t xml:space="preserve">Path 2: SPE Completions community. SPE Gulf Coast Section has a Completions Study Group. Reach out to chair for consultant referrals.</w:t>
      </w:r>
    </w:p>
    <w:p>
      <w:pPr>
        <w:pStyle w:val="ListParagraph"/>
        <w:numPr>
          <w:ilvl w:val="0"/>
          <w:numId w:val="1"/>
        </w:numPr>
        <w:spacing w:after="60"/>
      </w:pPr>
      <w:r>
        <w:rPr>
          <w:rFonts w:ascii="Calibri" w:cs="Calibri" w:eastAsia="Calibri" w:hAnsi="Calibri"/>
          <w:sz w:val="21"/>
          <w:szCs w:val="21"/>
        </w:rPr>
        <w:t xml:space="preserve">Path 3: Retired TETRA/Newpark/Baker Hughes completions engineers. These companies have been through multiple M&amp;A cycles — plenty of experienced people available for consulting.</w:t>
      </w:r>
    </w:p>
    <w:p>
      <w:pPr>
        <w:pStyle w:val="ListParagraph"/>
        <w:numPr>
          <w:ilvl w:val="0"/>
          <w:numId w:val="1"/>
        </w:numPr>
        <w:spacing w:after="60"/>
      </w:pPr>
      <w:r>
        <w:rPr>
          <w:rFonts w:ascii="Calibri" w:cs="Calibri" w:eastAsia="Calibri" w:hAnsi="Calibri"/>
          <w:sz w:val="21"/>
          <w:szCs w:val="21"/>
        </w:rPr>
        <w:t xml:space="preserve">Path 4: University of Texas Petroleum Engineering department — faculty with completion fluid research background. Dr. Mukul Sharma, Dr. Eric van Oort.</w:t>
      </w:r>
    </w:p>
    <w:p>
      <w:pPr>
        <w:pStyle w:val="ListParagraph"/>
        <w:numPr>
          <w:ilvl w:val="0"/>
          <w:numId w:val="1"/>
        </w:numPr>
        <w:spacing w:after="60"/>
      </w:pPr>
      <w:r>
        <w:rPr>
          <w:rFonts w:ascii="Calibri" w:cs="Calibri" w:eastAsia="Calibri" w:hAnsi="Calibri"/>
          <w:sz w:val="21"/>
          <w:szCs w:val="21"/>
        </w:rPr>
        <w:t xml:space="preserve">Path 5: LinkedIn search for "completion fluids consultant" or "brine specialist" in Houston/Austin/Midland. Dozens of independents.</w:t>
      </w:r>
    </w:p>
    <w:p>
      <w:pPr>
        <w:pStyle w:val="Heading2"/>
        <w:spacing w:after="100" w:before="240"/>
      </w:pPr>
      <w:r>
        <w:rPr>
          <w:rFonts w:ascii="Calibri" w:cs="Calibri" w:eastAsia="Calibri" w:hAnsi="Calibri"/>
          <w:b/>
          <w:bCs/>
          <w:color w:val="2E75B6"/>
          <w:sz w:val="24"/>
          <w:szCs w:val="24"/>
        </w:rPr>
        <w:t xml:space="preserve">4.3 What the Letter/Resume Needs to Say</w:t>
      </w:r>
    </w:p>
    <w:p>
      <w:pPr>
        <w:spacing w:after="120"/>
      </w:pPr>
      <w:r>
        <w:rPr>
          <w:rFonts w:ascii="Calibri" w:cs="Calibri" w:eastAsia="Calibri" w:hAnsi="Calibri"/>
          <w:sz w:val="21"/>
          <w:szCs w:val="21"/>
        </w:rPr>
        <w:t xml:space="preserve">For the DOE proposal, the consultant/partner letter should address:</w:t>
      </w:r>
    </w:p>
    <w:p>
      <w:pPr>
        <w:pStyle w:val="ListParagraph"/>
        <w:numPr>
          <w:ilvl w:val="0"/>
          <w:numId w:val="1"/>
        </w:numPr>
        <w:spacing w:after="60"/>
      </w:pPr>
      <w:r>
        <w:rPr>
          <w:rFonts w:ascii="Calibri" w:cs="Calibri" w:eastAsia="Calibri" w:hAnsi="Calibri"/>
          <w:sz w:val="21"/>
          <w:szCs w:val="21"/>
        </w:rPr>
        <w:t xml:space="preserve">1. Statement of qualifications in completion fluid design/formulation.</w:t>
      </w:r>
    </w:p>
    <w:p>
      <w:pPr>
        <w:pStyle w:val="ListParagraph"/>
        <w:numPr>
          <w:ilvl w:val="0"/>
          <w:numId w:val="1"/>
        </w:numPr>
        <w:spacing w:after="60"/>
      </w:pPr>
      <w:r>
        <w:rPr>
          <w:rFonts w:ascii="Calibri" w:cs="Calibri" w:eastAsia="Calibri" w:hAnsi="Calibri"/>
          <w:sz w:val="21"/>
          <w:szCs w:val="21"/>
        </w:rPr>
        <w:t xml:space="preserve">2. Acknowledgement of the EWS brine concentration approach and its viability for kill fluid production.</w:t>
      </w:r>
    </w:p>
    <w:p>
      <w:pPr>
        <w:pStyle w:val="ListParagraph"/>
        <w:numPr>
          <w:ilvl w:val="0"/>
          <w:numId w:val="1"/>
        </w:numPr>
        <w:spacing w:after="60"/>
      </w:pPr>
      <w:r>
        <w:rPr>
          <w:rFonts w:ascii="Calibri" w:cs="Calibri" w:eastAsia="Calibri" w:hAnsi="Calibri"/>
          <w:sz w:val="21"/>
          <w:szCs w:val="21"/>
        </w:rPr>
        <w:t xml:space="preserve">3. Commitment to provide technical oversight for brine conditioning to meet ISO 13503-3 / API RP 13J specs.</w:t>
      </w:r>
    </w:p>
    <w:p>
      <w:pPr>
        <w:pStyle w:val="ListParagraph"/>
        <w:numPr>
          <w:ilvl w:val="0"/>
          <w:numId w:val="1"/>
        </w:numPr>
        <w:spacing w:after="60"/>
      </w:pPr>
      <w:r>
        <w:rPr>
          <w:rFonts w:ascii="Calibri" w:cs="Calibri" w:eastAsia="Calibri" w:hAnsi="Calibri"/>
          <w:sz w:val="21"/>
          <w:szCs w:val="21"/>
        </w:rPr>
        <w:t xml:space="preserve">4. Description of testing protocol to validate brine quality (core flood, compatibility, density, clarity).</w:t>
      </w:r>
    </w:p>
    <w:p>
      <w:pPr>
        <w:pStyle w:val="ListParagraph"/>
        <w:numPr>
          <w:ilvl w:val="0"/>
          <w:numId w:val="1"/>
        </w:numPr>
        <w:spacing w:after="60"/>
      </w:pPr>
      <w:r>
        <w:rPr>
          <w:rFonts w:ascii="Calibri" w:cs="Calibri" w:eastAsia="Calibri" w:hAnsi="Calibri"/>
          <w:sz w:val="21"/>
          <w:szCs w:val="21"/>
        </w:rPr>
        <w:t xml:space="preserve">5. Role in techno-economic analysis: validating the market price and demand for the brine product.</w:t>
      </w:r>
    </w:p>
    <w:p>
      <w:pPr>
        <w:spacing w:after="200"/>
      </w:pPr>
    </w:p>
    <w:p>
      <w:pPr>
        <w:pStyle w:val="Heading1"/>
        <w:spacing w:after="150" w:before="300"/>
      </w:pPr>
      <w:r>
        <w:rPr>
          <w:rFonts w:ascii="Calibri" w:cs="Calibri" w:eastAsia="Calibri" w:hAnsi="Calibri"/>
          <w:b/>
          <w:bCs/>
          <w:color w:val="1F3864"/>
          <w:sz w:val="28"/>
          <w:szCs w:val="28"/>
        </w:rPr>
        <w:t xml:space="preserve">5. Permian Water Context — Why This Matters</w:t>
      </w:r>
    </w:p>
    <w:p>
      <w:pPr>
        <w:pStyle w:val="ListParagraph"/>
        <w:numPr>
          <w:ilvl w:val="0"/>
          <w:numId w:val="1"/>
        </w:numPr>
        <w:spacing w:after="60"/>
      </w:pPr>
      <w:r>
        <w:rPr>
          <w:rFonts w:ascii="Calibri" w:cs="Calibri" w:eastAsia="Calibri" w:hAnsi="Calibri"/>
          <w:sz w:val="21"/>
          <w:szCs w:val="21"/>
        </w:rPr>
        <w:t xml:space="preserve">Permian Basin produces 6+ million bopd (2024) and 20–30 million bpd of produced water (3–5× oil ratio; up to 10:1 in Delaware Basin).</w:t>
      </w:r>
    </w:p>
    <w:p>
      <w:pPr>
        <w:pStyle w:val="ListParagraph"/>
        <w:numPr>
          <w:ilvl w:val="0"/>
          <w:numId w:val="1"/>
        </w:numPr>
        <w:spacing w:after="60"/>
      </w:pPr>
      <w:r>
        <w:rPr>
          <w:rFonts w:ascii="Calibri" w:cs="Calibri" w:eastAsia="Calibri" w:hAnsi="Calibri"/>
          <w:sz w:val="21"/>
          <w:szCs w:val="21"/>
        </w:rPr>
        <w:t xml:space="preserve">Disposal capacity is tightening — injection constraints, seismicity regulations, and regulatory scrutiny on SWD wells.</w:t>
      </w:r>
    </w:p>
    <w:p>
      <w:pPr>
        <w:pStyle w:val="ListParagraph"/>
        <w:numPr>
          <w:ilvl w:val="0"/>
          <w:numId w:val="1"/>
        </w:numPr>
        <w:spacing w:after="60"/>
      </w:pPr>
      <w:r>
        <w:rPr>
          <w:rFonts w:ascii="Calibri" w:cs="Calibri" w:eastAsia="Calibri" w:hAnsi="Calibri"/>
          <w:sz w:val="21"/>
          <w:szCs w:val="21"/>
        </w:rPr>
        <w:t xml:space="preserve">Produced water reuse for completions is growing: operators now source 20–40% of frac water from produced water rather than freshwater.</w:t>
      </w:r>
    </w:p>
    <w:p>
      <w:pPr>
        <w:pStyle w:val="ListParagraph"/>
        <w:numPr>
          <w:ilvl w:val="0"/>
          <w:numId w:val="1"/>
        </w:numPr>
        <w:spacing w:after="60"/>
      </w:pPr>
      <w:r>
        <w:rPr>
          <w:rFonts w:ascii="Calibri" w:cs="Calibri" w:eastAsia="Calibri" w:hAnsi="Calibri"/>
          <w:sz w:val="21"/>
          <w:szCs w:val="21"/>
        </w:rPr>
        <w:t xml:space="preserve">EWS's value proposition to DOE: turn a disposal liability (produced water) into two revenue-generating products (minerals + kill brine) while reducing SWD injection volumes.</w:t>
      </w:r>
    </w:p>
    <w:p>
      <w:pPr>
        <w:pStyle w:val="ListParagraph"/>
        <w:numPr>
          <w:ilvl w:val="0"/>
          <w:numId w:val="1"/>
        </w:numPr>
        <w:spacing w:after="60"/>
      </w:pPr>
      <w:r>
        <w:rPr>
          <w:rFonts w:ascii="Calibri" w:cs="Calibri" w:eastAsia="Calibri" w:hAnsi="Calibri"/>
          <w:sz w:val="21"/>
          <w:szCs w:val="21"/>
        </w:rPr>
        <w:t xml:space="preserve">The 'beneficial reuse' narrative is exactly what DOE's water management funding priorities target.</w:t>
      </w:r>
    </w:p>
    <w:p>
      <w:pPr>
        <w:spacing w:after="300"/>
      </w:pPr>
    </w:p>
    <w:p>
      <w:pPr>
        <w:jc w:val="center"/>
      </w:pPr>
      <w:r>
        <w:rPr>
          <w:rFonts w:ascii="Calibri" w:cs="Calibri" w:eastAsia="Calibri" w:hAnsi="Calibri"/>
          <w:i/>
          <w:iCs/>
          <w:color w:val="808080"/>
          <w:sz w:val="16"/>
          <w:szCs w:val="16"/>
        </w:rPr>
        <w:t xml:space="preserve">Energy Water Solutions — CONFIDENTIAL — Kill Brine Research Findings  |  August 2026</w:t>
      </w:r>
    </w:p>
    <w:p>
      <w:pPr>
        <w:jc w:val="center"/>
      </w:pPr>
      <w:r>
        <w:rPr>
          <w:rFonts w:ascii="Calibri" w:cs="Calibri" w:eastAsia="Calibri" w:hAnsi="Calibri"/>
          <w:i/>
          <w:iCs/>
          <w:color w:val="808080"/>
          <w:sz w:val="14"/>
          <w:szCs w:val="14"/>
        </w:rPr>
        <w:t xml:space="preserve">Sources: TETRA Technologies SEC filings &amp; earnings releases, ISO 13503-3:2022, API RP 13J, Drilling Fluids Explored, Allied Market Research, SPE JPT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2026-08-04T18:08:50.713Z</dcterms:created>
  <dcterms:modified xsi:type="dcterms:W3CDTF">2026-08-04T18:08:50.758Z</dcterms:modified>
</cp:coreProperties>
</file>

<file path=docProps/custom.xml><?xml version="1.0" encoding="utf-8"?>
<Properties xmlns="http://schemas.openxmlformats.org/officeDocument/2006/custom-properties" xmlns:vt="http://schemas.openxmlformats.org/officeDocument/2006/docPropsVTypes"/>
</file>