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FINAL INTERVIEW CASE STUDY</w:t>
      </w:r>
    </w:p>
    <w:p>
      <w:pPr>
        <w:pStyle w:val="Title"/>
      </w:pPr>
      <w:r>
        <w:t>Compass</w:t>
      </w:r>
    </w:p>
    <w:p>
      <w:pPr>
        <w:spacing w:after="360"/>
      </w:pPr>
      <w:r>
        <w:rPr>
          <w:rFonts w:ascii="Aptos Display" w:hAnsi="Aptos Display"/>
          <w:b/>
          <w:color w:val="25152B"/>
          <w:sz w:val="44"/>
        </w:rPr>
        <w:t>Evidence you can trace.</w:t>
        <w:br/>
        <w:t>Decisions you can defend.</w:t>
      </w:r>
    </w:p>
    <w:p>
      <w:r>
        <w:t>A product strategy for permission-aware questions across five years of grant reports and internal notes in Google Drive, GivingData, Airtable, and Zoom Team Chat.</w:t>
      </w:r>
    </w:p>
    <w:p/>
    <w:tbl>
      <w:tblPr>
        <w:tblW w:type="auto" w:w="0"/>
        <w:jc w:val="center"/>
        <w:tblLook w:firstColumn="1" w:firstRow="1" w:lastColumn="0" w:lastRow="0" w:noHBand="0" w:noVBand="1" w:val="04A0"/>
      </w:tblPr>
      <w:tblGrid>
        <w:gridCol w:w="3331"/>
        <w:gridCol w:w="3331"/>
        <w:gridCol w:w="3331"/>
      </w:tblGrid>
      <w:tr>
        <w:tc>
          <w:tcPr>
            <w:tcW w:type="dxa" w:w="3331"/>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r>
              <w:rPr>
                <w:rFonts w:ascii="Aptos" w:hAnsi="Aptos"/>
                <w:b/>
                <w:color w:val="FFFFFF"/>
                <w:sz w:val="18"/>
              </w:rPr>
              <w:t>Prepared by</w:t>
            </w:r>
          </w:p>
        </w:tc>
        <w:tc>
          <w:tcPr>
            <w:tcW w:type="dxa" w:w="3331"/>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r>
              <w:rPr>
                <w:rFonts w:ascii="Aptos" w:hAnsi="Aptos"/>
                <w:b/>
                <w:color w:val="FFFFFF"/>
                <w:sz w:val="18"/>
              </w:rPr>
              <w:t>For</w:t>
            </w:r>
          </w:p>
        </w:tc>
        <w:tc>
          <w:tcPr>
            <w:tcW w:type="dxa" w:w="3331"/>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r>
              <w:rPr>
                <w:rFonts w:ascii="Aptos" w:hAnsi="Aptos"/>
                <w:b/>
                <w:color w:val="FFFFFF"/>
                <w:sz w:val="18"/>
              </w:rPr>
              <w:t>Date</w:t>
            </w:r>
          </w:p>
        </w:tc>
      </w:tr>
      <w:tr>
        <w:tc>
          <w:tcPr>
            <w:tcW w:type="dxa" w:w="3331"/>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r>
              <w:rPr>
                <w:rFonts w:ascii="Aptos" w:hAnsi="Aptos"/>
                <w:b w:val="0"/>
                <w:color w:val="514753"/>
                <w:sz w:val="18"/>
              </w:rPr>
              <w:t>Jessenia Cintron</w:t>
            </w:r>
          </w:p>
        </w:tc>
        <w:tc>
          <w:tcPr>
            <w:tcW w:type="dxa" w:w="3331"/>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r>
              <w:rPr>
                <w:rFonts w:ascii="Aptos" w:hAnsi="Aptos"/>
                <w:b w:val="0"/>
                <w:color w:val="514753"/>
                <w:sz w:val="18"/>
              </w:rPr>
              <w:t>GitLab Foundation</w:t>
              <w:br/>
              <w:t>Fellow, Applied AI</w:t>
            </w:r>
          </w:p>
        </w:tc>
        <w:tc>
          <w:tcPr>
            <w:tcW w:type="dxa" w:w="3331"/>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r>
              <w:rPr>
                <w:rFonts w:ascii="Aptos" w:hAnsi="Aptos"/>
                <w:b w:val="0"/>
                <w:color w:val="514753"/>
                <w:sz w:val="18"/>
              </w:rPr>
              <w:t>September 7, 2026</w:t>
            </w:r>
          </w:p>
        </w:tc>
      </w:tr>
    </w:tbl>
    <w:p/>
    <w:p>
      <w:r>
        <w:rPr>
          <w:b/>
        </w:rPr>
        <w:t xml:space="preserve">Interactive prototype: </w:t>
      </w:r>
      <w:hyperlink r:id="rId11">
        <w:r>
          <w:rPr>
            <w:color w:val="7657B3"/>
            <w:u w:val="single"/>
          </w:rPr>
          <w:t>compass-gitlab-foundation.jesseniatriumph.chatgpt.site</w:t>
        </w:r>
      </w:hyperlink>
    </w:p>
    <w:p>
      <w:pPr>
        <w:pStyle w:val="Small"/>
      </w:pPr>
      <w:r>
        <w:rPr>
          <w:b/>
        </w:rPr>
        <w:t xml:space="preserve">Disclosure: </w:t>
      </w:r>
      <w:r>
        <w:t>Public research and synthetic records only. No private GitLab Foundation system or content was accessed.</w:t>
      </w:r>
    </w:p>
    <w:p>
      <w:r>
        <w:br w:type="page"/>
      </w:r>
    </w:p>
    <w:p>
      <w:pPr>
        <w:pStyle w:val="Kicker"/>
      </w:pPr>
      <w:r>
        <w:t>EXECUTIVE ANSWER</w:t>
      </w:r>
    </w:p>
    <w:p>
      <w:pPr>
        <w:pStyle w:val="Heading1"/>
      </w:pPr>
      <w:r>
        <w:t>Executive answer</w:t>
      </w:r>
    </w:p>
    <w:p>
      <w:r>
        <w:t>Compass should help a program officer turn a question into a short evidence brief whose claims link back to records the officer already has permission to open. The first release should answer a narrow set of recurring learning and portfolio questions across a curated group of grants. It should not make grant decisions, write back to source systems, or claim that the four systems have become one database.</w:t>
      </w:r>
    </w:p>
    <w:p>
      <w:r>
        <w:t>The main product challenge is trustworthy synthesis. The Foundation already uses AI at unusual speed and scale: its team reported screening 800 applications in roughly 30 minutes, while keeping final decisions with people. The next step is to make institutional memory searchable without losing source context, access rules, or the distinction between projected and observed impact.</w:t>
      </w:r>
    </w:p>
    <w:p>
      <w:r>
        <w:t>The recommended first version uses batch ingestion, a canonical grant-and-organization layer, permission-filtered hybrid retrieval, answer generation from retrieved evidence, sentence-level citations, visible source coverage, and a feedback/evaluation loop. A Programs-team vertical slice should begin with GivingData and a controlled Google Drive folder, then add Airtable. Zoom Team Chat should enter only after a retention, consent, and channel-scope decision.</w:t>
      </w:r>
    </w:p>
    <w:p>
      <w:pPr>
        <w:pStyle w:val="Kicker"/>
      </w:pPr>
      <w:r>
        <w:t>WHAT PUBLIC EVIDENCE SAYS ABOUT THE ORGANIZATION</w:t>
      </w:r>
    </w:p>
    <w:p>
      <w:pPr>
        <w:pStyle w:val="Heading1"/>
      </w:pPr>
      <w:r>
        <w:t>What public evidence says about the organization</w:t>
      </w:r>
    </w:p>
    <w:p>
      <w:r>
        <w:t>GitLab Foundation is a young, fully remote private foundation focused on increasing lifetime earnings for people below a local living wage. It concentrates grantmaking in the United States, Kenya, and Colombia. Its public strategy spans direct opportunity creation, labor-market efficiency, and collective action. Its North Star target is at least $100 in lifetime earnings gains for every $1 invested.</w:t>
      </w:r>
    </w:p>
    <w:p>
      <w:r>
        <w:t>The organization has moved quickly. Its public North Star page currently reports 201 grants and $61.6 million committed. Its 2026 impact communications report more than 80 grants awarded in FY26, $20.4 million committed, and $18.2 million mobilized through co-investment. Its 2025 impact report listed 78 grants, $21.5 million disbursed, 1.2 million people expected to be affected, and an estimated $246 in lifetime earnings gain for each dollar invested. The Foundation also reports building more than 230 ROI models since 2023 and informing more than $65 million in funding decisions through its impact advisory work.</w:t>
      </w:r>
    </w:p>
    <w:p>
      <w:r>
        <w:t>These figures use different scopes and time periods. Compass must preserve period, cohort, model version, and whether a number is estimated or actual. The product should never flatten those distinctions into one unqualified metric.</w:t>
      </w:r>
    </w:p>
    <w:p>
      <w:r>
        <w:t>The Foundation’s public “CREDIT” values are Collaboration, Results, Efficiency, Diversity and Inclusion, Iteration, and Transparency. Its public handbook serves as a living source of truth for policy and decision-making. Compass fits that culture only if its answers behave like handbook entries: transparent, revisable, specific about evidence, and useful to people working asynchronously.</w:t>
      </w:r>
    </w:p>
    <w:p>
      <w:r>
        <w:t>The interview panel reveals the decision lens:</w:t>
      </w:r>
    </w:p>
    <w:p>
      <w:pPr>
        <w:pStyle w:val="ListBullet"/>
        <w:spacing w:after="60"/>
      </w:pPr>
      <w:r>
        <w:t>Ellie Bertani, President and CEO, is likely to test whether the product advances the Foundation’s larger shift toward a platform for high-impact philanthropy and keeps human responsibility intact.</w:t>
      </w:r>
    </w:p>
    <w:p>
      <w:pPr>
        <w:pStyle w:val="ListBullet"/>
        <w:spacing w:after="60"/>
      </w:pPr>
      <w:r>
        <w:t>Elicia Wilson, Chief Operating Officer, is likely to test whether the plan can scale from a pilot into a maintainable capability with clear ownership, access controls, and adoption.</w:t>
      </w:r>
    </w:p>
    <w:p>
      <w:pPr>
        <w:pStyle w:val="ListBullet"/>
        <w:spacing w:after="60"/>
      </w:pPr>
      <w:r>
        <w:t>Matt Zieger, Chief Programs and Partnerships Officer, is likely to test whether the answers improve real program decisions and relationships rather than merely summarizing documents.</w:t>
      </w:r>
    </w:p>
    <w:p>
      <w:pPr>
        <w:pStyle w:val="ListBullet"/>
        <w:spacing w:after="60"/>
      </w:pPr>
      <w:r>
        <w:t>Tamsin Chen, Director of Impact, is likely to test whether the system protects measurement definitions, evidence quality, comparability, and the line between projections and results.</w:t>
      </w:r>
    </w:p>
    <w:p>
      <w:pPr>
        <w:pStyle w:val="Kicker"/>
      </w:pPr>
      <w:r>
        <w:t>PRODUCT FRAMING</w:t>
      </w:r>
    </w:p>
    <w:p>
      <w:pPr>
        <w:pStyle w:val="Heading1"/>
      </w:pPr>
      <w:r>
        <w:t>Product framing</w:t>
      </w:r>
    </w:p>
    <w:p>
      <w:pPr>
        <w:pStyle w:val="Heading2"/>
      </w:pPr>
      <w:r>
        <w:t>Job to be done</w:t>
      </w:r>
    </w:p>
    <w:p>
      <w:r>
        <w:t>When a Programs teammate is preparing a grant review, fund strategy, partner conversation, or leadership brief, they need to find what the Foundation already knows, see where that knowledge came from, and identify the gaps that still require judgment or follow-up.</w:t>
      </w:r>
    </w:p>
    <w:p>
      <w:pPr>
        <w:pStyle w:val="Heading2"/>
      </w:pPr>
      <w:r>
        <w:t>Product promise</w:t>
      </w:r>
    </w:p>
    <w:p>
      <w:r>
        <w:t>Compass returns an evidence brief, not an oracle. Each response should include:</w:t>
      </w:r>
    </w:p>
    <w:p>
      <w:pPr>
        <w:spacing w:after="60"/>
        <w:ind w:left="374" w:hanging="288"/>
      </w:pPr>
      <w:r>
        <w:t xml:space="preserve">1.  </w:t>
      </w:r>
      <w:r>
        <w:t>A direct answer in plain language.</w:t>
      </w:r>
    </w:p>
    <w:p>
      <w:pPr>
        <w:spacing w:after="60"/>
        <w:ind w:left="374" w:hanging="288"/>
      </w:pPr>
      <w:r>
        <w:t xml:space="preserve">2.  </w:t>
      </w:r>
      <w:r>
        <w:t>Claim-level citations that open the underlying record.</w:t>
      </w:r>
    </w:p>
    <w:p>
      <w:pPr>
        <w:spacing w:after="60"/>
        <w:ind w:left="374" w:hanging="288"/>
      </w:pPr>
      <w:r>
        <w:t xml:space="preserve">3.  </w:t>
      </w:r>
      <w:r>
        <w:t>Coverage by source, date range, and grant cohort.</w:t>
      </w:r>
    </w:p>
    <w:p>
      <w:pPr>
        <w:spacing w:after="60"/>
        <w:ind w:left="374" w:hanging="288"/>
      </w:pPr>
      <w:r>
        <w:t xml:space="preserve">4.  </w:t>
      </w:r>
      <w:r>
        <w:t>A clear distinction among facts, calculations, staff observations, grantee claims, and model-generated synthesis.</w:t>
      </w:r>
    </w:p>
    <w:p>
      <w:pPr>
        <w:spacing w:after="60"/>
        <w:ind w:left="374" w:hanging="288"/>
      </w:pPr>
      <w:r>
        <w:t xml:space="preserve">5.  </w:t>
      </w:r>
      <w:r>
        <w:t>Uncertainty and conflicting evidence.</w:t>
      </w:r>
    </w:p>
    <w:p>
      <w:pPr>
        <w:spacing w:after="60"/>
        <w:ind w:left="374" w:hanging="288"/>
      </w:pPr>
      <w:r>
        <w:t xml:space="preserve">6.  </w:t>
      </w:r>
      <w:r>
        <w:t>A next action such as “open dossier,” “compare grants,” or “send evidence gap to the grant owner.”</w:t>
      </w:r>
    </w:p>
    <w:p>
      <w:pPr>
        <w:pStyle w:val="Heading2"/>
      </w:pPr>
      <w:r>
        <w:t>Initial decision workflows</w:t>
      </w:r>
    </w:p>
    <w:p>
      <w:r>
        <w:t>The discovery process should rank questions by frequency, consequence, answerability, and evidence availability. Likely high-value questions include:</w:t>
      </w:r>
    </w:p>
    <w:p>
      <w:pPr>
        <w:pStyle w:val="ListBullet"/>
        <w:spacing w:after="60"/>
      </w:pPr>
      <w:r>
        <w:t>What have similar grants tried, and what happened?</w:t>
      </w:r>
    </w:p>
    <w:p>
      <w:pPr>
        <w:pStyle w:val="ListBullet"/>
        <w:spacing w:after="60"/>
      </w:pPr>
      <w:r>
        <w:t>Which active grants show an early delivery or financial-health risk?</w:t>
      </w:r>
    </w:p>
    <w:p>
      <w:pPr>
        <w:pStyle w:val="ListBullet"/>
        <w:spacing w:after="60"/>
      </w:pPr>
      <w:r>
        <w:t>Which projected outcomes have supporting observed results?</w:t>
      </w:r>
    </w:p>
    <w:p>
      <w:pPr>
        <w:pStyle w:val="ListBullet"/>
        <w:spacing w:after="60"/>
      </w:pPr>
      <w:r>
        <w:t>Where do reports contradict the structured grant record?</w:t>
      </w:r>
    </w:p>
    <w:p>
      <w:pPr>
        <w:pStyle w:val="ListBullet"/>
        <w:spacing w:after="60"/>
      </w:pPr>
      <w:r>
        <w:t>What did the team decide about a grantee, cohort, or measurement assumption?</w:t>
      </w:r>
    </w:p>
    <w:p>
      <w:pPr>
        <w:pStyle w:val="ListBullet"/>
        <w:spacing w:after="60"/>
      </w:pPr>
      <w:r>
        <w:t>Which partners have a relationship to this organization or intervention?</w:t>
      </w:r>
    </w:p>
    <w:p>
      <w:pPr>
        <w:pStyle w:val="ListBullet"/>
        <w:spacing w:after="60"/>
      </w:pPr>
      <w:r>
        <w:t>What do we still not know before a renewal, scale, or co-funding decision?</w:t>
      </w:r>
    </w:p>
    <w:p>
      <w:r>
        <w:t>The first release should support learning and preparation. High-stakes scoring, recommendation, or automated risk labeling should remain outside the first version.</w:t>
      </w:r>
    </w:p>
    <w:p>
      <w:pPr>
        <w:pStyle w:val="Kicker"/>
      </w:pPr>
      <w:r>
        <w:t>DISCOVERY: WHAT MUST BE KNOWN BEFORE DESIGN FREEZES</w:t>
      </w:r>
    </w:p>
    <w:p>
      <w:pPr>
        <w:pStyle w:val="Heading1"/>
      </w:pPr>
      <w:r>
        <w:t>Discovery: what must be known before design freezes</w:t>
      </w:r>
    </w:p>
    <w:p>
      <w:pPr>
        <w:pStyle w:val="Heading2"/>
      </w:pPr>
      <w:r>
        <w:t>Users and decisions</w:t>
      </w:r>
    </w:p>
    <w:p>
      <w:pPr>
        <w:pStyle w:val="ListBullet"/>
        <w:spacing w:after="60"/>
      </w:pPr>
      <w:r>
        <w:t>Who asks questions: program officers, grants management, Impact, Partnerships, executives, contractors, or board members?</w:t>
      </w:r>
    </w:p>
    <w:p>
      <w:pPr>
        <w:pStyle w:val="ListBullet"/>
        <w:spacing w:after="60"/>
      </w:pPr>
      <w:r>
        <w:t>Which decisions recur weekly or monthly?</w:t>
      </w:r>
    </w:p>
    <w:p>
      <w:pPr>
        <w:pStyle w:val="ListBullet"/>
        <w:spacing w:after="60"/>
      </w:pPr>
      <w:r>
        <w:t>Which questions currently consume the most time?</w:t>
      </w:r>
    </w:p>
    <w:p>
      <w:pPr>
        <w:pStyle w:val="ListBullet"/>
        <w:spacing w:after="60"/>
      </w:pPr>
      <w:r>
        <w:t>What makes an answer useful: a short brief, a comparison, a timeline, a table, or a link to the source?</w:t>
      </w:r>
    </w:p>
    <w:p>
      <w:pPr>
        <w:pStyle w:val="ListBullet"/>
        <w:spacing w:after="60"/>
      </w:pPr>
      <w:r>
        <w:t>Which decisions require approval, documentation, or an audit trail?</w:t>
      </w:r>
    </w:p>
    <w:p>
      <w:pPr>
        <w:pStyle w:val="ListBullet"/>
        <w:spacing w:after="60"/>
      </w:pPr>
      <w:r>
        <w:t>Where does institutional knowledge live only in one person’s memory?</w:t>
      </w:r>
    </w:p>
    <w:p>
      <w:pPr>
        <w:pStyle w:val="ListBullet"/>
        <w:spacing w:after="60"/>
      </w:pPr>
      <w:r>
        <w:t>What wording would damage a grantee relationship if taken out of context?</w:t>
      </w:r>
    </w:p>
    <w:p>
      <w:pPr>
        <w:pStyle w:val="Heading2"/>
      </w:pPr>
      <w:r>
        <w:t>Corpus and meaning</w:t>
      </w:r>
    </w:p>
    <w:p>
      <w:pPr>
        <w:pStyle w:val="ListBullet"/>
        <w:spacing w:after="60"/>
      </w:pPr>
      <w:r>
        <w:t>What exactly counts as “five years”: all records, active and closed grants, applications, declined requests, due-diligence material, reports, or only awarded grants?</w:t>
      </w:r>
    </w:p>
    <w:p>
      <w:pPr>
        <w:pStyle w:val="ListBullet"/>
        <w:spacing w:after="60"/>
      </w:pPr>
      <w:r>
        <w:t>Which record wins when grant amount, status, contact, geography, or outcome differs across systems?</w:t>
      </w:r>
    </w:p>
    <w:p>
      <w:pPr>
        <w:pStyle w:val="ListBullet"/>
        <w:spacing w:after="60"/>
      </w:pPr>
      <w:r>
        <w:t>What IDs connect an organization or grant across the four systems?</w:t>
      </w:r>
    </w:p>
    <w:p>
      <w:pPr>
        <w:pStyle w:val="ListBullet"/>
        <w:spacing w:after="60"/>
      </w:pPr>
      <w:r>
        <w:t>How does the Foundation define estimated impact, actual impact, lifetime earnings increase, cost per DIL, ROI, participant, and attribution?</w:t>
      </w:r>
    </w:p>
    <w:p>
      <w:pPr>
        <w:pStyle w:val="ListBullet"/>
        <w:spacing w:after="60"/>
      </w:pPr>
      <w:r>
        <w:t>Which model versions or assumptions changed over time?</w:t>
      </w:r>
    </w:p>
    <w:p>
      <w:pPr>
        <w:pStyle w:val="ListBullet"/>
        <w:spacing w:after="60"/>
      </w:pPr>
      <w:r>
        <w:t>Which documents are final, draft, superseded, duplicated, or incomplete?</w:t>
      </w:r>
    </w:p>
    <w:p>
      <w:pPr>
        <w:pStyle w:val="ListBullet"/>
        <w:spacing w:after="60"/>
      </w:pPr>
      <w:r>
        <w:t>In which languages do source materials appear?</w:t>
      </w:r>
    </w:p>
    <w:p>
      <w:pPr>
        <w:pStyle w:val="Heading2"/>
      </w:pPr>
      <w:r>
        <w:t>Access and governance</w:t>
      </w:r>
    </w:p>
    <w:p>
      <w:pPr>
        <w:pStyle w:val="ListBullet"/>
        <w:spacing w:after="60"/>
      </w:pPr>
      <w:r>
        <w:t>Can a technical service account read each system, or must ingestion impersonate a user?</w:t>
      </w:r>
    </w:p>
    <w:p>
      <w:pPr>
        <w:pStyle w:val="ListBullet"/>
        <w:spacing w:after="60"/>
      </w:pPr>
      <w:r>
        <w:t>Which Drive content sits in shared drives versus personal drives?</w:t>
      </w:r>
    </w:p>
    <w:p>
      <w:pPr>
        <w:pStyle w:val="ListBullet"/>
        <w:spacing w:after="60"/>
      </w:pPr>
      <w:r>
        <w:t>Does GivingData include Enterprise API access? Which endpoints expose the Foundation’s configured fields and documents?</w:t>
      </w:r>
    </w:p>
    <w:p>
      <w:pPr>
        <w:pStyle w:val="ListBullet"/>
        <w:spacing w:after="60"/>
      </w:pPr>
      <w:r>
        <w:t>Which Airtable workspaces, bases, tables, views, and fields are in scope?</w:t>
      </w:r>
    </w:p>
    <w:p>
      <w:pPr>
        <w:pStyle w:val="ListBullet"/>
        <w:spacing w:after="60"/>
      </w:pPr>
      <w:r>
        <w:t>Does Zoom cloud storage contain the full five-year period? Which retention rule applies to each channel or direct conversation?</w:t>
      </w:r>
    </w:p>
    <w:p>
      <w:pPr>
        <w:pStyle w:val="ListBullet"/>
        <w:spacing w:after="60"/>
      </w:pPr>
      <w:r>
        <w:t>Should direct messages ever enter the corpus? The safe default is no.</w:t>
      </w:r>
    </w:p>
    <w:p>
      <w:pPr>
        <w:pStyle w:val="ListBullet"/>
        <w:spacing w:after="60"/>
      </w:pPr>
      <w:r>
        <w:t>Which categories are never indexed: bank details, tax IDs, personal data, legal advice, complaints, personnel matters, or confidential peer-funder material?</w:t>
      </w:r>
    </w:p>
    <w:p>
      <w:pPr>
        <w:pStyle w:val="ListBullet"/>
        <w:spacing w:after="60"/>
      </w:pPr>
      <w:r>
        <w:t>What retention and deletion rules must Compass mirror?</w:t>
      </w:r>
    </w:p>
    <w:p>
      <w:pPr>
        <w:pStyle w:val="ListBullet"/>
        <w:spacing w:after="60"/>
      </w:pPr>
      <w:r>
        <w:t>Do grantee agreements or privacy notices permit this secondary use?</w:t>
      </w:r>
    </w:p>
    <w:p>
      <w:pPr>
        <w:pStyle w:val="Heading2"/>
      </w:pPr>
      <w:r>
        <w:t>Success</w:t>
      </w:r>
    </w:p>
    <w:p>
      <w:pPr>
        <w:pStyle w:val="ListBullet"/>
        <w:spacing w:after="60"/>
      </w:pPr>
      <w:r>
        <w:t>What is the baseline time to answer the selected questions?</w:t>
      </w:r>
    </w:p>
    <w:p>
      <w:pPr>
        <w:pStyle w:val="ListBullet"/>
        <w:spacing w:after="60"/>
      </w:pPr>
      <w:r>
        <w:t>What percentage of sampled claims can a reviewer verify in one click?</w:t>
      </w:r>
    </w:p>
    <w:p>
      <w:pPr>
        <w:pStyle w:val="ListBullet"/>
        <w:spacing w:after="60"/>
      </w:pPr>
      <w:r>
        <w:t>How often should the system abstain because evidence is insufficient?</w:t>
      </w:r>
    </w:p>
    <w:p>
      <w:pPr>
        <w:pStyle w:val="ListBullet"/>
        <w:spacing w:after="60"/>
      </w:pPr>
      <w:r>
        <w:t>What false-positive or permission-leak rate is acceptable? Permission leaks require a zero-tolerance release gate.</w:t>
      </w:r>
    </w:p>
    <w:p>
      <w:pPr>
        <w:pStyle w:val="ListBullet"/>
        <w:spacing w:after="60"/>
      </w:pPr>
      <w:r>
        <w:t>What weekly active use would demonstrate that the workflow changed rather than produced a demo?</w:t>
      </w:r>
    </w:p>
    <w:p>
      <w:r>
        <w:br w:type="page"/>
      </w:r>
    </w:p>
    <w:p>
      <w:pPr>
        <w:pStyle w:val="Kicker"/>
      </w:pPr>
      <w:r>
        <w:t>SYSTEM DESIGN</w:t>
      </w:r>
    </w:p>
    <w:p>
      <w:pPr>
        <w:pStyle w:val="Heading1"/>
      </w:pPr>
      <w:r>
        <w:t>System design</w:t>
      </w:r>
    </w:p>
    <w:p>
      <w:pPr>
        <w:pStyle w:val="Heading2"/>
      </w:pPr>
      <w:r>
        <w:t>1. Source inventory and contracts</w:t>
      </w:r>
    </w:p>
    <w:p>
      <w:r>
        <w:t>Create a data contract for every source collection before ingestion. Each contract names the owner, system of record, object types, join keys, refresh expectation, permission source, retention rule, sensitive fields, and known quality problems.</w:t>
      </w:r>
    </w:p>
    <w:p>
      <w:r>
        <w:rPr>
          <w:b/>
        </w:rPr>
        <w:t>Google Drive</w:t>
      </w:r>
      <w:r>
        <w:t xml:space="preserve"> supplies narrative reports, proposals, memos, spreadsheets, and attachments. The Drive API represents every item as a file and controls access through file and folder ACLs. Compass should ingest from explicitly approved shared drives or folders, retain the source file ID and revision, export Google-native files into stable text formats, extract tables separately, and record the effective user/group permissions. It should use Drive change tracking rather than rescanning all content.</w:t>
      </w:r>
    </w:p>
    <w:p>
      <w:r>
        <w:rPr>
          <w:b/>
        </w:rPr>
        <w:t>GivingData</w:t>
      </w:r>
      <w:r>
        <w:t xml:space="preserve"> should remain the system of record for the grant lifecycle. Its object hierarchy centers on organizations, then requests, contacts, payments, and requirements. Requirements can carry grantee report submissions. Custom fields may exist on all five major record types, so a schema discovery step matters more than assuming standard field names. The public Open API is an Enterprise-tier capability and currently exposes web publishing, CRM, and payments APIs; the team must validate whether the necessary report and requirement data is available through its tenant and subscription. A controlled export may be the better first connector if not.</w:t>
      </w:r>
    </w:p>
    <w:p>
      <w:r>
        <w:rPr>
          <w:b/>
        </w:rPr>
        <w:t>Airtable</w:t>
      </w:r>
      <w:r>
        <w:t xml:space="preserve"> likely supplies flexible relationship, partner, pipeline, cohort, and project-management data. Compass should enumerate approved bases and schemas, preserve linked-record IDs, formula outputs, select values, field types, and record-level timestamps. Airtable returns records in pages of at most 100 and limits traffic to five requests per second per base, so the connector should batch, checkpoint, back off, and refresh changed records rather than polling every question.</w:t>
      </w:r>
    </w:p>
    <w:p>
      <w:r>
        <w:rPr>
          <w:b/>
        </w:rPr>
        <w:t>Zoom Team Chat</w:t>
      </w:r>
      <w:r>
        <w:t xml:space="preserve"> supplies conversations, informal observations, and decisions. It is the highest-context and highest-risk source. Cloud history depends on admin configuration and can vary by direct message, group conversation, channel, and owner. Zoom says the default cloud retention is two years but admins can choose one day through ten years; a five-year corpus cannot be assumed. Chat history access requires an authorized admin role, and export constraints differ by format. Compass should begin with named channels, exclude direct messages, split threads carefully, carry author and timestamp context, detect edited/deleted messages when available, and label chat evidence as conversational rather than authoritative.</w:t>
      </w:r>
    </w:p>
    <w:p>
      <w:pPr>
        <w:pStyle w:val="Heading2"/>
      </w:pPr>
      <w:r>
        <w:t>2. Raw and canonical layers</w:t>
      </w:r>
    </w:p>
    <w:p>
      <w:r>
        <w:t>Preserve every allowed source object in an immutable raw zone with source ID, extraction time, content hash, version, lineage, and ACL snapshot. Parsing should never destroy the original.</w:t>
      </w:r>
    </w:p>
    <w:p>
      <w:r>
        <w:t>Normalize records into a small canonical model:</w:t>
      </w:r>
    </w:p>
    <w:p>
      <w:pPr>
        <w:pStyle w:val="ListBullet"/>
        <w:spacing w:after="60"/>
      </w:pPr>
      <w:r>
        <w:t>Organization</w:t>
      </w:r>
    </w:p>
    <w:p>
      <w:pPr>
        <w:pStyle w:val="ListBullet"/>
        <w:spacing w:after="60"/>
      </w:pPr>
      <w:r>
        <w:t>Grant or request</w:t>
      </w:r>
    </w:p>
    <w:p>
      <w:pPr>
        <w:pStyle w:val="ListBullet"/>
        <w:spacing w:after="60"/>
      </w:pPr>
      <w:r>
        <w:t>Project or intervention</w:t>
      </w:r>
    </w:p>
    <w:p>
      <w:pPr>
        <w:pStyle w:val="ListBullet"/>
        <w:spacing w:after="60"/>
      </w:pPr>
      <w:r>
        <w:t>Person and relationship</w:t>
      </w:r>
    </w:p>
    <w:p>
      <w:pPr>
        <w:pStyle w:val="ListBullet"/>
        <w:spacing w:after="60"/>
      </w:pPr>
      <w:r>
        <w:t>Requirement or report</w:t>
      </w:r>
    </w:p>
    <w:p>
      <w:pPr>
        <w:pStyle w:val="ListBullet"/>
        <w:spacing w:after="60"/>
      </w:pPr>
      <w:r>
        <w:t>Payment</w:t>
      </w:r>
    </w:p>
    <w:p>
      <w:pPr>
        <w:pStyle w:val="ListBullet"/>
        <w:spacing w:after="60"/>
      </w:pPr>
      <w:r>
        <w:t>Outcome and metric observation</w:t>
      </w:r>
    </w:p>
    <w:p>
      <w:pPr>
        <w:pStyle w:val="ListBullet"/>
        <w:spacing w:after="60"/>
      </w:pPr>
      <w:r>
        <w:t>Document or message</w:t>
      </w:r>
    </w:p>
    <w:p>
      <w:pPr>
        <w:pStyle w:val="ListBullet"/>
        <w:spacing w:after="60"/>
      </w:pPr>
      <w:r>
        <w:t>Decision</w:t>
      </w:r>
    </w:p>
    <w:p>
      <w:pPr>
        <w:pStyle w:val="ListBullet"/>
        <w:spacing w:after="60"/>
      </w:pPr>
      <w:r>
        <w:t>Evidence claim</w:t>
      </w:r>
    </w:p>
    <w:p>
      <w:pPr>
        <w:pStyle w:val="ListBullet"/>
        <w:spacing w:after="60"/>
      </w:pPr>
      <w:r>
        <w:t>Access principal and policy</w:t>
      </w:r>
    </w:p>
    <w:p>
      <w:r>
        <w:t>Use stable internal IDs plus a crosswalk table to source IDs. Do not force all content into a single schema. Structured fields support filters and calculations; narrative chunks preserve context and language.</w:t>
      </w:r>
    </w:p>
    <w:p>
      <w:r>
        <w:t>The entity-resolution process should combine exact identifiers, normalized organization names, website domains, and human-reviewed aliases. A queue should surface ambiguous matches. The product must not automatically merge organizations based on name similarity alone.</w:t>
      </w:r>
    </w:p>
    <w:p>
      <w:pPr>
        <w:pStyle w:val="Heading2"/>
      </w:pPr>
      <w:r>
        <w:t>3. Parsing and enrichment</w:t>
      </w:r>
    </w:p>
    <w:p>
      <w:pPr>
        <w:pStyle w:val="ListBullet"/>
        <w:spacing w:after="60"/>
      </w:pPr>
      <w:r>
        <w:t>Extract text, headings, tables, page or section anchors, author, created/modified dates, and language.</w:t>
      </w:r>
    </w:p>
    <w:p>
      <w:pPr>
        <w:pStyle w:val="ListBullet"/>
        <w:spacing w:after="60"/>
      </w:pPr>
      <w:r>
        <w:t>Preserve document boundaries and enough neighboring text to understand a chunk.</w:t>
      </w:r>
    </w:p>
    <w:p>
      <w:pPr>
        <w:pStyle w:val="ListBullet"/>
        <w:spacing w:after="60"/>
      </w:pPr>
      <w:r>
        <w:t>Classify content type and sensitivity before it becomes searchable.</w:t>
      </w:r>
    </w:p>
    <w:p>
      <w:pPr>
        <w:pStyle w:val="ListBullet"/>
        <w:spacing w:after="60"/>
      </w:pPr>
      <w:r>
        <w:t>Separate estimated outcomes from reported outcomes and record units, period, population, method, and model version.</w:t>
      </w:r>
    </w:p>
    <w:p>
      <w:pPr>
        <w:pStyle w:val="ListBullet"/>
        <w:spacing w:after="60"/>
      </w:pPr>
      <w:r>
        <w:t>Treat text inside source documents as data, never as instructions to the model.</w:t>
      </w:r>
    </w:p>
    <w:p>
      <w:pPr>
        <w:pStyle w:val="ListBullet"/>
        <w:spacing w:after="60"/>
      </w:pPr>
      <w:r>
        <w:t>Detect duplicates and superseded versions, but retain lineage.</w:t>
      </w:r>
    </w:p>
    <w:p>
      <w:pPr>
        <w:pStyle w:val="ListBullet"/>
        <w:spacing w:after="60"/>
      </w:pPr>
      <w:r>
        <w:t>Quarantine unsupported file types, corrupted records, and content that fails scanning.</w:t>
      </w:r>
    </w:p>
    <w:p>
      <w:pPr>
        <w:pStyle w:val="Heading2"/>
      </w:pPr>
      <w:r>
        <w:t>4. Permission-aware retrieval</w:t>
      </w:r>
    </w:p>
    <w:p>
      <w:r>
        <w:t>At ingestion, attach source-derived access principals to each record and chunk. At query time, authenticate the user, calculate allowed groups, filter candidates before their text enters the model context, and verify access again before returning a citation link.</w:t>
      </w:r>
    </w:p>
    <w:p>
      <w:r>
        <w:t>Use hybrid retrieval: structured filters for grant, geography, cohort, dates, status, or metric; keyword retrieval for exact terms; semantic retrieval for similar concepts; reranking for relevance and source diversity. Structured data should answer exact counts and amounts. The language model should explain results, not perform silent arithmetic over snippets.</w:t>
      </w:r>
    </w:p>
    <w:p>
      <w:r>
        <w:t>No answer cache should cross permission boundaries. Logs should avoid raw sensitive passages and should retain query, user, source IDs, model/version, citation IDs, abstention reason, and feedback for auditability.</w:t>
      </w:r>
    </w:p>
    <w:p>
      <w:pPr>
        <w:pStyle w:val="Heading2"/>
      </w:pPr>
      <w:r>
        <w:t>5. Answer contract</w:t>
      </w:r>
    </w:p>
    <w:p>
      <w:r>
        <w:t>The model receives only filtered evidence and a strict response schema. It should:</w:t>
      </w:r>
    </w:p>
    <w:p>
      <w:pPr>
        <w:pStyle w:val="ListBullet"/>
        <w:spacing w:after="60"/>
      </w:pPr>
      <w:r>
        <w:t>answer only from retrieved evidence;</w:t>
      </w:r>
    </w:p>
    <w:p>
      <w:pPr>
        <w:pStyle w:val="ListBullet"/>
        <w:spacing w:after="60"/>
      </w:pPr>
      <w:r>
        <w:t>cite every material claim;</w:t>
      </w:r>
    </w:p>
    <w:p>
      <w:pPr>
        <w:pStyle w:val="ListBullet"/>
        <w:spacing w:after="60"/>
      </w:pPr>
      <w:r>
        <w:t>state when sources conflict or coverage is incomplete;</w:t>
      </w:r>
    </w:p>
    <w:p>
      <w:pPr>
        <w:pStyle w:val="ListBullet"/>
        <w:spacing w:after="60"/>
      </w:pPr>
      <w:r>
        <w:t>distinguish a sourced statement from a derived calculation;</w:t>
      </w:r>
    </w:p>
    <w:p>
      <w:pPr>
        <w:pStyle w:val="ListBullet"/>
        <w:spacing w:after="60"/>
      </w:pPr>
      <w:r>
        <w:t>abstain when evidence does not meet the threshold;</w:t>
      </w:r>
    </w:p>
    <w:p>
      <w:pPr>
        <w:pStyle w:val="ListBullet"/>
        <w:spacing w:after="60"/>
      </w:pPr>
      <w:r>
        <w:t>never alter records or make a grant decision.</w:t>
      </w:r>
    </w:p>
    <w:p>
      <w:r>
        <w:t>The interface should expose the evidence used, sources excluded by scope or access, last refresh time, and the record owner to contact. “Confidence” should reflect evidence coverage and agreement, not the model’s internal certainty.</w:t>
      </w:r>
    </w:p>
    <w:p>
      <w:pPr>
        <w:pStyle w:val="Heading2"/>
      </w:pPr>
      <w:r>
        <w:t>6. Evaluation and operations</w:t>
      </w:r>
    </w:p>
    <w:p>
      <w:r>
        <w:t>Build a gold set from real staff questions and reviewer-approved answers. Score retrieval recall, citation correctness, groundedness, answer completeness, conflict detection, abstention quality, permission safety, latency, and cost. Test source deletions, permission changes, duplicate organizations, conflicting amounts, missing reports, multilingual documents, scanned PDFs, very long threads, and prompt injection hidden in retrieved text.</w:t>
      </w:r>
    </w:p>
    <w:p>
      <w:r>
        <w:t>No pilot expands until permission tests show no leaks and claim verification meets an agreed bar. Operational dashboards should show connector freshness, failed records, unlinked entities, unanswered questions, feedback, and source usage.</w:t>
      </w:r>
    </w:p>
    <w:p>
      <w:r>
        <w:br w:type="page"/>
      </w:r>
    </w:p>
    <w:p>
      <w:pPr>
        <w:pStyle w:val="Kicker"/>
      </w:pPr>
      <w:r>
        <w:t>FAILURE MODES AND RESPONSES</w:t>
      </w:r>
    </w:p>
    <w:p>
      <w:pPr>
        <w:pStyle w:val="Heading1"/>
      </w:pPr>
      <w:r>
        <w:t>Failure modes and responses</w:t>
      </w:r>
    </w:p>
    <w:tbl>
      <w:tblPr>
        <w:tblW w:type="auto" w:w="0"/>
        <w:jc w:val="center"/>
        <w:tblLayout w:type="autofit"/>
        <w:tblLook w:firstColumn="1" w:firstRow="1" w:lastColumn="0" w:lastRow="0" w:noHBand="0" w:noVBand="1" w:val="04A0"/>
      </w:tblPr>
      <w:tblGrid>
        <w:gridCol w:w="2498"/>
        <w:gridCol w:w="2498"/>
        <w:gridCol w:w="2498"/>
        <w:gridCol w:w="2498"/>
      </w:tblGrid>
      <w:tr>
        <w:trPr>
          <w:tblHeade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Failure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Consequence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First control</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Product behavior</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Permission leakage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Confidential information reaches the wrong person</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Filter before retrieval and recheck before citation</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Block answer; log security event</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Hallucinated or weakly supported claim</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Staff acts on invented evidence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Claim-level citations and groundedness evaluation</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Remove unsupported sentence or abstain</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Estimated and actual impact collapse into one number</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Portfolio decisions use the wrong denominator or period</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Typed metric observations with model version and status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Label and compare explicitly</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Conflicting fields across systems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Users lose trust or use a stale amount/status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System-of-record matrix and conflict detection</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Show both values, dates, and owner</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Wrong entity merge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Evidence from two grantees is combined</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Stable IDs and human review for ambiguous matches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Keep separate until approved</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Missing Zoom history</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Product implies five-year coverage that does not exist</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Retention audit before ingestion</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Show coverage gap by date/channel</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Indirect prompt injection in a report or chat</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Retrieved content changes model behavior</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Treat source text as untrusted, scan, isolate tools, constrain output</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Quarantine and alert</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Stale index after deletion or access change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Revoked content remains available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Change feeds, tombstones, ACL refresh, short cache TTL</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Suppress stale chunk immediately</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Conversational note mistaken for policy</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Informal comment gains false authority</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Source-type weighting and decision-status metadata</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Label chat as context; prefer approved records</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Grantee language or qualitative learning disappears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The system privileges easy-to-count metrics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Preserve quotes, context, and qualitative themes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Pair quantitative result with narrative evidence</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Popular answers amplify prior bias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Repeated framing appears more true</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Diverse retrieval, source coverage, reviewer feedback</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Surface alternative evidence and gaps</w:t>
            </w:r>
          </w:p>
        </w:tc>
      </w:tr>
      <w:tr>
        <w:trPr>
          <w:cantSplit/>
        </w:trPr>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Low adoption</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Technically sound tool does not change work</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Design users, embedded workflows, office hours, usage metrics</w:t>
            </w:r>
          </w:p>
        </w:tc>
        <w:tc>
          <w:tcPr>
            <w:tcW w:type="dxa" w:w="2498"/>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Iterate questions and output format</w:t>
            </w:r>
          </w:p>
        </w:tc>
      </w:tr>
    </w:tbl>
    <w:p>
      <w:pPr>
        <w:spacing w:after="20"/>
      </w:pPr>
    </w:p>
    <w:p>
      <w:r>
        <w:br w:type="page"/>
      </w:r>
    </w:p>
    <w:p>
      <w:pPr>
        <w:pStyle w:val="Kicker"/>
      </w:pPr>
      <w:r>
        <w:t>FIRST-VERSION TRADEOFFS</w:t>
      </w:r>
    </w:p>
    <w:p>
      <w:pPr>
        <w:pStyle w:val="Heading1"/>
      </w:pPr>
      <w:r>
        <w:t>First-version tradeoffs</w:t>
      </w:r>
    </w:p>
    <w:p>
      <w:pPr>
        <w:pStyle w:val="Heading2"/>
      </w:pPr>
      <w:r>
        <w:t>Include</w:t>
      </w:r>
    </w:p>
    <w:p>
      <w:pPr>
        <w:pStyle w:val="ListBullet"/>
        <w:spacing w:after="60"/>
      </w:pPr>
      <w:r>
        <w:t>Five to ten gold questions tied to one real program decision cycle.</w:t>
      </w:r>
    </w:p>
    <w:p>
      <w:pPr>
        <w:pStyle w:val="ListBullet"/>
        <w:spacing w:after="60"/>
      </w:pPr>
      <w:r>
        <w:t>A curated set of roughly 25 to 40 grants.</w:t>
      </w:r>
    </w:p>
    <w:p>
      <w:pPr>
        <w:pStyle w:val="ListBullet"/>
        <w:spacing w:after="60"/>
      </w:pPr>
      <w:r>
        <w:t>GivingData structured grant records plus one approved Drive folder.</w:t>
      </w:r>
    </w:p>
    <w:p>
      <w:pPr>
        <w:pStyle w:val="ListBullet"/>
        <w:spacing w:after="60"/>
      </w:pPr>
      <w:r>
        <w:t>Read-only access.</w:t>
      </w:r>
    </w:p>
    <w:p>
      <w:pPr>
        <w:pStyle w:val="ListBullet"/>
        <w:spacing w:after="60"/>
      </w:pPr>
      <w:r>
        <w:t>Search, evidence brief, citations, source coverage, grantee dossier, feedback, and audit logs.</w:t>
      </w:r>
    </w:p>
    <w:p>
      <w:pPr>
        <w:pStyle w:val="ListBullet"/>
        <w:spacing w:after="60"/>
      </w:pPr>
      <w:r>
        <w:t>Programs-team users and named partners from Impact or Grants Management.</w:t>
      </w:r>
    </w:p>
    <w:p>
      <w:pPr>
        <w:pStyle w:val="Heading2"/>
      </w:pPr>
      <w:r>
        <w:t>Defer</w:t>
      </w:r>
    </w:p>
    <w:p>
      <w:pPr>
        <w:pStyle w:val="ListBullet"/>
        <w:spacing w:after="60"/>
      </w:pPr>
      <w:r>
        <w:t>Direct messages and broad Zoom Chat ingestion until governance and retention are clear.</w:t>
      </w:r>
    </w:p>
    <w:p>
      <w:pPr>
        <w:pStyle w:val="ListBullet"/>
        <w:spacing w:after="60"/>
      </w:pPr>
      <w:r>
        <w:t>Write-back, automated tagging in source systems, or actions triggered by the model.</w:t>
      </w:r>
    </w:p>
    <w:p>
      <w:pPr>
        <w:pStyle w:val="ListBullet"/>
        <w:spacing w:after="60"/>
      </w:pPr>
      <w:r>
        <w:t>Autonomous recommendations, grant scoring, renewal decisions, or grantee risk scores.</w:t>
      </w:r>
    </w:p>
    <w:p>
      <w:pPr>
        <w:pStyle w:val="ListBullet"/>
        <w:spacing w:after="60"/>
      </w:pPr>
      <w:r>
        <w:t>All-organization access, board access, or external grantee access.</w:t>
      </w:r>
    </w:p>
    <w:p>
      <w:pPr>
        <w:pStyle w:val="ListBullet"/>
        <w:spacing w:after="60"/>
      </w:pPr>
      <w:r>
        <w:t>Real-time sync where daily or hourly refresh meets the decision need.</w:t>
      </w:r>
    </w:p>
    <w:p>
      <w:pPr>
        <w:pStyle w:val="ListBullet"/>
        <w:spacing w:after="60"/>
      </w:pPr>
      <w:r>
        <w:t>One-click ingestion of every legacy file.</w:t>
      </w:r>
    </w:p>
    <w:p>
      <w:pPr>
        <w:pStyle w:val="ListBullet"/>
        <w:spacing w:after="60"/>
      </w:pPr>
      <w:r>
        <w:t>Fine-tuning a model. The problem first needs better data contracts, retrieval, and evaluation.</w:t>
      </w:r>
    </w:p>
    <w:p>
      <w:pPr>
        <w:pStyle w:val="ListBullet"/>
        <w:spacing w:after="60"/>
      </w:pPr>
      <w:r>
        <w:t>A knowledge graph as a large standalone platform. Start with a relational crosswalk and add graph capability only for proven relationship questions.</w:t>
      </w:r>
    </w:p>
    <w:p>
      <w:pPr>
        <w:pStyle w:val="ListBullet"/>
        <w:spacing w:after="60"/>
      </w:pPr>
      <w:r>
        <w:t>Complex dashboards already owned by the Foundation’s public impact or internal reporting tools.</w:t>
      </w:r>
    </w:p>
    <w:p>
      <w:r>
        <w:t>These exclusions protect the purpose of the pilot: prove that people can find and verify useful evidence safely.</w:t>
      </w:r>
    </w:p>
    <w:p>
      <w:r>
        <w:br w:type="page"/>
      </w:r>
    </w:p>
    <w:p>
      <w:pPr>
        <w:pStyle w:val="Kicker"/>
      </w:pPr>
      <w:r>
        <w:t>PHASED IMPLEMENTATION</w:t>
      </w:r>
    </w:p>
    <w:p>
      <w:pPr>
        <w:pStyle w:val="Heading1"/>
      </w:pPr>
      <w:r>
        <w:t>Phased implementation</w:t>
      </w:r>
    </w:p>
    <w:p>
      <w:pPr>
        <w:pStyle w:val="Heading2"/>
      </w:pPr>
      <w:r>
        <w:t>Phase 1: Discovery and access, weeks 1 to 3</w:t>
      </w:r>
    </w:p>
    <w:p>
      <w:r>
        <w:t>Interview decision owners, observe current workflows, inventory data and permissions, choose the gold questions, define the system-of-record matrix, audit Zoom retention, review grantee/data-use constraints, and select the vertical-slice corpus. Deliver a clickable prototype and a tested data contract for the first two sources.</w:t>
      </w:r>
    </w:p>
    <w:p>
      <w:r>
        <w:rPr>
          <w:b/>
        </w:rPr>
        <w:t>Exit:</w:t>
      </w:r>
      <w:r>
        <w:t xml:space="preserve"> named product owner; approved corpus; explicit exclusions; baseline task times; gold question set; security and evaluation criteria.</w:t>
      </w:r>
    </w:p>
    <w:p>
      <w:pPr>
        <w:pStyle w:val="Heading2"/>
      </w:pPr>
      <w:r>
        <w:t>Phase 2: Vertical slice, weeks 3 to 6</w:t>
      </w:r>
    </w:p>
    <w:p>
      <w:r>
        <w:t>Ingest GivingData export/API data and a controlled Drive folder. Build entity crosswalks, access filtering, hybrid retrieval, the evidence-brief interface, a grantee dossier, citations, and an evaluation harness. Pilot with three to five design users.</w:t>
      </w:r>
    </w:p>
    <w:p>
      <w:r>
        <w:rPr>
          <w:b/>
        </w:rPr>
        <w:t>Exit:</w:t>
      </w:r>
      <w:r>
        <w:t xml:space="preserve"> no permission leaks in the test suite; reviewers can verify at least 90% of material claims from citations; pilot users answer selected questions meaningfully faster than baseline.</w:t>
      </w:r>
    </w:p>
    <w:p>
      <w:pPr>
        <w:pStyle w:val="Heading2"/>
      </w:pPr>
      <w:r>
        <w:t>Phase 3: Harden and expand, weeks 6 to 10</w:t>
      </w:r>
    </w:p>
    <w:p>
      <w:r>
        <w:t>Add Airtable, backfill the approved five-year corpus, improve multilingual and table extraction, establish monitoring, run a security review, document operations, and expand to the Programs team.</w:t>
      </w:r>
    </w:p>
    <w:p>
      <w:r>
        <w:rPr>
          <w:b/>
        </w:rPr>
        <w:t>Exit:</w:t>
      </w:r>
      <w:r>
        <w:t xml:space="preserve"> freshness and connector-error targets met; adoption reaches the agreed weekly usage level; unresolved entity matches and unanswered questions have owners.</w:t>
      </w:r>
    </w:p>
    <w:p>
      <w:pPr>
        <w:pStyle w:val="Heading2"/>
      </w:pPr>
      <w:r>
        <w:t>Phase 4: Governed chat and wider capability, weeks 10 to 16+</w:t>
      </w:r>
    </w:p>
    <w:p>
      <w:r>
        <w:t>If governance permits, add selected Zoom channels and formal decision capture. Evaluate organization-wide access, reusable prompt/workflow libraries, and a route for approved knowledge products that could support the broader philanthropic sector.</w:t>
      </w:r>
    </w:p>
    <w:p>
      <w:r>
        <w:rPr>
          <w:b/>
        </w:rPr>
        <w:t>Exit:</w:t>
      </w:r>
      <w:r>
        <w:t xml:space="preserve"> chat scope approved; retention and deletion mirrored; value and safety demonstrated before wider rollout.</w:t>
      </w:r>
    </w:p>
    <w:p>
      <w:r>
        <w:br w:type="page"/>
      </w:r>
    </w:p>
    <w:p>
      <w:pPr>
        <w:pStyle w:val="Kicker"/>
      </w:pPr>
      <w:r>
        <w:t>METRICS</w:t>
      </w:r>
    </w:p>
    <w:p>
      <w:pPr>
        <w:pStyle w:val="Heading1"/>
      </w:pPr>
      <w:r>
        <w:t>Metrics</w:t>
      </w:r>
    </w:p>
    <w:p>
      <w:pPr>
        <w:pStyle w:val="Heading2"/>
      </w:pPr>
      <w:r>
        <w:t>Product outcomes</w:t>
      </w:r>
    </w:p>
    <w:p>
      <w:pPr>
        <w:pStyle w:val="ListBullet"/>
        <w:spacing w:after="60"/>
      </w:pPr>
      <w:r>
        <w:t>Median time from question to a reviewer-accepted brief.</w:t>
      </w:r>
    </w:p>
    <w:p>
      <w:pPr>
        <w:pStyle w:val="ListBullet"/>
        <w:spacing w:after="60"/>
      </w:pPr>
      <w:r>
        <w:t>Percentage of material claims verified in one click.</w:t>
      </w:r>
    </w:p>
    <w:p>
      <w:pPr>
        <w:pStyle w:val="ListBullet"/>
        <w:spacing w:after="60"/>
      </w:pPr>
      <w:r>
        <w:t>Percentage of briefs that expose an evidence gap before a decision.</w:t>
      </w:r>
    </w:p>
    <w:p>
      <w:pPr>
        <w:pStyle w:val="ListBullet"/>
        <w:spacing w:after="60"/>
      </w:pPr>
      <w:r>
        <w:t>Reuse in grant reviews, strategy updates, partner preparation, and leadership briefs.</w:t>
      </w:r>
    </w:p>
    <w:p>
      <w:pPr>
        <w:pStyle w:val="ListBullet"/>
        <w:spacing w:after="60"/>
      </w:pPr>
      <w:r>
        <w:t>Weekly active users among the target team and repeat use after four weeks.</w:t>
      </w:r>
    </w:p>
    <w:p>
      <w:pPr>
        <w:pStyle w:val="Heading2"/>
      </w:pPr>
      <w:r>
        <w:t>Quality and safety</w:t>
      </w:r>
    </w:p>
    <w:p>
      <w:pPr>
        <w:pStyle w:val="ListBullet"/>
        <w:spacing w:after="60"/>
      </w:pPr>
      <w:r>
        <w:t>Retrieval recall on the gold set.</w:t>
      </w:r>
    </w:p>
    <w:p>
      <w:pPr>
        <w:pStyle w:val="ListBullet"/>
        <w:spacing w:after="60"/>
      </w:pPr>
      <w:r>
        <w:t>Citation correctness and completeness.</w:t>
      </w:r>
    </w:p>
    <w:p>
      <w:pPr>
        <w:pStyle w:val="ListBullet"/>
        <w:spacing w:after="60"/>
      </w:pPr>
      <w:r>
        <w:t>Groundedness and conflict-detection pass rate.</w:t>
      </w:r>
    </w:p>
    <w:p>
      <w:pPr>
        <w:pStyle w:val="ListBullet"/>
        <w:spacing w:after="60"/>
      </w:pPr>
      <w:r>
        <w:t>Correct abstention when evidence is insufficient.</w:t>
      </w:r>
    </w:p>
    <w:p>
      <w:pPr>
        <w:pStyle w:val="ListBullet"/>
        <w:spacing w:after="60"/>
      </w:pPr>
      <w:r>
        <w:t>Permission leakage incidents: zero.</w:t>
      </w:r>
    </w:p>
    <w:p>
      <w:pPr>
        <w:pStyle w:val="ListBullet"/>
        <w:spacing w:after="60"/>
      </w:pPr>
      <w:r>
        <w:t>Index freshness by source.</w:t>
      </w:r>
    </w:p>
    <w:p>
      <w:pPr>
        <w:pStyle w:val="ListBullet"/>
        <w:spacing w:after="60"/>
      </w:pPr>
      <w:r>
        <w:t>Connector, parsing, and entity-resolution error rates.</w:t>
      </w:r>
    </w:p>
    <w:p>
      <w:pPr>
        <w:pStyle w:val="Heading2"/>
      </w:pPr>
      <w:r>
        <w:t>Efficiency</w:t>
      </w:r>
    </w:p>
    <w:p>
      <w:pPr>
        <w:pStyle w:val="ListBullet"/>
        <w:spacing w:after="60"/>
      </w:pPr>
      <w:r>
        <w:t>Staff time saved per selected workflow.</w:t>
      </w:r>
    </w:p>
    <w:p>
      <w:pPr>
        <w:pStyle w:val="ListBullet"/>
        <w:spacing w:after="60"/>
      </w:pPr>
      <w:r>
        <w:t>Cost per accepted answer.</w:t>
      </w:r>
    </w:p>
    <w:p>
      <w:pPr>
        <w:pStyle w:val="ListBullet"/>
        <w:spacing w:after="60"/>
      </w:pPr>
      <w:r>
        <w:t>Percentage of retrieved evidence opened by users.</w:t>
      </w:r>
    </w:p>
    <w:p>
      <w:pPr>
        <w:pStyle w:val="ListBullet"/>
        <w:spacing w:after="60"/>
      </w:pPr>
      <w:r>
        <w:t>Reduction in repeated requests to colleagues for already-documented context.</w:t>
      </w:r>
    </w:p>
    <w:p>
      <w:r>
        <w:br w:type="page"/>
      </w:r>
    </w:p>
    <w:p>
      <w:pPr>
        <w:pStyle w:val="Kicker"/>
      </w:pPr>
      <w:r>
        <w:t>SEVEN-MINUTE PRESENTATION SPINE</w:t>
      </w:r>
    </w:p>
    <w:p>
      <w:pPr>
        <w:pStyle w:val="Heading1"/>
      </w:pPr>
      <w:r>
        <w:t>Seven-minute presentation spine</w:t>
      </w:r>
    </w:p>
    <w:p>
      <w:pPr>
        <w:spacing w:after="60"/>
        <w:ind w:left="374" w:hanging="288"/>
      </w:pPr>
      <w:r>
        <w:t xml:space="preserve">1.  </w:t>
      </w:r>
      <w:r>
        <w:rPr>
          <w:b/>
        </w:rPr>
        <w:t>The decision problem, 45 seconds:</w:t>
      </w:r>
      <w:r>
        <w:t xml:space="preserve"> Four systems contain different kinds of truth. Staff need a defensible answer, not another search box.</w:t>
      </w:r>
    </w:p>
    <w:p>
      <w:pPr>
        <w:spacing w:after="60"/>
        <w:ind w:left="374" w:hanging="288"/>
      </w:pPr>
      <w:r>
        <w:t xml:space="preserve">2.  </w:t>
      </w:r>
      <w:r>
        <w:rPr>
          <w:b/>
        </w:rPr>
        <w:t>The product promise, 45 seconds:</w:t>
      </w:r>
      <w:r>
        <w:t xml:space="preserve"> Show Compass answering one realistic question with claim-level citations, source coverage, and an evidence gap.</w:t>
      </w:r>
    </w:p>
    <w:p>
      <w:pPr>
        <w:spacing w:after="60"/>
        <w:ind w:left="374" w:hanging="288"/>
      </w:pPr>
      <w:r>
        <w:t xml:space="preserve">3.  </w:t>
      </w:r>
      <w:r>
        <w:rPr>
          <w:b/>
        </w:rPr>
        <w:t>Discovery, 60 seconds:</w:t>
      </w:r>
      <w:r>
        <w:t xml:space="preserve"> Explain that users, decisions, join keys, permissions, and metric definitions come before model selection.</w:t>
      </w:r>
    </w:p>
    <w:p>
      <w:pPr>
        <w:spacing w:after="60"/>
        <w:ind w:left="374" w:hanging="288"/>
      </w:pPr>
      <w:r>
        <w:t xml:space="preserve">4.  </w:t>
      </w:r>
      <w:r>
        <w:rPr>
          <w:b/>
        </w:rPr>
        <w:t>System, 90 seconds:</w:t>
      </w:r>
      <w:r>
        <w:t xml:space="preserve"> Walk from source contracts through canonical entities, permission-filtered retrieval, answer generation, and feedback.</w:t>
      </w:r>
    </w:p>
    <w:p>
      <w:pPr>
        <w:spacing w:after="60"/>
        <w:ind w:left="374" w:hanging="288"/>
      </w:pPr>
      <w:r>
        <w:t xml:space="preserve">5.  </w:t>
      </w:r>
      <w:r>
        <w:rPr>
          <w:b/>
        </w:rPr>
        <w:t>Risk, 75 seconds:</w:t>
      </w:r>
      <w:r>
        <w:t xml:space="preserve"> Demonstrate estimated versus actual impact, permission exclusion, and insufficient-evidence behavior.</w:t>
      </w:r>
    </w:p>
    <w:p>
      <w:pPr>
        <w:spacing w:after="60"/>
        <w:ind w:left="374" w:hanging="288"/>
      </w:pPr>
      <w:r>
        <w:t xml:space="preserve">6.  </w:t>
      </w:r>
      <w:r>
        <w:rPr>
          <w:b/>
        </w:rPr>
        <w:t>Tradeoffs and roadmap, 60 seconds:</w:t>
      </w:r>
      <w:r>
        <w:t xml:space="preserve"> Explain the narrow first corpus and why Zoom direct messages, autonomous recommendations, and write-back wait.</w:t>
      </w:r>
    </w:p>
    <w:p>
      <w:pPr>
        <w:spacing w:after="60"/>
        <w:ind w:left="374" w:hanging="288"/>
      </w:pPr>
      <w:r>
        <w:t xml:space="preserve">7.  </w:t>
      </w:r>
      <w:r>
        <w:rPr>
          <w:b/>
        </w:rPr>
        <w:t>Close, 45 seconds:</w:t>
      </w:r>
      <w:r>
        <w:t xml:space="preserve"> Connect the product to CREDIT and to the Foundation’s move toward reusable AI capability for philanthropy.</w:t>
      </w:r>
    </w:p>
    <w:p>
      <w:pPr>
        <w:pStyle w:val="Kicker"/>
      </w:pPr>
      <w:r>
        <w:t>INTERVIEW LANGUAGE</w:t>
      </w:r>
    </w:p>
    <w:p>
      <w:pPr>
        <w:pStyle w:val="Heading1"/>
      </w:pPr>
      <w:r>
        <w:t>Interview language</w:t>
      </w:r>
    </w:p>
    <w:p>
      <w:r>
        <w:rPr>
          <w:b/>
        </w:rPr>
        <w:t>Opening:</w:t>
      </w:r>
      <w:r>
        <w:t xml:space="preserve"> “I designed Compass around one rule: if a program officer cannot open the evidence behind a sentence, Compass should not say it.”</w:t>
      </w:r>
    </w:p>
    <w:p>
      <w:r>
        <w:rPr>
          <w:b/>
        </w:rPr>
        <w:t>Product insight:</w:t>
      </w:r>
      <w:r>
        <w:t xml:space="preserve"> “The four systems do not contain four copies of the same truth. GivingData owns grant transactions. Drive carries narrative evidence. Airtable holds relationship context. Zoom captures decisions in motion. The product has to preserve those roles before it synthesizes across them.”</w:t>
      </w:r>
    </w:p>
    <w:p>
      <w:r>
        <w:rPr>
          <w:b/>
        </w:rPr>
        <w:t>Why this scope:</w:t>
      </w:r>
      <w:r>
        <w:t xml:space="preserve"> “I would rather prove ten consequential questions with excellent citations and zero permission leaks than index five years of content and create false confidence.”</w:t>
      </w:r>
    </w:p>
    <w:p>
      <w:r>
        <w:rPr>
          <w:b/>
        </w:rPr>
        <w:t>Human role:</w:t>
      </w:r>
      <w:r>
        <w:t xml:space="preserve"> “Compass prepares the evidence. The team interprets it, asks the grantee for context, and owns the decision.”</w:t>
      </w:r>
    </w:p>
    <w:p>
      <w:r>
        <w:rPr>
          <w:b/>
        </w:rPr>
        <w:t>Close:</w:t>
      </w:r>
      <w:r>
        <w:t xml:space="preserve"> “The pilot creates more than a useful interface. It creates the data contracts, evaluation set, permission model, and operating practice that a future product and engineering function can reuse.”</w:t>
      </w:r>
    </w:p>
    <w:p>
      <w:pPr>
        <w:pStyle w:val="Kicker"/>
      </w:pPr>
      <w:r>
        <w:t>MATERIAL LIMITATIONS</w:t>
      </w:r>
    </w:p>
    <w:p>
      <w:pPr>
        <w:pStyle w:val="Heading1"/>
      </w:pPr>
      <w:r>
        <w:t>Material limitations</w:t>
      </w:r>
    </w:p>
    <w:p>
      <w:r>
        <w:t>This case study uses public information and synthetic interface content. It has no access to the Foundation’s private systems, tenant configuration, record counts, schema, retention settings, grants agreements, user research, or security requirements. Record counts and internal-looking excerpts in the prototype are illustrative. Public impact figures differ by fiscal period and by estimated versus actual scope; the live product must retain those distinctions. GivingData API availability and field coverage depend on the Foundation’s subscription and configuration. Zoom history availability cannot be inferred without an admin retention audit.</w:t>
      </w:r>
    </w:p>
    <w:p>
      <w:r>
        <w:br w:type="page"/>
      </w:r>
    </w:p>
    <w:p>
      <w:pPr>
        <w:pStyle w:val="Kicker"/>
      </w:pPr>
      <w:r>
        <w:t>CLAIM-TO-SOURCE LEDGER</w:t>
      </w:r>
    </w:p>
    <w:p>
      <w:pPr>
        <w:pStyle w:val="Heading1"/>
      </w:pPr>
      <w:r>
        <w:t>Claim-to-source ledger</w:t>
      </w:r>
    </w:p>
    <w:tbl>
      <w:tblPr>
        <w:tblW w:type="auto" w:w="0"/>
        <w:jc w:val="center"/>
        <w:tblLayout w:type="autofit"/>
        <w:tblLook w:firstColumn="1" w:firstRow="1" w:lastColumn="0" w:lastRow="0" w:noHBand="0" w:noVBand="1" w:val="04A0"/>
      </w:tblPr>
      <w:tblGrid>
        <w:gridCol w:w="1999"/>
        <w:gridCol w:w="1999"/>
        <w:gridCol w:w="1999"/>
        <w:gridCol w:w="1999"/>
        <w:gridCol w:w="1999"/>
      </w:tblGrid>
      <w:tr>
        <w:trPr>
          <w:tblHeade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Claim family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Source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Publisher/date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URL</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25152B"/>
          </w:tcPr>
          <w:p>
            <w:pPr>
              <w:spacing w:after="0"/>
            </w:pPr>
            <w:r>
              <w:rPr>
                <w:rFonts w:ascii="Aptos" w:hAnsi="Aptos"/>
                <w:b/>
                <w:color w:val="FFFFFF"/>
                <w:sz w:val="14"/>
              </w:rPr>
              <w:t>Confidence and access note</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Mission, North Star, portfolio figures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North Star</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GitLab Foundation,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https://www.gitlabfoundation.org/north-star-progress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first-party current page</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Strategy and geographies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Our Strategy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GitLab Foundation,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https://www.gitlabfoundation.org/our-strategy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first-party</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FY25 grant and impact figures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2025 Impact Report</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GitLab Foundation, FY2025</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https://www.gitlabfoundation.org/fy2025impactreport</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first-party; scope is FY25</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FY26 direction and results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2026 Impact Report</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GitLab Foundation, FY2026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https://www.gitlabfoundation.org/fy2026impactreport</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first-party; distinguish estimated and actual</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FY26 grant/co-investment figures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GitLab Foundation Reports $8 Billion…</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GitLab Foundation,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https://www.gitlabfoundation.org/our-journey/gitlab-foundation-reports-8-billion-in-lifetime-earnings-gains-across-775000-people-worldwide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first-party communications</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Impact advisory scale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Impact Advisory Services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GitLab Foundation,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https://www.gitlabfoundation.org/impactadvisoryservices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first-party marketing claim</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Team roles and backgrounds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Team</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GitLab Foundation,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https://www.gitlabfoundation.org/team</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first-party bios</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CREDIT and handbook-first culture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Transparency in Action</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GitLab Foundation, Nov. 4, year not shown in page extract</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https://www.gitlabfoundation.org/our-journey/transparency-in-action-understanding-gitlab-foundations-handbooknbsp</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first-party</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Current AI use and human decisions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Can AI Make Grant Seeking Easier…</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Chronicle of Philanthropy, Apr.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https://www.philanthropy.com/news/can-ai-make-grant-seeking-easier-and-grant-making-more-refined/</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direct interviews; secondary source</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Public filing and financial history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Gitlab Org Foundation</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ProPublica Nonprofit Explorer,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https://projects.propublica.org/nonprofits/organizations/874241796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for extracted IRS data; fiscal-label interpretation requires care</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GivingData object hierarchy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Data Structure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GivingData Knowledge Base,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https://knowledgebase.givingdata.com/data-structure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vendor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GivingData API availability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API Documentation</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GivingData,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https://gdcentral.givingdata.com/api-documentation-cv0gf19n</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vendor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GivingData custom fields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Custom Fields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GivingData Knowledge Base,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https://knowledgebase.givingdata.com/custom-fields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vendor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GivingData reports/requirements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Report and Grantee Submission Intake Forms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GivingData Knowledge Base,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https://knowledgebase.givingdata.com/report-and-grantee-submission-intake-forms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vendor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Drive file ACL behavior</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Share files, folders, and drives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Google for Developers, updated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https://developers.google.com/workspace/drive/api/guides/manage-sharing</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official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Drive files and collections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Files and folders overview</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Google for Developers, updated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https://developers.google.com/workspace/drive/api/guides/about-files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official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Airtable pagination and rate limits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Getting started with Airtable’s Web API</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Airtable, updated Aug. 10,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https://support.airtable.com/articles/6292134965-getting-started-with-airtable-s-web-api</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official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Zoom retention and cloud history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Storing Zoom Chat message history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Zoom Support,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https://support.zoom.com/hc/en/article?id=zm_kb&amp;sysparm_article=KB0060329</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official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Zoom export access and limits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Viewing stored chat messages…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Zoom Support,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https://support.zoom.com/hc/en/article?id=zm_kb&amp;sysparm_article=KB0061552</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official documentation</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Grant knowledge-management practice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Grants Management Professional Competency Model</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PEAK Grantmaking, 2024</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https://www.peakgrantmaking.org/wp-content/uploads/grants-management-competency-model.pdf</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sector body</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Philanthropy classification fields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Candid_grants and Candid taxonomy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Candid,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https://data.candid.org/reference/grants-datasets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sector data standard</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GenAI risk governance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AI RMF Generative AI Profile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NIST, Jul. 26, 2024, updated Apr. 8,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https://www.nist.gov/publications/artificial-intelligence-risk-management-framework-generative-artificial-intelligence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High; government framework</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RAG prompt injection and data disclosure</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RAG Security Cheat Sheet and LLM Top 10</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OWASP,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https://cheatsheetseries.owasp.org/cheatsheets/RAG_Security_Cheat_Sheet.html</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FFFFF"/>
          </w:tcPr>
          <w:p>
            <w:pPr>
              <w:spacing w:after="0"/>
            </w:pPr>
            <w:r>
              <w:rPr>
                <w:rFonts w:ascii="Aptos" w:hAnsi="Aptos"/>
                <w:b w:val="0"/>
                <w:color w:val="514753"/>
                <w:sz w:val="14"/>
              </w:rPr>
              <w:t>High; recognized open security guidance</w:t>
            </w:r>
          </w:p>
        </w:tc>
      </w:tr>
      <w:tr>
        <w:trPr>
          <w:cantSplit/>
        </w:trPr>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RAG evaluation dimensions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RAG Evaluators</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Microsoft Learn, accessed Sep. 7, 2026</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https://learn.microsoft.com/en-in/azure/ai-foundry/concepts/evaluation-evaluators/rag-evaluators?view=foundry</w:t>
            </w:r>
          </w:p>
        </w:tc>
        <w:tc>
          <w:tcPr>
            <w:tcW w:type="dxa" w:w="1999"/>
            <w:vAlign w:val="center"/>
            <w:tcBorders>
              <w:top w:val="single" w:sz="5" w:color="D9D9D9"/>
              <w:left w:val="single" w:sz="5" w:color="D9D9D9"/>
              <w:bottom w:val="single" w:sz="5" w:color="D9D9D9"/>
              <w:right w:val="single" w:sz="5" w:color="D9D9D9"/>
            </w:tcBorders>
            <w:tcMar>
              <w:top w:w="95" w:type="dxa"/>
              <w:start w:w="105" w:type="dxa"/>
              <w:bottom w:w="95" w:type="dxa"/>
              <w:end w:w="105" w:type="dxa"/>
            </w:tcMar>
            <w:shd w:fill="F6F3EF"/>
          </w:tcPr>
          <w:p>
            <w:pPr>
              <w:spacing w:after="0"/>
            </w:pPr>
            <w:r>
              <w:rPr>
                <w:rFonts w:ascii="Aptos" w:hAnsi="Aptos"/>
                <w:b w:val="0"/>
                <w:color w:val="514753"/>
                <w:sz w:val="14"/>
              </w:rPr>
              <w:t>Medium-high; vendor methodology</w:t>
            </w:r>
          </w:p>
        </w:tc>
      </w:tr>
    </w:tbl>
    <w:p>
      <w:pPr>
        <w:spacing w:after="20"/>
      </w:pPr>
    </w:p>
    <w:p>
      <w:pPr>
        <w:pStyle w:val="Kicker"/>
      </w:pPr>
      <w:r>
        <w:t>RESEARCH STOP NOTE</w:t>
      </w:r>
    </w:p>
    <w:p>
      <w:pPr>
        <w:pStyle w:val="Heading1"/>
      </w:pPr>
      <w:r>
        <w:t>Research stop note</w:t>
      </w:r>
    </w:p>
    <w:p>
      <w:r>
        <w:t>Research stopped after first-party organizational pages, public filings, source-system documentation, sector practice, and security/evaluation guidance converged on the same design requirements. Additional general RAG sources were unlikely to change the product scope. The remaining consequential unknowns concern the Foundation’s private schema, permissions, retention, agreements, and real user questions; those require discovery rather than more public web research.</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Jessenia Cintron   •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COMPASS  /  GITLAB FOUNDATION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51475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ptos" w:hAnsi="Aptos"/>
      <w:b/>
      <w:color w:val="7657B3"/>
      <w:sz w:val="17"/>
    </w:rPr>
  </w:style>
  <w:style w:type="paragraph" w:customStyle="1" w:styleId="Small">
    <w:name w:val="Small"/>
    <w:pPr>
      <w:spacing w:after="60"/>
    </w:pPr>
    <w:rPr>
      <w:rFonts w:ascii="Aptos" w:hAnsi="Aptos"/>
      <w:color w:val="776D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mpass-gitlab-foundation.jesseniatriumph.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