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EB16" w14:textId="77777777" w:rsidR="00B15CD7" w:rsidRPr="00B15CD7" w:rsidRDefault="00B15CD7" w:rsidP="00B15CD7">
      <w:pPr>
        <w:jc w:val="center"/>
        <w:rPr>
          <w:b/>
          <w:bCs/>
        </w:rPr>
      </w:pPr>
      <w:r w:rsidRPr="00B15CD7">
        <w:rPr>
          <w:rFonts w:ascii="Segoe UI Emoji" w:hAnsi="Segoe UI Emoji" w:cs="Segoe UI Emoji"/>
          <w:b/>
          <w:bCs/>
        </w:rPr>
        <w:t>🧭</w:t>
      </w:r>
      <w:r w:rsidRPr="00B15CD7">
        <w:rPr>
          <w:b/>
          <w:bCs/>
        </w:rPr>
        <w:t xml:space="preserve"> Ethical Use and Oversight Charter</w:t>
      </w:r>
    </w:p>
    <w:p w14:paraId="48389A2D" w14:textId="2CA278AD" w:rsidR="00B15CD7" w:rsidRPr="00B15CD7" w:rsidRDefault="00B15CD7" w:rsidP="00B15CD7">
      <w:r w:rsidRPr="00B15CD7">
        <w:rPr>
          <w:b/>
          <w:bCs/>
        </w:rPr>
        <w:t>Digital Chain-of-Custody System (DCCS)</w:t>
      </w:r>
      <w:r w:rsidRPr="00B15CD7">
        <w:br/>
      </w:r>
      <w:r w:rsidRPr="00B15CD7">
        <w:pict w14:anchorId="36EF196F">
          <v:rect id="_x0000_i1086" style="width:0;height:1.5pt" o:hralign="center" o:hrstd="t" o:hr="t" fillcolor="#a0a0a0" stroked="f"/>
        </w:pict>
      </w:r>
    </w:p>
    <w:p w14:paraId="3E7F8FE2" w14:textId="77777777" w:rsidR="00B15CD7" w:rsidRPr="00B15CD7" w:rsidRDefault="00B15CD7" w:rsidP="00B15CD7">
      <w:pPr>
        <w:rPr>
          <w:b/>
          <w:bCs/>
        </w:rPr>
      </w:pPr>
      <w:r w:rsidRPr="00B15CD7">
        <w:rPr>
          <w:b/>
          <w:bCs/>
        </w:rPr>
        <w:t>Purpose</w:t>
      </w:r>
    </w:p>
    <w:p w14:paraId="3EBF9B48" w14:textId="77777777" w:rsidR="00B15CD7" w:rsidRPr="00B15CD7" w:rsidRDefault="00B15CD7" w:rsidP="00B15CD7">
      <w:r w:rsidRPr="00B15CD7">
        <w:t>To establish a formal policy governing the ethical use, oversight, and accountability of the Digital Chain-of-Custody System (DCCS). This charter ensures that all users and administrators operate within legal, professional, and ethical boundaries, protecting the integrity of evidence and the rights of individuals involved (FBI CJIS Division, 2023; ISO/IEC, 2022; U.S. Department of Health &amp; Human Services, 2023).</w:t>
      </w:r>
    </w:p>
    <w:p w14:paraId="57B4EC40" w14:textId="77777777" w:rsidR="00B15CD7" w:rsidRPr="00B15CD7" w:rsidRDefault="00B15CD7" w:rsidP="00B15CD7">
      <w:r w:rsidRPr="00B15CD7">
        <w:pict w14:anchorId="0DAF92F7">
          <v:rect id="_x0000_i1087" style="width:0;height:1.5pt" o:hralign="center" o:hrstd="t" o:hr="t" fillcolor="#a0a0a0" stroked="f"/>
        </w:pict>
      </w:r>
    </w:p>
    <w:p w14:paraId="52D83DF2" w14:textId="77777777" w:rsidR="00B15CD7" w:rsidRPr="00B15CD7" w:rsidRDefault="00B15CD7" w:rsidP="00B15CD7">
      <w:pPr>
        <w:rPr>
          <w:b/>
          <w:bCs/>
        </w:rPr>
      </w:pPr>
      <w:r w:rsidRPr="00B15CD7">
        <w:rPr>
          <w:b/>
          <w:bCs/>
        </w:rPr>
        <w:t>Guiding Principles</w:t>
      </w:r>
    </w:p>
    <w:p w14:paraId="4CCD5FEE" w14:textId="77777777" w:rsidR="00B15CD7" w:rsidRPr="00B15CD7" w:rsidRDefault="00B15CD7" w:rsidP="00B15CD7">
      <w:pPr>
        <w:numPr>
          <w:ilvl w:val="0"/>
          <w:numId w:val="1"/>
        </w:numPr>
      </w:pPr>
      <w:r w:rsidRPr="00B15CD7">
        <w:rPr>
          <w:b/>
          <w:bCs/>
        </w:rPr>
        <w:t>Integrity</w:t>
      </w:r>
      <w:r w:rsidRPr="00B15CD7">
        <w:t>: All evidence must be preserved in its original form, with verifiable custody and audit trails.</w:t>
      </w:r>
    </w:p>
    <w:p w14:paraId="7DE60054" w14:textId="77777777" w:rsidR="00B15CD7" w:rsidRPr="00B15CD7" w:rsidRDefault="00B15CD7" w:rsidP="00B15CD7">
      <w:pPr>
        <w:numPr>
          <w:ilvl w:val="0"/>
          <w:numId w:val="1"/>
        </w:numPr>
      </w:pPr>
      <w:r w:rsidRPr="00B15CD7">
        <w:rPr>
          <w:b/>
          <w:bCs/>
        </w:rPr>
        <w:t>Transparency</w:t>
      </w:r>
      <w:r w:rsidRPr="00B15CD7">
        <w:t>: All system actions are logged, reviewable, and attributable to specific users.</w:t>
      </w:r>
    </w:p>
    <w:p w14:paraId="7BA792AB" w14:textId="77777777" w:rsidR="00B15CD7" w:rsidRPr="00B15CD7" w:rsidRDefault="00B15CD7" w:rsidP="00B15CD7">
      <w:pPr>
        <w:numPr>
          <w:ilvl w:val="0"/>
          <w:numId w:val="1"/>
        </w:numPr>
      </w:pPr>
      <w:r w:rsidRPr="00B15CD7">
        <w:rPr>
          <w:b/>
          <w:bCs/>
        </w:rPr>
        <w:t>Accountability</w:t>
      </w:r>
      <w:r w:rsidRPr="00B15CD7">
        <w:t>: Misuse or negligence is traceable and subject to disciplinary or legal action.</w:t>
      </w:r>
    </w:p>
    <w:p w14:paraId="66B2A992" w14:textId="77777777" w:rsidR="00B15CD7" w:rsidRPr="00B15CD7" w:rsidRDefault="00B15CD7" w:rsidP="00B15CD7">
      <w:pPr>
        <w:numPr>
          <w:ilvl w:val="0"/>
          <w:numId w:val="1"/>
        </w:numPr>
      </w:pPr>
      <w:r w:rsidRPr="00B15CD7">
        <w:rPr>
          <w:b/>
          <w:bCs/>
        </w:rPr>
        <w:t>Privacy</w:t>
      </w:r>
      <w:r w:rsidRPr="00B15CD7">
        <w:t>: Personally identifiable information (PII) and protected health information (PHI) are handled with strict confidentiality.</w:t>
      </w:r>
    </w:p>
    <w:p w14:paraId="6F204531" w14:textId="77777777" w:rsidR="00B15CD7" w:rsidRPr="00B15CD7" w:rsidRDefault="00B15CD7" w:rsidP="00B15CD7">
      <w:pPr>
        <w:numPr>
          <w:ilvl w:val="0"/>
          <w:numId w:val="1"/>
        </w:numPr>
      </w:pPr>
      <w:r w:rsidRPr="00B15CD7">
        <w:rPr>
          <w:b/>
          <w:bCs/>
        </w:rPr>
        <w:t>Equity</w:t>
      </w:r>
      <w:r w:rsidRPr="00B15CD7">
        <w:t>: No user shall be granted access or privileges that violate role-based controls or jurisdictional boundaries.</w:t>
      </w:r>
    </w:p>
    <w:p w14:paraId="440B4C02" w14:textId="77777777" w:rsidR="00B15CD7" w:rsidRPr="00B15CD7" w:rsidRDefault="00B15CD7" w:rsidP="00B15CD7">
      <w:r w:rsidRPr="00B15CD7">
        <w:pict w14:anchorId="23A5C6D4">
          <v:rect id="_x0000_i1088" style="width:0;height:1.5pt" o:hralign="center" o:hrstd="t" o:hr="t" fillcolor="#a0a0a0" stroked="f"/>
        </w:pict>
      </w:r>
    </w:p>
    <w:p w14:paraId="006FAF17" w14:textId="77777777" w:rsidR="00B15CD7" w:rsidRPr="00B15CD7" w:rsidRDefault="00B15CD7" w:rsidP="00B15CD7">
      <w:pPr>
        <w:rPr>
          <w:b/>
          <w:bCs/>
        </w:rPr>
      </w:pPr>
      <w:r w:rsidRPr="00B15CD7">
        <w:rPr>
          <w:b/>
          <w:bCs/>
        </w:rPr>
        <w:t>Acceptable Use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7521"/>
      </w:tblGrid>
      <w:tr w:rsidR="00B15CD7" w:rsidRPr="00B15CD7" w14:paraId="785EE72C" w14:textId="77777777">
        <w:trPr>
          <w:tblHeader/>
          <w:tblCellSpacing w:w="15" w:type="dxa"/>
        </w:trPr>
        <w:tc>
          <w:tcPr>
            <w:tcW w:w="0" w:type="auto"/>
            <w:vAlign w:val="center"/>
            <w:hideMark/>
          </w:tcPr>
          <w:p w14:paraId="579CA7F9" w14:textId="77777777" w:rsidR="00B15CD7" w:rsidRPr="00B15CD7" w:rsidRDefault="00B15CD7" w:rsidP="00B15CD7">
            <w:pPr>
              <w:rPr>
                <w:b/>
                <w:bCs/>
              </w:rPr>
            </w:pPr>
            <w:r w:rsidRPr="00B15CD7">
              <w:rPr>
                <w:b/>
                <w:bCs/>
              </w:rPr>
              <w:t>Category</w:t>
            </w:r>
          </w:p>
        </w:tc>
        <w:tc>
          <w:tcPr>
            <w:tcW w:w="0" w:type="auto"/>
            <w:vAlign w:val="center"/>
            <w:hideMark/>
          </w:tcPr>
          <w:p w14:paraId="2FE4D227" w14:textId="77777777" w:rsidR="00B15CD7" w:rsidRPr="00B15CD7" w:rsidRDefault="00B15CD7" w:rsidP="00B15CD7">
            <w:pPr>
              <w:rPr>
                <w:b/>
                <w:bCs/>
              </w:rPr>
            </w:pPr>
            <w:r w:rsidRPr="00B15CD7">
              <w:rPr>
                <w:b/>
                <w:bCs/>
              </w:rPr>
              <w:t>Policy</w:t>
            </w:r>
          </w:p>
        </w:tc>
      </w:tr>
      <w:tr w:rsidR="00B15CD7" w:rsidRPr="00B15CD7" w14:paraId="1DB09F59" w14:textId="77777777">
        <w:trPr>
          <w:tblCellSpacing w:w="15" w:type="dxa"/>
        </w:trPr>
        <w:tc>
          <w:tcPr>
            <w:tcW w:w="0" w:type="auto"/>
            <w:vAlign w:val="center"/>
            <w:hideMark/>
          </w:tcPr>
          <w:p w14:paraId="6BD78E59" w14:textId="77777777" w:rsidR="00B15CD7" w:rsidRPr="00B15CD7" w:rsidRDefault="00B15CD7" w:rsidP="00B15CD7">
            <w:r w:rsidRPr="00B15CD7">
              <w:rPr>
                <w:b/>
                <w:bCs/>
              </w:rPr>
              <w:t>Access</w:t>
            </w:r>
          </w:p>
        </w:tc>
        <w:tc>
          <w:tcPr>
            <w:tcW w:w="0" w:type="auto"/>
            <w:vAlign w:val="center"/>
            <w:hideMark/>
          </w:tcPr>
          <w:p w14:paraId="477CE6D7" w14:textId="77777777" w:rsidR="00B15CD7" w:rsidRPr="00B15CD7" w:rsidRDefault="00B15CD7" w:rsidP="00B15CD7">
            <w:r w:rsidRPr="00B15CD7">
              <w:t>Users may only access evidence and system functions aligned with their assigned role and jurisdiction.</w:t>
            </w:r>
          </w:p>
        </w:tc>
      </w:tr>
      <w:tr w:rsidR="00B15CD7" w:rsidRPr="00B15CD7" w14:paraId="79A8E9B4" w14:textId="77777777">
        <w:trPr>
          <w:tblCellSpacing w:w="15" w:type="dxa"/>
        </w:trPr>
        <w:tc>
          <w:tcPr>
            <w:tcW w:w="0" w:type="auto"/>
            <w:vAlign w:val="center"/>
            <w:hideMark/>
          </w:tcPr>
          <w:p w14:paraId="1BDDD99F" w14:textId="77777777" w:rsidR="00B15CD7" w:rsidRPr="00B15CD7" w:rsidRDefault="00B15CD7" w:rsidP="00B15CD7">
            <w:r w:rsidRPr="00B15CD7">
              <w:rPr>
                <w:b/>
                <w:bCs/>
              </w:rPr>
              <w:t>Annotation</w:t>
            </w:r>
          </w:p>
        </w:tc>
        <w:tc>
          <w:tcPr>
            <w:tcW w:w="0" w:type="auto"/>
            <w:vAlign w:val="center"/>
            <w:hideMark/>
          </w:tcPr>
          <w:p w14:paraId="28F27CC2" w14:textId="77777777" w:rsidR="00B15CD7" w:rsidRPr="00B15CD7" w:rsidRDefault="00B15CD7" w:rsidP="00B15CD7">
            <w:r w:rsidRPr="00B15CD7">
              <w:t>All annotations must be factual, relevant, and free from bias or speculation.</w:t>
            </w:r>
          </w:p>
        </w:tc>
      </w:tr>
      <w:tr w:rsidR="00B15CD7" w:rsidRPr="00B15CD7" w14:paraId="2C1E2584" w14:textId="77777777">
        <w:trPr>
          <w:tblCellSpacing w:w="15" w:type="dxa"/>
        </w:trPr>
        <w:tc>
          <w:tcPr>
            <w:tcW w:w="0" w:type="auto"/>
            <w:vAlign w:val="center"/>
            <w:hideMark/>
          </w:tcPr>
          <w:p w14:paraId="601A8651" w14:textId="77777777" w:rsidR="00B15CD7" w:rsidRPr="00B15CD7" w:rsidRDefault="00B15CD7" w:rsidP="00B15CD7">
            <w:r w:rsidRPr="00B15CD7">
              <w:rPr>
                <w:b/>
                <w:bCs/>
              </w:rPr>
              <w:lastRenderedPageBreak/>
              <w:t>Export</w:t>
            </w:r>
          </w:p>
        </w:tc>
        <w:tc>
          <w:tcPr>
            <w:tcW w:w="0" w:type="auto"/>
            <w:vAlign w:val="center"/>
            <w:hideMark/>
          </w:tcPr>
          <w:p w14:paraId="749FA8DD" w14:textId="77777777" w:rsidR="00B15CD7" w:rsidRPr="00B15CD7" w:rsidRDefault="00B15CD7" w:rsidP="00B15CD7">
            <w:r w:rsidRPr="00B15CD7">
              <w:t>Evidence may only be exported with proper redaction, legal review, and audit trail inclusion.</w:t>
            </w:r>
          </w:p>
        </w:tc>
      </w:tr>
      <w:tr w:rsidR="00B15CD7" w:rsidRPr="00B15CD7" w14:paraId="07896531" w14:textId="77777777">
        <w:trPr>
          <w:tblCellSpacing w:w="15" w:type="dxa"/>
        </w:trPr>
        <w:tc>
          <w:tcPr>
            <w:tcW w:w="0" w:type="auto"/>
            <w:vAlign w:val="center"/>
            <w:hideMark/>
          </w:tcPr>
          <w:p w14:paraId="1B91FCEA" w14:textId="77777777" w:rsidR="00B15CD7" w:rsidRPr="00B15CD7" w:rsidRDefault="00B15CD7" w:rsidP="00B15CD7">
            <w:r w:rsidRPr="00B15CD7">
              <w:rPr>
                <w:b/>
                <w:bCs/>
              </w:rPr>
              <w:t>Redaction</w:t>
            </w:r>
          </w:p>
        </w:tc>
        <w:tc>
          <w:tcPr>
            <w:tcW w:w="0" w:type="auto"/>
            <w:vAlign w:val="center"/>
            <w:hideMark/>
          </w:tcPr>
          <w:p w14:paraId="4AA06D2E" w14:textId="77777777" w:rsidR="00B15CD7" w:rsidRPr="00B15CD7" w:rsidRDefault="00B15CD7" w:rsidP="00B15CD7">
            <w:r w:rsidRPr="00B15CD7">
              <w:t>Redactions must be applied ethically, preserving the integrity of the evidence while protecting privacy.</w:t>
            </w:r>
          </w:p>
        </w:tc>
      </w:tr>
      <w:tr w:rsidR="00B15CD7" w:rsidRPr="00B15CD7" w14:paraId="65BA1E41" w14:textId="77777777">
        <w:trPr>
          <w:tblCellSpacing w:w="15" w:type="dxa"/>
        </w:trPr>
        <w:tc>
          <w:tcPr>
            <w:tcW w:w="0" w:type="auto"/>
            <w:vAlign w:val="center"/>
            <w:hideMark/>
          </w:tcPr>
          <w:p w14:paraId="3CFBB65C" w14:textId="77777777" w:rsidR="00B15CD7" w:rsidRPr="00B15CD7" w:rsidRDefault="00B15CD7" w:rsidP="00B15CD7">
            <w:r w:rsidRPr="00B15CD7">
              <w:rPr>
                <w:b/>
                <w:bCs/>
              </w:rPr>
              <w:t>Communication</w:t>
            </w:r>
          </w:p>
        </w:tc>
        <w:tc>
          <w:tcPr>
            <w:tcW w:w="0" w:type="auto"/>
            <w:vAlign w:val="center"/>
            <w:hideMark/>
          </w:tcPr>
          <w:p w14:paraId="1F8FABAF" w14:textId="77777777" w:rsidR="00B15CD7" w:rsidRPr="00B15CD7" w:rsidRDefault="00B15CD7" w:rsidP="00B15CD7">
            <w:r w:rsidRPr="00B15CD7">
              <w:t>Internal and external communications involving DCCS data must be encrypted and logged.</w:t>
            </w:r>
          </w:p>
        </w:tc>
      </w:tr>
      <w:tr w:rsidR="00B15CD7" w:rsidRPr="00B15CD7" w14:paraId="5860C120" w14:textId="77777777">
        <w:trPr>
          <w:tblCellSpacing w:w="15" w:type="dxa"/>
        </w:trPr>
        <w:tc>
          <w:tcPr>
            <w:tcW w:w="0" w:type="auto"/>
            <w:vAlign w:val="center"/>
            <w:hideMark/>
          </w:tcPr>
          <w:p w14:paraId="3027A0F8" w14:textId="77777777" w:rsidR="00B15CD7" w:rsidRPr="00B15CD7" w:rsidRDefault="00B15CD7" w:rsidP="00B15CD7">
            <w:r w:rsidRPr="00B15CD7">
              <w:rPr>
                <w:b/>
                <w:bCs/>
              </w:rPr>
              <w:t>Training</w:t>
            </w:r>
          </w:p>
        </w:tc>
        <w:tc>
          <w:tcPr>
            <w:tcW w:w="0" w:type="auto"/>
            <w:vAlign w:val="center"/>
            <w:hideMark/>
          </w:tcPr>
          <w:p w14:paraId="7B571F82" w14:textId="77777777" w:rsidR="00B15CD7" w:rsidRPr="00B15CD7" w:rsidRDefault="00B15CD7" w:rsidP="00B15CD7">
            <w:r w:rsidRPr="00B15CD7">
              <w:t>All users must complete role-based training on ethical use, privacy, and legal compliance before system access is granted.</w:t>
            </w:r>
          </w:p>
        </w:tc>
      </w:tr>
    </w:tbl>
    <w:p w14:paraId="12DDCF0E" w14:textId="77777777" w:rsidR="00B15CD7" w:rsidRPr="00B15CD7" w:rsidRDefault="00B15CD7" w:rsidP="00B15CD7">
      <w:r w:rsidRPr="00B15CD7">
        <w:pict w14:anchorId="29C9763A">
          <v:rect id="_x0000_i1089" style="width:0;height:1.5pt" o:hralign="center" o:hrstd="t" o:hr="t" fillcolor="#a0a0a0" stroked="f"/>
        </w:pict>
      </w:r>
    </w:p>
    <w:p w14:paraId="625D0B2C" w14:textId="77777777" w:rsidR="00B15CD7" w:rsidRPr="00B15CD7" w:rsidRDefault="00B15CD7" w:rsidP="00B15CD7">
      <w:pPr>
        <w:rPr>
          <w:b/>
          <w:bCs/>
        </w:rPr>
      </w:pPr>
      <w:r w:rsidRPr="00B15CD7">
        <w:rPr>
          <w:b/>
          <w:bCs/>
        </w:rPr>
        <w:t>Oversight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7070"/>
      </w:tblGrid>
      <w:tr w:rsidR="00B15CD7" w:rsidRPr="00B15CD7" w14:paraId="4C8B48D7" w14:textId="77777777">
        <w:trPr>
          <w:tblHeader/>
          <w:tblCellSpacing w:w="15" w:type="dxa"/>
        </w:trPr>
        <w:tc>
          <w:tcPr>
            <w:tcW w:w="0" w:type="auto"/>
            <w:vAlign w:val="center"/>
            <w:hideMark/>
          </w:tcPr>
          <w:p w14:paraId="268294F1" w14:textId="77777777" w:rsidR="00B15CD7" w:rsidRPr="00B15CD7" w:rsidRDefault="00B15CD7" w:rsidP="00B15CD7">
            <w:pPr>
              <w:rPr>
                <w:b/>
                <w:bCs/>
              </w:rPr>
            </w:pPr>
            <w:r w:rsidRPr="00B15CD7">
              <w:rPr>
                <w:b/>
                <w:bCs/>
              </w:rPr>
              <w:t>Mechanism</w:t>
            </w:r>
          </w:p>
        </w:tc>
        <w:tc>
          <w:tcPr>
            <w:tcW w:w="0" w:type="auto"/>
            <w:vAlign w:val="center"/>
            <w:hideMark/>
          </w:tcPr>
          <w:p w14:paraId="7A98A1FC" w14:textId="77777777" w:rsidR="00B15CD7" w:rsidRPr="00B15CD7" w:rsidRDefault="00B15CD7" w:rsidP="00B15CD7">
            <w:pPr>
              <w:rPr>
                <w:b/>
                <w:bCs/>
              </w:rPr>
            </w:pPr>
            <w:r w:rsidRPr="00B15CD7">
              <w:rPr>
                <w:b/>
                <w:bCs/>
              </w:rPr>
              <w:t>Description</w:t>
            </w:r>
          </w:p>
        </w:tc>
      </w:tr>
      <w:tr w:rsidR="00B15CD7" w:rsidRPr="00B15CD7" w14:paraId="5033BF24" w14:textId="77777777">
        <w:trPr>
          <w:tblCellSpacing w:w="15" w:type="dxa"/>
        </w:trPr>
        <w:tc>
          <w:tcPr>
            <w:tcW w:w="0" w:type="auto"/>
            <w:vAlign w:val="center"/>
            <w:hideMark/>
          </w:tcPr>
          <w:p w14:paraId="16764988" w14:textId="77777777" w:rsidR="00B15CD7" w:rsidRPr="00B15CD7" w:rsidRDefault="00B15CD7" w:rsidP="00B15CD7">
            <w:r w:rsidRPr="00B15CD7">
              <w:rPr>
                <w:b/>
                <w:bCs/>
              </w:rPr>
              <w:t>Audit Trail Review</w:t>
            </w:r>
          </w:p>
        </w:tc>
        <w:tc>
          <w:tcPr>
            <w:tcW w:w="0" w:type="auto"/>
            <w:vAlign w:val="center"/>
            <w:hideMark/>
          </w:tcPr>
          <w:p w14:paraId="52EFAFAF" w14:textId="77777777" w:rsidR="00B15CD7" w:rsidRPr="00B15CD7" w:rsidRDefault="00B15CD7" w:rsidP="00B15CD7">
            <w:r w:rsidRPr="00B15CD7">
              <w:t>All system actions are logged and reviewed quarterly by an independent auditor.</w:t>
            </w:r>
          </w:p>
        </w:tc>
      </w:tr>
      <w:tr w:rsidR="00B15CD7" w:rsidRPr="00B15CD7" w14:paraId="22EFAEA9" w14:textId="77777777">
        <w:trPr>
          <w:tblCellSpacing w:w="15" w:type="dxa"/>
        </w:trPr>
        <w:tc>
          <w:tcPr>
            <w:tcW w:w="0" w:type="auto"/>
            <w:vAlign w:val="center"/>
            <w:hideMark/>
          </w:tcPr>
          <w:p w14:paraId="6C389780" w14:textId="77777777" w:rsidR="00B15CD7" w:rsidRPr="00B15CD7" w:rsidRDefault="00B15CD7" w:rsidP="00B15CD7">
            <w:r w:rsidRPr="00B15CD7">
              <w:rPr>
                <w:b/>
                <w:bCs/>
              </w:rPr>
              <w:t>Ethics Committee</w:t>
            </w:r>
          </w:p>
        </w:tc>
        <w:tc>
          <w:tcPr>
            <w:tcW w:w="0" w:type="auto"/>
            <w:vAlign w:val="center"/>
            <w:hideMark/>
          </w:tcPr>
          <w:p w14:paraId="5218F805" w14:textId="77777777" w:rsidR="00B15CD7" w:rsidRPr="00B15CD7" w:rsidRDefault="00B15CD7" w:rsidP="00B15CD7">
            <w:r w:rsidRPr="00B15CD7">
              <w:t>A multidisciplinary panel (legal, forensic, technical) reviews flagged incidents and policy violations.</w:t>
            </w:r>
          </w:p>
        </w:tc>
      </w:tr>
      <w:tr w:rsidR="00B15CD7" w:rsidRPr="00B15CD7" w14:paraId="11326BC6" w14:textId="77777777">
        <w:trPr>
          <w:tblCellSpacing w:w="15" w:type="dxa"/>
        </w:trPr>
        <w:tc>
          <w:tcPr>
            <w:tcW w:w="0" w:type="auto"/>
            <w:vAlign w:val="center"/>
            <w:hideMark/>
          </w:tcPr>
          <w:p w14:paraId="600C50E0" w14:textId="77777777" w:rsidR="00B15CD7" w:rsidRPr="00B15CD7" w:rsidRDefault="00B15CD7" w:rsidP="00B15CD7">
            <w:r w:rsidRPr="00B15CD7">
              <w:rPr>
                <w:b/>
                <w:bCs/>
              </w:rPr>
              <w:t>Whistleblower Portal</w:t>
            </w:r>
          </w:p>
        </w:tc>
        <w:tc>
          <w:tcPr>
            <w:tcW w:w="0" w:type="auto"/>
            <w:vAlign w:val="center"/>
            <w:hideMark/>
          </w:tcPr>
          <w:p w14:paraId="53878627" w14:textId="77777777" w:rsidR="00B15CD7" w:rsidRPr="00B15CD7" w:rsidRDefault="00B15CD7" w:rsidP="00B15CD7">
            <w:r w:rsidRPr="00B15CD7">
              <w:t>Anonymous reporting mechanism for suspected misuse or ethical violations.</w:t>
            </w:r>
          </w:p>
        </w:tc>
      </w:tr>
      <w:tr w:rsidR="00B15CD7" w:rsidRPr="00B15CD7" w14:paraId="469DDB79" w14:textId="77777777">
        <w:trPr>
          <w:tblCellSpacing w:w="15" w:type="dxa"/>
        </w:trPr>
        <w:tc>
          <w:tcPr>
            <w:tcW w:w="0" w:type="auto"/>
            <w:vAlign w:val="center"/>
            <w:hideMark/>
          </w:tcPr>
          <w:p w14:paraId="565D4A18" w14:textId="77777777" w:rsidR="00B15CD7" w:rsidRPr="00B15CD7" w:rsidRDefault="00B15CD7" w:rsidP="00B15CD7">
            <w:r w:rsidRPr="00B15CD7">
              <w:rPr>
                <w:b/>
                <w:bCs/>
              </w:rPr>
              <w:t>Usage Analytics</w:t>
            </w:r>
          </w:p>
        </w:tc>
        <w:tc>
          <w:tcPr>
            <w:tcW w:w="0" w:type="auto"/>
            <w:vAlign w:val="center"/>
            <w:hideMark/>
          </w:tcPr>
          <w:p w14:paraId="53F05947" w14:textId="77777777" w:rsidR="00B15CD7" w:rsidRPr="00B15CD7" w:rsidRDefault="00B15CD7" w:rsidP="00B15CD7">
            <w:r w:rsidRPr="00B15CD7">
              <w:t>Behavioral analytics detect anomalies in access patterns, annotation behavior, and export frequency.</w:t>
            </w:r>
          </w:p>
        </w:tc>
      </w:tr>
      <w:tr w:rsidR="00B15CD7" w:rsidRPr="00B15CD7" w14:paraId="3C83E0B1" w14:textId="77777777">
        <w:trPr>
          <w:tblCellSpacing w:w="15" w:type="dxa"/>
        </w:trPr>
        <w:tc>
          <w:tcPr>
            <w:tcW w:w="0" w:type="auto"/>
            <w:vAlign w:val="center"/>
            <w:hideMark/>
          </w:tcPr>
          <w:p w14:paraId="30F99344" w14:textId="77777777" w:rsidR="00B15CD7" w:rsidRPr="00B15CD7" w:rsidRDefault="00B15CD7" w:rsidP="00B15CD7">
            <w:r w:rsidRPr="00B15CD7">
              <w:rPr>
                <w:b/>
                <w:bCs/>
              </w:rPr>
              <w:t>Legal Hold Enforcement</w:t>
            </w:r>
          </w:p>
        </w:tc>
        <w:tc>
          <w:tcPr>
            <w:tcW w:w="0" w:type="auto"/>
            <w:vAlign w:val="center"/>
            <w:hideMark/>
          </w:tcPr>
          <w:p w14:paraId="7193572A" w14:textId="77777777" w:rsidR="00B15CD7" w:rsidRPr="00B15CD7" w:rsidRDefault="00B15CD7" w:rsidP="00B15CD7">
            <w:r w:rsidRPr="00B15CD7">
              <w:t>Evidence under dispute or litigation is locked and monitored for unauthorized access.</w:t>
            </w:r>
          </w:p>
        </w:tc>
      </w:tr>
      <w:tr w:rsidR="00B15CD7" w:rsidRPr="00B15CD7" w14:paraId="6AA7A012" w14:textId="77777777">
        <w:trPr>
          <w:tblCellSpacing w:w="15" w:type="dxa"/>
        </w:trPr>
        <w:tc>
          <w:tcPr>
            <w:tcW w:w="0" w:type="auto"/>
            <w:vAlign w:val="center"/>
            <w:hideMark/>
          </w:tcPr>
          <w:p w14:paraId="2A4FB8A6" w14:textId="77777777" w:rsidR="00B15CD7" w:rsidRPr="00B15CD7" w:rsidRDefault="00B15CD7" w:rsidP="00B15CD7">
            <w:r w:rsidRPr="00B15CD7">
              <w:rPr>
                <w:b/>
                <w:bCs/>
              </w:rPr>
              <w:t>Override Logging</w:t>
            </w:r>
          </w:p>
        </w:tc>
        <w:tc>
          <w:tcPr>
            <w:tcW w:w="0" w:type="auto"/>
            <w:vAlign w:val="center"/>
            <w:hideMark/>
          </w:tcPr>
          <w:p w14:paraId="4F6B83AF" w14:textId="77777777" w:rsidR="00B15CD7" w:rsidRPr="00B15CD7" w:rsidRDefault="00B15CD7" w:rsidP="00B15CD7">
            <w:r w:rsidRPr="00B15CD7">
              <w:t>Any manual override of system rules requires dual approval and is logged with justification.</w:t>
            </w:r>
          </w:p>
        </w:tc>
      </w:tr>
    </w:tbl>
    <w:p w14:paraId="3BB4C807" w14:textId="77777777" w:rsidR="00B15CD7" w:rsidRPr="00B15CD7" w:rsidRDefault="00B15CD7" w:rsidP="00B15CD7">
      <w:r w:rsidRPr="00B15CD7">
        <w:pict w14:anchorId="30C9664A">
          <v:rect id="_x0000_i1090" style="width:0;height:1.5pt" o:hralign="center" o:hrstd="t" o:hr="t" fillcolor="#a0a0a0" stroked="f"/>
        </w:pict>
      </w:r>
    </w:p>
    <w:p w14:paraId="216A8731" w14:textId="77777777" w:rsidR="00B15CD7" w:rsidRPr="00B15CD7" w:rsidRDefault="00B15CD7" w:rsidP="00B15CD7">
      <w:pPr>
        <w:rPr>
          <w:b/>
          <w:bCs/>
        </w:rPr>
      </w:pPr>
      <w:r w:rsidRPr="00B15CD7">
        <w:rPr>
          <w:b/>
          <w:bCs/>
        </w:rPr>
        <w:t>Protections Against Misuse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6517"/>
      </w:tblGrid>
      <w:tr w:rsidR="00B15CD7" w:rsidRPr="00B15CD7" w14:paraId="72A6800C" w14:textId="77777777">
        <w:trPr>
          <w:tblHeader/>
          <w:tblCellSpacing w:w="15" w:type="dxa"/>
        </w:trPr>
        <w:tc>
          <w:tcPr>
            <w:tcW w:w="0" w:type="auto"/>
            <w:vAlign w:val="center"/>
            <w:hideMark/>
          </w:tcPr>
          <w:p w14:paraId="0ED123B1" w14:textId="77777777" w:rsidR="00B15CD7" w:rsidRPr="00B15CD7" w:rsidRDefault="00B15CD7" w:rsidP="00B15CD7">
            <w:pPr>
              <w:rPr>
                <w:b/>
                <w:bCs/>
              </w:rPr>
            </w:pPr>
            <w:r w:rsidRPr="00B15CD7">
              <w:rPr>
                <w:b/>
                <w:bCs/>
              </w:rPr>
              <w:lastRenderedPageBreak/>
              <w:t>Threat</w:t>
            </w:r>
          </w:p>
        </w:tc>
        <w:tc>
          <w:tcPr>
            <w:tcW w:w="0" w:type="auto"/>
            <w:vAlign w:val="center"/>
            <w:hideMark/>
          </w:tcPr>
          <w:p w14:paraId="0852FC52" w14:textId="77777777" w:rsidR="00B15CD7" w:rsidRPr="00B15CD7" w:rsidRDefault="00B15CD7" w:rsidP="00B15CD7">
            <w:pPr>
              <w:rPr>
                <w:b/>
                <w:bCs/>
              </w:rPr>
            </w:pPr>
            <w:r w:rsidRPr="00B15CD7">
              <w:rPr>
                <w:b/>
                <w:bCs/>
              </w:rPr>
              <w:t>Safeguard</w:t>
            </w:r>
          </w:p>
        </w:tc>
      </w:tr>
      <w:tr w:rsidR="00B15CD7" w:rsidRPr="00B15CD7" w14:paraId="6C0F60EE" w14:textId="77777777">
        <w:trPr>
          <w:tblCellSpacing w:w="15" w:type="dxa"/>
        </w:trPr>
        <w:tc>
          <w:tcPr>
            <w:tcW w:w="0" w:type="auto"/>
            <w:vAlign w:val="center"/>
            <w:hideMark/>
          </w:tcPr>
          <w:p w14:paraId="788B3747" w14:textId="77777777" w:rsidR="00B15CD7" w:rsidRPr="00B15CD7" w:rsidRDefault="00B15CD7" w:rsidP="00B15CD7">
            <w:r w:rsidRPr="00B15CD7">
              <w:rPr>
                <w:b/>
                <w:bCs/>
              </w:rPr>
              <w:t>Insider Tampering</w:t>
            </w:r>
          </w:p>
        </w:tc>
        <w:tc>
          <w:tcPr>
            <w:tcW w:w="0" w:type="auto"/>
            <w:vAlign w:val="center"/>
            <w:hideMark/>
          </w:tcPr>
          <w:p w14:paraId="0FD4A6CB" w14:textId="77777777" w:rsidR="00B15CD7" w:rsidRPr="00B15CD7" w:rsidRDefault="00B15CD7" w:rsidP="00B15CD7">
            <w:r w:rsidRPr="00B15CD7">
              <w:t>Hash verification, audit logging, and privilege separation.</w:t>
            </w:r>
          </w:p>
        </w:tc>
      </w:tr>
      <w:tr w:rsidR="00B15CD7" w:rsidRPr="00B15CD7" w14:paraId="14EC4434" w14:textId="77777777">
        <w:trPr>
          <w:tblCellSpacing w:w="15" w:type="dxa"/>
        </w:trPr>
        <w:tc>
          <w:tcPr>
            <w:tcW w:w="0" w:type="auto"/>
            <w:vAlign w:val="center"/>
            <w:hideMark/>
          </w:tcPr>
          <w:p w14:paraId="25068A97" w14:textId="77777777" w:rsidR="00B15CD7" w:rsidRPr="00B15CD7" w:rsidRDefault="00B15CD7" w:rsidP="00B15CD7">
            <w:r w:rsidRPr="00B15CD7">
              <w:rPr>
                <w:b/>
                <w:bCs/>
              </w:rPr>
              <w:t>Unauthorized Access</w:t>
            </w:r>
          </w:p>
        </w:tc>
        <w:tc>
          <w:tcPr>
            <w:tcW w:w="0" w:type="auto"/>
            <w:vAlign w:val="center"/>
            <w:hideMark/>
          </w:tcPr>
          <w:p w14:paraId="06FF8DB6" w14:textId="77777777" w:rsidR="00B15CD7" w:rsidRPr="00B15CD7" w:rsidRDefault="00B15CD7" w:rsidP="00B15CD7">
            <w:r w:rsidRPr="00B15CD7">
              <w:t>MFA, RBAC, geo-fencing, and session timeout.</w:t>
            </w:r>
          </w:p>
        </w:tc>
      </w:tr>
      <w:tr w:rsidR="00B15CD7" w:rsidRPr="00B15CD7" w14:paraId="20A69839" w14:textId="77777777">
        <w:trPr>
          <w:tblCellSpacing w:w="15" w:type="dxa"/>
        </w:trPr>
        <w:tc>
          <w:tcPr>
            <w:tcW w:w="0" w:type="auto"/>
            <w:vAlign w:val="center"/>
            <w:hideMark/>
          </w:tcPr>
          <w:p w14:paraId="47014480" w14:textId="77777777" w:rsidR="00B15CD7" w:rsidRPr="00B15CD7" w:rsidRDefault="00B15CD7" w:rsidP="00B15CD7">
            <w:r w:rsidRPr="00B15CD7">
              <w:rPr>
                <w:b/>
                <w:bCs/>
              </w:rPr>
              <w:t>Bias in Annotation or Redaction</w:t>
            </w:r>
          </w:p>
        </w:tc>
        <w:tc>
          <w:tcPr>
            <w:tcW w:w="0" w:type="auto"/>
            <w:vAlign w:val="center"/>
            <w:hideMark/>
          </w:tcPr>
          <w:p w14:paraId="16ADB287" w14:textId="77777777" w:rsidR="00B15CD7" w:rsidRPr="00B15CD7" w:rsidRDefault="00B15CD7" w:rsidP="00B15CD7">
            <w:r w:rsidRPr="00B15CD7">
              <w:t>Reviewer attribution, redaction audit logs, and ethics committee oversight.</w:t>
            </w:r>
          </w:p>
        </w:tc>
      </w:tr>
      <w:tr w:rsidR="00B15CD7" w:rsidRPr="00B15CD7" w14:paraId="0503DD64" w14:textId="77777777">
        <w:trPr>
          <w:tblCellSpacing w:w="15" w:type="dxa"/>
        </w:trPr>
        <w:tc>
          <w:tcPr>
            <w:tcW w:w="0" w:type="auto"/>
            <w:vAlign w:val="center"/>
            <w:hideMark/>
          </w:tcPr>
          <w:p w14:paraId="322A7882" w14:textId="77777777" w:rsidR="00B15CD7" w:rsidRPr="00B15CD7" w:rsidRDefault="00B15CD7" w:rsidP="00B15CD7">
            <w:r w:rsidRPr="00B15CD7">
              <w:rPr>
                <w:b/>
                <w:bCs/>
              </w:rPr>
              <w:t>Evidence Suppression</w:t>
            </w:r>
          </w:p>
        </w:tc>
        <w:tc>
          <w:tcPr>
            <w:tcW w:w="0" w:type="auto"/>
            <w:vAlign w:val="center"/>
            <w:hideMark/>
          </w:tcPr>
          <w:p w14:paraId="225DD6BD" w14:textId="77777777" w:rsidR="00B15CD7" w:rsidRPr="00B15CD7" w:rsidRDefault="00B15CD7" w:rsidP="00B15CD7">
            <w:r w:rsidRPr="00B15CD7">
              <w:t>Legal hold enforcement, export tracking, and dispute resolution protocol.</w:t>
            </w:r>
          </w:p>
        </w:tc>
      </w:tr>
      <w:tr w:rsidR="00B15CD7" w:rsidRPr="00B15CD7" w14:paraId="04C9FC9F" w14:textId="77777777">
        <w:trPr>
          <w:tblCellSpacing w:w="15" w:type="dxa"/>
        </w:trPr>
        <w:tc>
          <w:tcPr>
            <w:tcW w:w="0" w:type="auto"/>
            <w:vAlign w:val="center"/>
            <w:hideMark/>
          </w:tcPr>
          <w:p w14:paraId="0050F8CF" w14:textId="77777777" w:rsidR="00B15CD7" w:rsidRPr="00B15CD7" w:rsidRDefault="00B15CD7" w:rsidP="00B15CD7">
            <w:r w:rsidRPr="00B15CD7">
              <w:rPr>
                <w:b/>
                <w:bCs/>
              </w:rPr>
              <w:t>Jurisdictional Overreach</w:t>
            </w:r>
          </w:p>
        </w:tc>
        <w:tc>
          <w:tcPr>
            <w:tcW w:w="0" w:type="auto"/>
            <w:vAlign w:val="center"/>
            <w:hideMark/>
          </w:tcPr>
          <w:p w14:paraId="3D65C882" w14:textId="77777777" w:rsidR="00B15CD7" w:rsidRPr="00B15CD7" w:rsidRDefault="00B15CD7" w:rsidP="00B15CD7">
            <w:r w:rsidRPr="00B15CD7">
              <w:t>Automated enforcement of location-based access and retention rules.</w:t>
            </w:r>
          </w:p>
        </w:tc>
      </w:tr>
      <w:tr w:rsidR="00B15CD7" w:rsidRPr="00B15CD7" w14:paraId="3DDCFEB9" w14:textId="77777777">
        <w:trPr>
          <w:tblCellSpacing w:w="15" w:type="dxa"/>
        </w:trPr>
        <w:tc>
          <w:tcPr>
            <w:tcW w:w="0" w:type="auto"/>
            <w:vAlign w:val="center"/>
            <w:hideMark/>
          </w:tcPr>
          <w:p w14:paraId="53ED1602" w14:textId="77777777" w:rsidR="00B15CD7" w:rsidRPr="00B15CD7" w:rsidRDefault="00B15CD7" w:rsidP="00B15CD7">
            <w:r w:rsidRPr="00B15CD7">
              <w:rPr>
                <w:b/>
                <w:bCs/>
              </w:rPr>
              <w:t>Negligent Handling</w:t>
            </w:r>
          </w:p>
        </w:tc>
        <w:tc>
          <w:tcPr>
            <w:tcW w:w="0" w:type="auto"/>
            <w:vAlign w:val="center"/>
            <w:hideMark/>
          </w:tcPr>
          <w:p w14:paraId="4972380C" w14:textId="77777777" w:rsidR="00B15CD7" w:rsidRPr="00B15CD7" w:rsidRDefault="00B15CD7" w:rsidP="00B15CD7">
            <w:r w:rsidRPr="00B15CD7">
              <w:t>Mandatory training, SOP enforcement, and automated alerts for skipped custody steps.</w:t>
            </w:r>
          </w:p>
        </w:tc>
      </w:tr>
    </w:tbl>
    <w:p w14:paraId="6224DB4B" w14:textId="77777777" w:rsidR="00B15CD7" w:rsidRPr="00B15CD7" w:rsidRDefault="00B15CD7" w:rsidP="00B15CD7">
      <w:r w:rsidRPr="00B15CD7">
        <w:pict w14:anchorId="3965E8D8">
          <v:rect id="_x0000_i1091" style="width:0;height:1.5pt" o:hralign="center" o:hrstd="t" o:hr="t" fillcolor="#a0a0a0" stroked="f"/>
        </w:pict>
      </w:r>
    </w:p>
    <w:p w14:paraId="3AFDAF27" w14:textId="77777777" w:rsidR="00B15CD7" w:rsidRPr="00B15CD7" w:rsidRDefault="00B15CD7" w:rsidP="00B15CD7">
      <w:pPr>
        <w:rPr>
          <w:b/>
          <w:bCs/>
        </w:rPr>
      </w:pPr>
      <w:r w:rsidRPr="00B15CD7">
        <w:rPr>
          <w:b/>
          <w:bCs/>
        </w:rPr>
        <w:t>Enforcement &amp; Accountability</w:t>
      </w:r>
    </w:p>
    <w:p w14:paraId="31353C04" w14:textId="77777777" w:rsidR="00B15CD7" w:rsidRPr="00B15CD7" w:rsidRDefault="00B15CD7" w:rsidP="00B15CD7">
      <w:pPr>
        <w:numPr>
          <w:ilvl w:val="0"/>
          <w:numId w:val="2"/>
        </w:numPr>
      </w:pPr>
      <w:r w:rsidRPr="00B15CD7">
        <w:rPr>
          <w:b/>
          <w:bCs/>
        </w:rPr>
        <w:t>Violation Categories</w:t>
      </w:r>
      <w:r w:rsidRPr="00B15CD7">
        <w:t>:</w:t>
      </w:r>
    </w:p>
    <w:p w14:paraId="624C3EEA" w14:textId="77777777" w:rsidR="00B15CD7" w:rsidRPr="00B15CD7" w:rsidRDefault="00B15CD7" w:rsidP="00B15CD7">
      <w:pPr>
        <w:numPr>
          <w:ilvl w:val="1"/>
          <w:numId w:val="2"/>
        </w:numPr>
      </w:pPr>
      <w:r w:rsidRPr="00B15CD7">
        <w:t>Minor (e.g., annotation error)</w:t>
      </w:r>
    </w:p>
    <w:p w14:paraId="22169291" w14:textId="77777777" w:rsidR="00B15CD7" w:rsidRPr="00B15CD7" w:rsidRDefault="00B15CD7" w:rsidP="00B15CD7">
      <w:pPr>
        <w:numPr>
          <w:ilvl w:val="1"/>
          <w:numId w:val="2"/>
        </w:numPr>
      </w:pPr>
      <w:r w:rsidRPr="00B15CD7">
        <w:t>Moderate (e.g., unauthorized access attempt)</w:t>
      </w:r>
    </w:p>
    <w:p w14:paraId="57018C4E" w14:textId="77777777" w:rsidR="00B15CD7" w:rsidRPr="00B15CD7" w:rsidRDefault="00B15CD7" w:rsidP="00B15CD7">
      <w:pPr>
        <w:numPr>
          <w:ilvl w:val="1"/>
          <w:numId w:val="2"/>
        </w:numPr>
      </w:pPr>
      <w:r w:rsidRPr="00B15CD7">
        <w:t>Severe (e.g., evidence tampering, suppression)</w:t>
      </w:r>
    </w:p>
    <w:p w14:paraId="71707F0C" w14:textId="77777777" w:rsidR="00B15CD7" w:rsidRPr="00B15CD7" w:rsidRDefault="00B15CD7" w:rsidP="00B15CD7">
      <w:pPr>
        <w:numPr>
          <w:ilvl w:val="0"/>
          <w:numId w:val="2"/>
        </w:numPr>
      </w:pPr>
      <w:r w:rsidRPr="00B15CD7">
        <w:rPr>
          <w:b/>
          <w:bCs/>
        </w:rPr>
        <w:t>Response Actions</w:t>
      </w:r>
      <w:r w:rsidRPr="00B15CD7">
        <w:t>:</w:t>
      </w:r>
    </w:p>
    <w:p w14:paraId="03C6F316" w14:textId="77777777" w:rsidR="00B15CD7" w:rsidRPr="00B15CD7" w:rsidRDefault="00B15CD7" w:rsidP="00B15CD7">
      <w:pPr>
        <w:numPr>
          <w:ilvl w:val="1"/>
          <w:numId w:val="2"/>
        </w:numPr>
      </w:pPr>
      <w:r w:rsidRPr="00B15CD7">
        <w:t>Warning and retraining</w:t>
      </w:r>
    </w:p>
    <w:p w14:paraId="0268530F" w14:textId="77777777" w:rsidR="00B15CD7" w:rsidRPr="00B15CD7" w:rsidRDefault="00B15CD7" w:rsidP="00B15CD7">
      <w:pPr>
        <w:numPr>
          <w:ilvl w:val="1"/>
          <w:numId w:val="2"/>
        </w:numPr>
      </w:pPr>
      <w:r w:rsidRPr="00B15CD7">
        <w:t>Role suspension</w:t>
      </w:r>
    </w:p>
    <w:p w14:paraId="77472589" w14:textId="77777777" w:rsidR="00B15CD7" w:rsidRPr="00B15CD7" w:rsidRDefault="00B15CD7" w:rsidP="00B15CD7">
      <w:pPr>
        <w:numPr>
          <w:ilvl w:val="1"/>
          <w:numId w:val="2"/>
        </w:numPr>
      </w:pPr>
      <w:r w:rsidRPr="00B15CD7">
        <w:t>Legal referral and system audit</w:t>
      </w:r>
    </w:p>
    <w:p w14:paraId="7F77F6B9" w14:textId="77777777" w:rsidR="00B15CD7" w:rsidRPr="00B15CD7" w:rsidRDefault="00B15CD7" w:rsidP="00B15CD7">
      <w:pPr>
        <w:numPr>
          <w:ilvl w:val="1"/>
          <w:numId w:val="2"/>
        </w:numPr>
      </w:pPr>
      <w:r w:rsidRPr="00B15CD7">
        <w:t>Public disclosure (if required by law)</w:t>
      </w:r>
    </w:p>
    <w:p w14:paraId="38411503" w14:textId="77777777" w:rsidR="00B15CD7" w:rsidRPr="00B15CD7" w:rsidRDefault="00B15CD7" w:rsidP="00B15CD7">
      <w:pPr>
        <w:numPr>
          <w:ilvl w:val="0"/>
          <w:numId w:val="2"/>
        </w:numPr>
      </w:pPr>
      <w:r w:rsidRPr="00B15CD7">
        <w:rPr>
          <w:b/>
          <w:bCs/>
        </w:rPr>
        <w:t>Appeals Process</w:t>
      </w:r>
      <w:r w:rsidRPr="00B15CD7">
        <w:t>:</w:t>
      </w:r>
    </w:p>
    <w:p w14:paraId="33CFED08" w14:textId="77777777" w:rsidR="00B15CD7" w:rsidRPr="00B15CD7" w:rsidRDefault="00B15CD7" w:rsidP="00B15CD7">
      <w:pPr>
        <w:numPr>
          <w:ilvl w:val="1"/>
          <w:numId w:val="2"/>
        </w:numPr>
      </w:pPr>
      <w:r w:rsidRPr="00B15CD7">
        <w:t>Users may appeal enforcement actions to the Ethics Committee</w:t>
      </w:r>
    </w:p>
    <w:p w14:paraId="4AC516AF" w14:textId="77777777" w:rsidR="00B15CD7" w:rsidRPr="00B15CD7" w:rsidRDefault="00B15CD7" w:rsidP="00B15CD7">
      <w:pPr>
        <w:numPr>
          <w:ilvl w:val="1"/>
          <w:numId w:val="2"/>
        </w:numPr>
      </w:pPr>
      <w:r w:rsidRPr="00B15CD7">
        <w:t>Final decisions documented and retained for 7 years</w:t>
      </w:r>
    </w:p>
    <w:p w14:paraId="06041C0F" w14:textId="77777777" w:rsidR="00B15CD7" w:rsidRPr="00B15CD7" w:rsidRDefault="00B15CD7" w:rsidP="00B15CD7">
      <w:r w:rsidRPr="00B15CD7">
        <w:pict w14:anchorId="15A276A5">
          <v:rect id="_x0000_i1092" style="width:0;height:1.5pt" o:hralign="center" o:hrstd="t" o:hr="t" fillcolor="#a0a0a0" stroked="f"/>
        </w:pict>
      </w:r>
    </w:p>
    <w:p w14:paraId="66B50ED0" w14:textId="77777777" w:rsidR="00B15CD7" w:rsidRPr="00B15CD7" w:rsidRDefault="00B15CD7" w:rsidP="00B15CD7">
      <w:pPr>
        <w:rPr>
          <w:b/>
          <w:bCs/>
        </w:rPr>
      </w:pPr>
      <w:r w:rsidRPr="00B15CD7">
        <w:rPr>
          <w:b/>
          <w:bCs/>
        </w:rPr>
        <w:lastRenderedPageBreak/>
        <w:t>Review &amp; Revision</w:t>
      </w:r>
    </w:p>
    <w:p w14:paraId="4B063793" w14:textId="77777777" w:rsidR="00B15CD7" w:rsidRPr="00B15CD7" w:rsidRDefault="00B15CD7" w:rsidP="00B15CD7">
      <w:pPr>
        <w:numPr>
          <w:ilvl w:val="0"/>
          <w:numId w:val="3"/>
        </w:numPr>
      </w:pPr>
      <w:r w:rsidRPr="00B15CD7">
        <w:rPr>
          <w:b/>
          <w:bCs/>
        </w:rPr>
        <w:t>Annual Review</w:t>
      </w:r>
      <w:r w:rsidRPr="00B15CD7">
        <w:t>: Charter reviewed annually by Ethics Committee and Legal Liaison</w:t>
      </w:r>
    </w:p>
    <w:p w14:paraId="488EDF77" w14:textId="77777777" w:rsidR="00B15CD7" w:rsidRPr="00B15CD7" w:rsidRDefault="00B15CD7" w:rsidP="00B15CD7">
      <w:pPr>
        <w:numPr>
          <w:ilvl w:val="0"/>
          <w:numId w:val="3"/>
        </w:numPr>
      </w:pPr>
      <w:r w:rsidRPr="00B15CD7">
        <w:rPr>
          <w:b/>
          <w:bCs/>
        </w:rPr>
        <w:t>Change Management</w:t>
      </w:r>
      <w:r w:rsidRPr="00B15CD7">
        <w:t>: Updates require signed approval and system-wide notification</w:t>
      </w:r>
    </w:p>
    <w:p w14:paraId="2C1FA2A3" w14:textId="77777777" w:rsidR="00B15CD7" w:rsidRPr="00B15CD7" w:rsidRDefault="00B15CD7" w:rsidP="00B15CD7">
      <w:pPr>
        <w:numPr>
          <w:ilvl w:val="0"/>
          <w:numId w:val="3"/>
        </w:numPr>
      </w:pPr>
      <w:r w:rsidRPr="00B15CD7">
        <w:rPr>
          <w:b/>
          <w:bCs/>
        </w:rPr>
        <w:t>Training Updates</w:t>
      </w:r>
      <w:r w:rsidRPr="00B15CD7">
        <w:t>: All users must complete updated ethics training within 30 days of policy revision</w:t>
      </w:r>
    </w:p>
    <w:p w14:paraId="54AF08DA" w14:textId="77777777" w:rsidR="00B15CD7" w:rsidRPr="00B15CD7" w:rsidRDefault="00B15CD7" w:rsidP="00B15CD7">
      <w:r w:rsidRPr="00B15CD7">
        <w:pict w14:anchorId="14AE590F">
          <v:rect id="_x0000_i1093" style="width:0;height:1.5pt" o:hralign="center" o:hrstd="t" o:hr="t" fillcolor="#a0a0a0" stroked="f"/>
        </w:pict>
      </w:r>
    </w:p>
    <w:p w14:paraId="59F37187" w14:textId="77777777" w:rsidR="00B15CD7" w:rsidRPr="00B15CD7" w:rsidRDefault="00B15CD7" w:rsidP="00B15CD7">
      <w:pPr>
        <w:jc w:val="center"/>
        <w:rPr>
          <w:b/>
          <w:bCs/>
        </w:rPr>
      </w:pPr>
      <w:r w:rsidRPr="00B15CD7">
        <w:rPr>
          <w:b/>
          <w:bCs/>
        </w:rPr>
        <w:t>References</w:t>
      </w:r>
    </w:p>
    <w:p w14:paraId="6B573C2E" w14:textId="77777777" w:rsidR="00B15CD7" w:rsidRPr="00B15CD7" w:rsidRDefault="00B15CD7" w:rsidP="00B15CD7">
      <w:pPr>
        <w:ind w:left="720" w:hanging="720"/>
      </w:pPr>
      <w:r w:rsidRPr="00B15CD7">
        <w:t xml:space="preserve">Federal Bureau of Investigation CJIS Division. (2023). </w:t>
      </w:r>
      <w:r w:rsidRPr="00B15CD7">
        <w:rPr>
          <w:i/>
          <w:iCs/>
        </w:rPr>
        <w:t>Criminal Justice Information Services (CJIS) Security Policy Version 5.9.4</w:t>
      </w:r>
      <w:r w:rsidRPr="00B15CD7">
        <w:t xml:space="preserve">. </w:t>
      </w:r>
      <w:hyperlink r:id="rId5" w:history="1">
        <w:r w:rsidRPr="00B15CD7">
          <w:rPr>
            <w:rStyle w:val="Hyperlink"/>
          </w:rPr>
          <w:t>https://le.fbi.gov/file-repository/cjis_security_policy_v5-9-4_20231220.pdf</w:t>
        </w:r>
      </w:hyperlink>
    </w:p>
    <w:p w14:paraId="0CAC9F62" w14:textId="77777777" w:rsidR="00B15CD7" w:rsidRPr="00B15CD7" w:rsidRDefault="00B15CD7" w:rsidP="00B15CD7">
      <w:pPr>
        <w:ind w:left="720" w:hanging="720"/>
      </w:pPr>
      <w:r w:rsidRPr="00B15CD7">
        <w:t xml:space="preserve">ISO/IEC. (2022). </w:t>
      </w:r>
      <w:r w:rsidRPr="00B15CD7">
        <w:rPr>
          <w:i/>
          <w:iCs/>
        </w:rPr>
        <w:t>Information technology — Security techniques — Information security management systems — Requirements (ISO/IEC 27001:2022)</w:t>
      </w:r>
      <w:r w:rsidRPr="00B15CD7">
        <w:t xml:space="preserve">. International Organization for Standardization. </w:t>
      </w:r>
      <w:hyperlink r:id="rId6" w:history="1">
        <w:r w:rsidRPr="00B15CD7">
          <w:rPr>
            <w:rStyle w:val="Hyperlink"/>
          </w:rPr>
          <w:t>https://www.iso.org/standard/27001.html</w:t>
        </w:r>
      </w:hyperlink>
    </w:p>
    <w:p w14:paraId="556B3104" w14:textId="77777777" w:rsidR="00B15CD7" w:rsidRPr="00B15CD7" w:rsidRDefault="00B15CD7" w:rsidP="00B15CD7">
      <w:pPr>
        <w:ind w:left="720" w:hanging="720"/>
      </w:pPr>
      <w:r w:rsidRPr="00B15CD7">
        <w:t xml:space="preserve">U.S. Department of Health &amp; Human Services. (2023). </w:t>
      </w:r>
      <w:r w:rsidRPr="00B15CD7">
        <w:rPr>
          <w:i/>
          <w:iCs/>
        </w:rPr>
        <w:t>HIPAA Security Rule</w:t>
      </w:r>
      <w:r w:rsidRPr="00B15CD7">
        <w:t xml:space="preserve">. </w:t>
      </w:r>
      <w:hyperlink r:id="rId7" w:history="1">
        <w:r w:rsidRPr="00B15CD7">
          <w:rPr>
            <w:rStyle w:val="Hyperlink"/>
          </w:rPr>
          <w:t>https://www.hhs.gov/hipaa/for-professionals/security/index.html</w:t>
        </w:r>
      </w:hyperlink>
    </w:p>
    <w:p w14:paraId="5B19B462"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C3A"/>
    <w:multiLevelType w:val="multilevel"/>
    <w:tmpl w:val="118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E5ADF"/>
    <w:multiLevelType w:val="multilevel"/>
    <w:tmpl w:val="B262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501A6"/>
    <w:multiLevelType w:val="multilevel"/>
    <w:tmpl w:val="EE6C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915470">
    <w:abstractNumId w:val="2"/>
  </w:num>
  <w:num w:numId="2" w16cid:durableId="676080685">
    <w:abstractNumId w:val="1"/>
  </w:num>
  <w:num w:numId="3" w16cid:durableId="41898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D7"/>
    <w:rsid w:val="00100F59"/>
    <w:rsid w:val="001A205D"/>
    <w:rsid w:val="001B13F0"/>
    <w:rsid w:val="00B15CD7"/>
    <w:rsid w:val="00C57004"/>
    <w:rsid w:val="00D56745"/>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6947"/>
  <w15:chartTrackingRefBased/>
  <w15:docId w15:val="{5E69B294-55A5-4F9C-B2DE-9F0ACF2E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D7"/>
    <w:rPr>
      <w:rFonts w:eastAsiaTheme="majorEastAsia" w:cstheme="majorBidi"/>
      <w:color w:val="272727" w:themeColor="text1" w:themeTint="D8"/>
    </w:rPr>
  </w:style>
  <w:style w:type="paragraph" w:styleId="Title">
    <w:name w:val="Title"/>
    <w:basedOn w:val="Normal"/>
    <w:next w:val="Normal"/>
    <w:link w:val="TitleChar"/>
    <w:uiPriority w:val="10"/>
    <w:qFormat/>
    <w:rsid w:val="00B15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CD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15CD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15CD7"/>
    <w:pPr>
      <w:spacing w:before="160"/>
      <w:jc w:val="center"/>
    </w:pPr>
    <w:rPr>
      <w:i/>
      <w:iCs/>
      <w:color w:val="000000" w:themeColor="text1"/>
    </w:rPr>
  </w:style>
  <w:style w:type="character" w:customStyle="1" w:styleId="QuoteChar">
    <w:name w:val="Quote Char"/>
    <w:basedOn w:val="DefaultParagraphFont"/>
    <w:link w:val="Quote"/>
    <w:uiPriority w:val="29"/>
    <w:rsid w:val="00B15CD7"/>
    <w:rPr>
      <w:i/>
      <w:iCs/>
      <w:color w:val="000000" w:themeColor="text1"/>
    </w:rPr>
  </w:style>
  <w:style w:type="paragraph" w:styleId="ListParagraph">
    <w:name w:val="List Paragraph"/>
    <w:basedOn w:val="Normal"/>
    <w:uiPriority w:val="34"/>
    <w:qFormat/>
    <w:rsid w:val="00B15CD7"/>
    <w:pPr>
      <w:ind w:left="720"/>
      <w:contextualSpacing/>
    </w:pPr>
  </w:style>
  <w:style w:type="character" w:styleId="IntenseEmphasis">
    <w:name w:val="Intense Emphasis"/>
    <w:basedOn w:val="DefaultParagraphFont"/>
    <w:uiPriority w:val="21"/>
    <w:qFormat/>
    <w:rsid w:val="00B15CD7"/>
    <w:rPr>
      <w:i/>
      <w:iCs/>
      <w:color w:val="0F4761" w:themeColor="accent1" w:themeShade="BF"/>
    </w:rPr>
  </w:style>
  <w:style w:type="paragraph" w:styleId="IntenseQuote">
    <w:name w:val="Intense Quote"/>
    <w:basedOn w:val="Normal"/>
    <w:next w:val="Normal"/>
    <w:link w:val="IntenseQuoteChar"/>
    <w:uiPriority w:val="30"/>
    <w:qFormat/>
    <w:rsid w:val="00B15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CD7"/>
    <w:rPr>
      <w:i/>
      <w:iCs/>
      <w:color w:val="0F4761" w:themeColor="accent1" w:themeShade="BF"/>
    </w:rPr>
  </w:style>
  <w:style w:type="character" w:styleId="IntenseReference">
    <w:name w:val="Intense Reference"/>
    <w:basedOn w:val="DefaultParagraphFont"/>
    <w:uiPriority w:val="32"/>
    <w:qFormat/>
    <w:rsid w:val="00B15CD7"/>
    <w:rPr>
      <w:b/>
      <w:bCs/>
      <w:smallCaps/>
      <w:color w:val="0F4761" w:themeColor="accent1" w:themeShade="BF"/>
      <w:spacing w:val="5"/>
    </w:rPr>
  </w:style>
  <w:style w:type="character" w:styleId="Hyperlink">
    <w:name w:val="Hyperlink"/>
    <w:basedOn w:val="DefaultParagraphFont"/>
    <w:uiPriority w:val="99"/>
    <w:unhideWhenUsed/>
    <w:rsid w:val="00B15CD7"/>
    <w:rPr>
      <w:color w:val="467886" w:themeColor="hyperlink"/>
      <w:u w:val="single"/>
    </w:rPr>
  </w:style>
  <w:style w:type="character" w:styleId="UnresolvedMention">
    <w:name w:val="Unresolved Mention"/>
    <w:basedOn w:val="DefaultParagraphFont"/>
    <w:uiPriority w:val="99"/>
    <w:semiHidden/>
    <w:unhideWhenUsed/>
    <w:rsid w:val="00B15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hs.gov/hipaa/for-professionals/securit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27001.html" TargetMode="External"/><Relationship Id="rId5" Type="http://schemas.openxmlformats.org/officeDocument/2006/relationships/hyperlink" Target="https://le.fbi.gov/file-repository/cjis_security_policy_v5-9-4_202312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1</cp:revision>
  <dcterms:created xsi:type="dcterms:W3CDTF">2025-11-20T00:08:00Z</dcterms:created>
  <dcterms:modified xsi:type="dcterms:W3CDTF">2025-11-20T00:09:00Z</dcterms:modified>
</cp:coreProperties>
</file>