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0C499" w14:textId="77777777" w:rsidR="004E0CFB" w:rsidRPr="004E0CFB" w:rsidRDefault="004E0CFB" w:rsidP="004E0CFB">
      <w:pPr>
        <w:jc w:val="center"/>
        <w:rPr>
          <w:b/>
          <w:bCs/>
        </w:rPr>
      </w:pPr>
      <w:r w:rsidRPr="004E0CFB">
        <w:rPr>
          <w:rFonts w:ascii="Segoe UI Emoji" w:hAnsi="Segoe UI Emoji" w:cs="Segoe UI Emoji"/>
          <w:b/>
          <w:bCs/>
        </w:rPr>
        <w:t>⚖️</w:t>
      </w:r>
      <w:r w:rsidRPr="004E0CFB">
        <w:rPr>
          <w:b/>
          <w:bCs/>
        </w:rPr>
        <w:t xml:space="preserve"> Legal Admissibility Statement</w:t>
      </w:r>
    </w:p>
    <w:p w14:paraId="23F311CB" w14:textId="0AC628DD" w:rsidR="004E0CFB" w:rsidRPr="004E0CFB" w:rsidRDefault="004E0CFB" w:rsidP="004E0CFB">
      <w:r w:rsidRPr="004E0CFB">
        <w:rPr>
          <w:b/>
          <w:bCs/>
        </w:rPr>
        <w:t>Digital Chain-of-Custody System (DCCS)</w:t>
      </w:r>
      <w:r w:rsidRPr="004E0CFB">
        <w:br/>
      </w:r>
      <w:r w:rsidRPr="004E0CFB">
        <w:pict w14:anchorId="3F775C6E">
          <v:rect id="_x0000_i1074" style="width:0;height:1.5pt" o:hralign="center" o:hrstd="t" o:hr="t" fillcolor="#a0a0a0" stroked="f"/>
        </w:pict>
      </w:r>
    </w:p>
    <w:p w14:paraId="3EFE5151" w14:textId="77777777" w:rsidR="004E0CFB" w:rsidRPr="004E0CFB" w:rsidRDefault="004E0CFB" w:rsidP="004E0CFB">
      <w:pPr>
        <w:rPr>
          <w:b/>
          <w:bCs/>
        </w:rPr>
      </w:pPr>
      <w:r w:rsidRPr="004E0CFB">
        <w:rPr>
          <w:b/>
          <w:bCs/>
        </w:rPr>
        <w:t>Purpose</w:t>
      </w:r>
    </w:p>
    <w:p w14:paraId="3D826F96" w14:textId="77777777" w:rsidR="004E0CFB" w:rsidRPr="004E0CFB" w:rsidRDefault="004E0CFB" w:rsidP="004E0CFB">
      <w:r w:rsidRPr="004E0CFB">
        <w:t xml:space="preserve">This statement affirms that the Digital Chain-of-Custody System (DCCS) is designed to preserve the integrity, authenticity, and traceability of evidence in accordance with legal standards governing admissibility in U.S. courts. Specifically, DCCS complies with the requirements of the </w:t>
      </w:r>
      <w:r w:rsidRPr="004E0CFB">
        <w:rPr>
          <w:b/>
          <w:bCs/>
        </w:rPr>
        <w:t>Daubert v. Merrell Dow Pharmaceuticals, Inc.</w:t>
      </w:r>
      <w:r w:rsidRPr="004E0CFB">
        <w:t xml:space="preserve">, 509 U.S. 579 (1993), and the </w:t>
      </w:r>
      <w:r w:rsidRPr="004E0CFB">
        <w:rPr>
          <w:b/>
          <w:bCs/>
        </w:rPr>
        <w:t>Frye v. United States</w:t>
      </w:r>
      <w:r w:rsidRPr="004E0CFB">
        <w:t>, 293 F. 1013 (D.C. Cir. 1923) decisions, which govern the admissibility of scientific and technical evidence.</w:t>
      </w:r>
    </w:p>
    <w:p w14:paraId="4FFF9B31" w14:textId="77777777" w:rsidR="004E0CFB" w:rsidRPr="004E0CFB" w:rsidRDefault="004E0CFB" w:rsidP="004E0CFB">
      <w:r w:rsidRPr="004E0CFB">
        <w:pict w14:anchorId="6121C03A">
          <v:rect id="_x0000_i1075" style="width:0;height:1.5pt" o:hralign="center" o:hrstd="t" o:hr="t" fillcolor="#a0a0a0" stroked="f"/>
        </w:pict>
      </w:r>
    </w:p>
    <w:p w14:paraId="1BF18E81" w14:textId="77777777" w:rsidR="004E0CFB" w:rsidRPr="004E0CFB" w:rsidRDefault="004E0CFB" w:rsidP="004E0CFB">
      <w:pPr>
        <w:rPr>
          <w:b/>
          <w:bCs/>
        </w:rPr>
      </w:pPr>
      <w:r w:rsidRPr="004E0CFB">
        <w:rPr>
          <w:b/>
          <w:bCs/>
        </w:rPr>
        <w:t>Daubert Standard Compliance</w:t>
      </w:r>
    </w:p>
    <w:p w14:paraId="1CF4AD54" w14:textId="77777777" w:rsidR="004E0CFB" w:rsidRPr="004E0CFB" w:rsidRDefault="004E0CFB" w:rsidP="004E0CFB">
      <w:r w:rsidRPr="004E0CFB">
        <w:t>Under Daubert, admissibility is determined by the reliability and relevance of the methodology used. DCCS satisfies the following criteria:</w:t>
      </w:r>
    </w:p>
    <w:p w14:paraId="71AA2769" w14:textId="77777777" w:rsidR="004E0CFB" w:rsidRPr="004E0CFB" w:rsidRDefault="004E0CFB" w:rsidP="004E0CFB">
      <w:pPr>
        <w:rPr>
          <w:b/>
          <w:bCs/>
        </w:rPr>
      </w:pPr>
      <w:r w:rsidRPr="004E0CFB">
        <w:rPr>
          <w:b/>
          <w:bCs/>
        </w:rPr>
        <w:t>1. Testability</w:t>
      </w:r>
    </w:p>
    <w:p w14:paraId="27B6D451" w14:textId="77777777" w:rsidR="004E0CFB" w:rsidRPr="004E0CFB" w:rsidRDefault="004E0CFB" w:rsidP="004E0CFB">
      <w:pPr>
        <w:numPr>
          <w:ilvl w:val="0"/>
          <w:numId w:val="1"/>
        </w:numPr>
      </w:pPr>
      <w:r w:rsidRPr="004E0CFB">
        <w:t>DCCS employs cryptographic hashing (SHA-256), hash chaining, and digital signatures to verify evidence integrity.</w:t>
      </w:r>
    </w:p>
    <w:p w14:paraId="2BFBF3EE" w14:textId="77777777" w:rsidR="004E0CFB" w:rsidRPr="004E0CFB" w:rsidRDefault="004E0CFB" w:rsidP="004E0CFB">
      <w:pPr>
        <w:numPr>
          <w:ilvl w:val="0"/>
          <w:numId w:val="1"/>
        </w:numPr>
      </w:pPr>
      <w:r w:rsidRPr="004E0CFB">
        <w:t>These mechanisms are testable and reproducible using industry-standard forensic tools (Souppaya &amp; Scarfone, 2016).</w:t>
      </w:r>
    </w:p>
    <w:p w14:paraId="7BC9B664" w14:textId="77777777" w:rsidR="004E0CFB" w:rsidRPr="004E0CFB" w:rsidRDefault="004E0CFB" w:rsidP="004E0CFB">
      <w:pPr>
        <w:rPr>
          <w:b/>
          <w:bCs/>
        </w:rPr>
      </w:pPr>
      <w:r w:rsidRPr="004E0CFB">
        <w:rPr>
          <w:b/>
          <w:bCs/>
        </w:rPr>
        <w:t>2. Peer Review and Publication</w:t>
      </w:r>
    </w:p>
    <w:p w14:paraId="04671EBB" w14:textId="77777777" w:rsidR="004E0CFB" w:rsidRPr="004E0CFB" w:rsidRDefault="004E0CFB" w:rsidP="004E0CFB">
      <w:pPr>
        <w:numPr>
          <w:ilvl w:val="0"/>
          <w:numId w:val="2"/>
        </w:numPr>
      </w:pPr>
      <w:r w:rsidRPr="004E0CFB">
        <w:t>The system’s core methodologies (e.g., hash verification, audit logging, RBAC) are based on widely accepted standards published by NIST and the FBI CJIS Division (FBI CJIS Division, 2023; NIST SP 800-154).</w:t>
      </w:r>
    </w:p>
    <w:p w14:paraId="03129DEA" w14:textId="77777777" w:rsidR="004E0CFB" w:rsidRPr="004E0CFB" w:rsidRDefault="004E0CFB" w:rsidP="004E0CFB">
      <w:pPr>
        <w:rPr>
          <w:b/>
          <w:bCs/>
        </w:rPr>
      </w:pPr>
      <w:r w:rsidRPr="004E0CFB">
        <w:rPr>
          <w:b/>
          <w:bCs/>
        </w:rPr>
        <w:t>3. Known Error Rates</w:t>
      </w:r>
    </w:p>
    <w:p w14:paraId="7C40D366" w14:textId="77777777" w:rsidR="004E0CFB" w:rsidRPr="004E0CFB" w:rsidRDefault="004E0CFB" w:rsidP="004E0CFB">
      <w:pPr>
        <w:numPr>
          <w:ilvl w:val="0"/>
          <w:numId w:val="3"/>
        </w:numPr>
      </w:pPr>
      <w:r w:rsidRPr="004E0CFB">
        <w:t>Hashing algorithms used in DCCS have mathematically defined error rates approaching zero.</w:t>
      </w:r>
    </w:p>
    <w:p w14:paraId="5DFAF581" w14:textId="77777777" w:rsidR="004E0CFB" w:rsidRPr="004E0CFB" w:rsidRDefault="004E0CFB" w:rsidP="004E0CFB">
      <w:pPr>
        <w:numPr>
          <w:ilvl w:val="0"/>
          <w:numId w:val="3"/>
        </w:numPr>
      </w:pPr>
      <w:r w:rsidRPr="004E0CFB">
        <w:t>Audit trail integrity checks and tamper detection modules log anomalies for review and correction.</w:t>
      </w:r>
    </w:p>
    <w:p w14:paraId="7FA93398" w14:textId="77777777" w:rsidR="004E0CFB" w:rsidRPr="004E0CFB" w:rsidRDefault="004E0CFB" w:rsidP="004E0CFB">
      <w:pPr>
        <w:rPr>
          <w:b/>
          <w:bCs/>
        </w:rPr>
      </w:pPr>
      <w:r w:rsidRPr="004E0CFB">
        <w:rPr>
          <w:b/>
          <w:bCs/>
        </w:rPr>
        <w:t>4. Standards and Controls</w:t>
      </w:r>
    </w:p>
    <w:p w14:paraId="192D5757" w14:textId="77777777" w:rsidR="004E0CFB" w:rsidRPr="004E0CFB" w:rsidRDefault="004E0CFB" w:rsidP="004E0CFB">
      <w:pPr>
        <w:numPr>
          <w:ilvl w:val="0"/>
          <w:numId w:val="4"/>
        </w:numPr>
      </w:pPr>
      <w:r w:rsidRPr="004E0CFB">
        <w:lastRenderedPageBreak/>
        <w:t>DCCS adheres to CJIS Security Policy v5.9.4, HIPAA Security Rule, and ISO/IEC 27001 standards for data protection and access control.</w:t>
      </w:r>
    </w:p>
    <w:p w14:paraId="7B7C67AA" w14:textId="77777777" w:rsidR="004E0CFB" w:rsidRPr="004E0CFB" w:rsidRDefault="004E0CFB" w:rsidP="004E0CFB">
      <w:pPr>
        <w:numPr>
          <w:ilvl w:val="0"/>
          <w:numId w:val="4"/>
        </w:numPr>
      </w:pPr>
      <w:r w:rsidRPr="004E0CFB">
        <w:t>All system updates and evidence handling procedures are documented and auditable.</w:t>
      </w:r>
    </w:p>
    <w:p w14:paraId="6EA1D466" w14:textId="77777777" w:rsidR="004E0CFB" w:rsidRPr="004E0CFB" w:rsidRDefault="004E0CFB" w:rsidP="004E0CFB">
      <w:r w:rsidRPr="004E0CFB">
        <w:pict w14:anchorId="66D849DC">
          <v:rect id="_x0000_i1076" style="width:0;height:1.5pt" o:hralign="center" o:hrstd="t" o:hr="t" fillcolor="#a0a0a0" stroked="f"/>
        </w:pict>
      </w:r>
    </w:p>
    <w:p w14:paraId="515E3FC5" w14:textId="77777777" w:rsidR="004E0CFB" w:rsidRPr="004E0CFB" w:rsidRDefault="004E0CFB" w:rsidP="004E0CFB">
      <w:pPr>
        <w:rPr>
          <w:b/>
          <w:bCs/>
        </w:rPr>
      </w:pPr>
      <w:r w:rsidRPr="004E0CFB">
        <w:rPr>
          <w:b/>
          <w:bCs/>
        </w:rPr>
        <w:t>Frye Standard Compliance</w:t>
      </w:r>
    </w:p>
    <w:p w14:paraId="27C14601" w14:textId="77777777" w:rsidR="004E0CFB" w:rsidRPr="004E0CFB" w:rsidRDefault="004E0CFB" w:rsidP="004E0CFB">
      <w:r w:rsidRPr="004E0CFB">
        <w:t>Under Frye, admissibility depends on general acceptance within the relevant scientific community. DCCS meets this standard through:</w:t>
      </w:r>
    </w:p>
    <w:p w14:paraId="3CA75B3F" w14:textId="77777777" w:rsidR="004E0CFB" w:rsidRPr="004E0CFB" w:rsidRDefault="004E0CFB" w:rsidP="004E0CFB">
      <w:pPr>
        <w:numPr>
          <w:ilvl w:val="0"/>
          <w:numId w:val="5"/>
        </w:numPr>
      </w:pPr>
      <w:r w:rsidRPr="004E0CFB">
        <w:t>Use of cryptographic hashing, digital signatures, and immutable storage—all of which are accepted practices in digital forensics and evidence preservation.</w:t>
      </w:r>
    </w:p>
    <w:p w14:paraId="7B645347" w14:textId="77777777" w:rsidR="004E0CFB" w:rsidRPr="004E0CFB" w:rsidRDefault="004E0CFB" w:rsidP="004E0CFB">
      <w:pPr>
        <w:numPr>
          <w:ilvl w:val="0"/>
          <w:numId w:val="5"/>
        </w:numPr>
      </w:pPr>
      <w:r w:rsidRPr="004E0CFB">
        <w:t>Alignment with forensic readiness principles and chain-of-custody protocols endorsed by law enforcement and judicial agencies (National Institute of Justice, 2020).</w:t>
      </w:r>
    </w:p>
    <w:p w14:paraId="52DBD15D" w14:textId="77777777" w:rsidR="004E0CFB" w:rsidRPr="004E0CFB" w:rsidRDefault="004E0CFB" w:rsidP="004E0CFB">
      <w:r w:rsidRPr="004E0CFB">
        <w:pict w14:anchorId="12966021">
          <v:rect id="_x0000_i1077" style="width:0;height:1.5pt" o:hralign="center" o:hrstd="t" o:hr="t" fillcolor="#a0a0a0" stroked="f"/>
        </w:pict>
      </w:r>
    </w:p>
    <w:p w14:paraId="55FBBF51" w14:textId="77777777" w:rsidR="004E0CFB" w:rsidRPr="004E0CFB" w:rsidRDefault="004E0CFB" w:rsidP="004E0CFB">
      <w:pPr>
        <w:rPr>
          <w:b/>
          <w:bCs/>
        </w:rPr>
      </w:pPr>
      <w:r w:rsidRPr="004E0CFB">
        <w:rPr>
          <w:b/>
          <w:bCs/>
        </w:rPr>
        <w:t>Preservation of Integrity</w:t>
      </w:r>
    </w:p>
    <w:p w14:paraId="35E75ACC" w14:textId="77777777" w:rsidR="004E0CFB" w:rsidRPr="004E0CFB" w:rsidRDefault="004E0CFB" w:rsidP="004E0CFB">
      <w:r w:rsidRPr="004E0CFB">
        <w:t>DCCS ensures evidence integrity through:</w:t>
      </w:r>
    </w:p>
    <w:p w14:paraId="07930BD2" w14:textId="77777777" w:rsidR="004E0CFB" w:rsidRPr="004E0CFB" w:rsidRDefault="004E0CFB" w:rsidP="004E0CFB">
      <w:pPr>
        <w:numPr>
          <w:ilvl w:val="0"/>
          <w:numId w:val="6"/>
        </w:numPr>
      </w:pPr>
      <w:r w:rsidRPr="004E0CFB">
        <w:rPr>
          <w:b/>
          <w:bCs/>
        </w:rPr>
        <w:t>Hash Verification</w:t>
      </w:r>
      <w:r w:rsidRPr="004E0CFB">
        <w:t>: Every evidence item is hashed at creation and re-verified at each custody event.</w:t>
      </w:r>
    </w:p>
    <w:p w14:paraId="2F39243F" w14:textId="77777777" w:rsidR="004E0CFB" w:rsidRPr="004E0CFB" w:rsidRDefault="004E0CFB" w:rsidP="004E0CFB">
      <w:pPr>
        <w:numPr>
          <w:ilvl w:val="0"/>
          <w:numId w:val="6"/>
        </w:numPr>
      </w:pPr>
      <w:r w:rsidRPr="004E0CFB">
        <w:rPr>
          <w:b/>
          <w:bCs/>
        </w:rPr>
        <w:t>Audit Trail Logging</w:t>
      </w:r>
      <w:r w:rsidRPr="004E0CFB">
        <w:t>: All actions are timestamped, user-attributed, and digitally signed.</w:t>
      </w:r>
    </w:p>
    <w:p w14:paraId="3E305E20" w14:textId="77777777" w:rsidR="004E0CFB" w:rsidRPr="004E0CFB" w:rsidRDefault="004E0CFB" w:rsidP="004E0CFB">
      <w:pPr>
        <w:numPr>
          <w:ilvl w:val="0"/>
          <w:numId w:val="6"/>
        </w:numPr>
      </w:pPr>
      <w:r w:rsidRPr="004E0CFB">
        <w:rPr>
          <w:b/>
          <w:bCs/>
        </w:rPr>
        <w:t>Immutable Storage</w:t>
      </w:r>
      <w:r w:rsidRPr="004E0CFB">
        <w:t>: Evidence and logs are stored in WORM format to prevent tampering.</w:t>
      </w:r>
    </w:p>
    <w:p w14:paraId="6097D846" w14:textId="77777777" w:rsidR="004E0CFB" w:rsidRPr="004E0CFB" w:rsidRDefault="004E0CFB" w:rsidP="004E0CFB">
      <w:pPr>
        <w:numPr>
          <w:ilvl w:val="0"/>
          <w:numId w:val="6"/>
        </w:numPr>
      </w:pPr>
      <w:r w:rsidRPr="004E0CFB">
        <w:rPr>
          <w:b/>
          <w:bCs/>
        </w:rPr>
        <w:t>Access Control</w:t>
      </w:r>
      <w:r w:rsidRPr="004E0CFB">
        <w:t>: Role-based permissions and MFA prevent unauthorized access or modification.</w:t>
      </w:r>
    </w:p>
    <w:p w14:paraId="3C50EFCA" w14:textId="77777777" w:rsidR="004E0CFB" w:rsidRPr="004E0CFB" w:rsidRDefault="004E0CFB" w:rsidP="004E0CFB">
      <w:pPr>
        <w:numPr>
          <w:ilvl w:val="0"/>
          <w:numId w:val="6"/>
        </w:numPr>
      </w:pPr>
      <w:r w:rsidRPr="004E0CFB">
        <w:rPr>
          <w:b/>
          <w:bCs/>
        </w:rPr>
        <w:t>Chain-of-Custody Enforcement</w:t>
      </w:r>
      <w:r w:rsidRPr="004E0CFB">
        <w:t>: Automated workflows ensure no custody step is skipped or altered.</w:t>
      </w:r>
    </w:p>
    <w:p w14:paraId="080BE39D" w14:textId="77777777" w:rsidR="004E0CFB" w:rsidRPr="004E0CFB" w:rsidRDefault="004E0CFB" w:rsidP="004E0CFB">
      <w:r w:rsidRPr="004E0CFB">
        <w:pict w14:anchorId="2DF29859">
          <v:rect id="_x0000_i1078" style="width:0;height:1.5pt" o:hralign="center" o:hrstd="t" o:hr="t" fillcolor="#a0a0a0" stroked="f"/>
        </w:pict>
      </w:r>
    </w:p>
    <w:p w14:paraId="4B27BF99" w14:textId="77777777" w:rsidR="004E0CFB" w:rsidRPr="004E0CFB" w:rsidRDefault="004E0CFB" w:rsidP="004E0CFB">
      <w:pPr>
        <w:rPr>
          <w:b/>
          <w:bCs/>
        </w:rPr>
      </w:pPr>
      <w:r w:rsidRPr="004E0CFB">
        <w:rPr>
          <w:b/>
          <w:bCs/>
        </w:rPr>
        <w:t>Conclusion</w:t>
      </w:r>
    </w:p>
    <w:p w14:paraId="4EEE27F3" w14:textId="77777777" w:rsidR="004E0CFB" w:rsidRPr="004E0CFB" w:rsidRDefault="004E0CFB" w:rsidP="004E0CFB">
      <w:r w:rsidRPr="004E0CFB">
        <w:t xml:space="preserve">The Digital Chain-of-Custody System (DCCS) is built on scientifically validated, legally accepted methodologies that meet the evidentiary standards of both Daubert and Frye. Its </w:t>
      </w:r>
      <w:r w:rsidRPr="004E0CFB">
        <w:lastRenderedPageBreak/>
        <w:t>architecture ensures that digital and physical evidence remains authentic, traceable, and admissible in court.</w:t>
      </w:r>
    </w:p>
    <w:p w14:paraId="217F672D" w14:textId="77777777" w:rsidR="004E0CFB" w:rsidRPr="004E0CFB" w:rsidRDefault="004E0CFB" w:rsidP="004E0CFB">
      <w:r w:rsidRPr="004E0CFB">
        <w:pict w14:anchorId="4ECB5750">
          <v:rect id="_x0000_i1079" style="width:0;height:1.5pt" o:hralign="center" o:hrstd="t" o:hr="t" fillcolor="#a0a0a0" stroked="f"/>
        </w:pict>
      </w:r>
    </w:p>
    <w:p w14:paraId="2FA5F148" w14:textId="77777777" w:rsidR="004E0CFB" w:rsidRPr="004E0CFB" w:rsidRDefault="004E0CFB" w:rsidP="004E0CFB">
      <w:pPr>
        <w:jc w:val="center"/>
        <w:rPr>
          <w:b/>
          <w:bCs/>
        </w:rPr>
      </w:pPr>
      <w:r w:rsidRPr="004E0CFB">
        <w:rPr>
          <w:b/>
          <w:bCs/>
        </w:rPr>
        <w:t>References</w:t>
      </w:r>
    </w:p>
    <w:p w14:paraId="0C261906" w14:textId="77777777" w:rsidR="004E0CFB" w:rsidRPr="004E0CFB" w:rsidRDefault="004E0CFB" w:rsidP="004E0CFB">
      <w:pPr>
        <w:ind w:left="720" w:hanging="720"/>
      </w:pPr>
      <w:r w:rsidRPr="004E0CFB">
        <w:t xml:space="preserve">Federal Bureau of Investigation CJIS Division. (2023). </w:t>
      </w:r>
      <w:r w:rsidRPr="004E0CFB">
        <w:rPr>
          <w:i/>
          <w:iCs/>
        </w:rPr>
        <w:t>Criminal Justice Information Services (CJIS) Security Policy Version 5.9.4</w:t>
      </w:r>
      <w:r w:rsidRPr="004E0CFB">
        <w:t xml:space="preserve">. </w:t>
      </w:r>
      <w:hyperlink r:id="rId5" w:history="1">
        <w:r w:rsidRPr="004E0CFB">
          <w:rPr>
            <w:rStyle w:val="Hyperlink"/>
          </w:rPr>
          <w:t>https://le.fbi.gov/file-repository/cjis_security_policy_v5-9-4_20231220.pdf</w:t>
        </w:r>
      </w:hyperlink>
    </w:p>
    <w:p w14:paraId="2C9AA1B2" w14:textId="77777777" w:rsidR="004E0CFB" w:rsidRPr="004E0CFB" w:rsidRDefault="004E0CFB" w:rsidP="004E0CFB">
      <w:pPr>
        <w:ind w:left="720" w:hanging="720"/>
      </w:pPr>
      <w:r w:rsidRPr="004E0CFB">
        <w:t xml:space="preserve">National Institute of Justice. (2020). </w:t>
      </w:r>
      <w:r w:rsidRPr="004E0CFB">
        <w:rPr>
          <w:i/>
          <w:iCs/>
        </w:rPr>
        <w:t>Digital Evidence Policies and Procedures Manual</w:t>
      </w:r>
      <w:r w:rsidRPr="004E0CFB">
        <w:t xml:space="preserve">. U.S. Department of Justice. </w:t>
      </w:r>
      <w:hyperlink r:id="rId6" w:history="1">
        <w:r w:rsidRPr="004E0CFB">
          <w:rPr>
            <w:rStyle w:val="Hyperlink"/>
          </w:rPr>
          <w:t>https://www.ojp.gov/pdffiles1/nij/254661.pdf</w:t>
        </w:r>
      </w:hyperlink>
    </w:p>
    <w:p w14:paraId="4339EB14" w14:textId="77777777" w:rsidR="004E0CFB" w:rsidRPr="004E0CFB" w:rsidRDefault="004E0CFB" w:rsidP="004E0CFB">
      <w:pPr>
        <w:ind w:left="720" w:hanging="720"/>
      </w:pPr>
      <w:r w:rsidRPr="004E0CFB">
        <w:t xml:space="preserve">Souppaya, M., &amp; Scarfone, K. (2016). </w:t>
      </w:r>
      <w:r w:rsidRPr="004E0CFB">
        <w:rPr>
          <w:i/>
          <w:iCs/>
        </w:rPr>
        <w:t>Guide to Data-Centric System Threat Modeling</w:t>
      </w:r>
      <w:r w:rsidRPr="004E0CFB">
        <w:t xml:space="preserve"> (NIST SP 800-154). National Institute of Standards and Technology. </w:t>
      </w:r>
      <w:hyperlink r:id="rId7" w:history="1">
        <w:r w:rsidRPr="004E0CFB">
          <w:rPr>
            <w:rStyle w:val="Hyperlink"/>
          </w:rPr>
          <w:t>https://csrc.nist.gov/publications/detail/sp/800-154/final</w:t>
        </w:r>
      </w:hyperlink>
    </w:p>
    <w:p w14:paraId="248A78ED" w14:textId="77777777" w:rsidR="00D56745" w:rsidRDefault="00D56745"/>
    <w:sectPr w:rsidR="00D567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5512F"/>
    <w:multiLevelType w:val="multilevel"/>
    <w:tmpl w:val="84BCB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7530A4"/>
    <w:multiLevelType w:val="multilevel"/>
    <w:tmpl w:val="6B529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433E6A"/>
    <w:multiLevelType w:val="multilevel"/>
    <w:tmpl w:val="5CD84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442DCF"/>
    <w:multiLevelType w:val="multilevel"/>
    <w:tmpl w:val="197E6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E322E7"/>
    <w:multiLevelType w:val="multilevel"/>
    <w:tmpl w:val="7C960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8A2FC1"/>
    <w:multiLevelType w:val="multilevel"/>
    <w:tmpl w:val="6F78D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1970546">
    <w:abstractNumId w:val="5"/>
  </w:num>
  <w:num w:numId="2" w16cid:durableId="515466170">
    <w:abstractNumId w:val="0"/>
  </w:num>
  <w:num w:numId="3" w16cid:durableId="1487819666">
    <w:abstractNumId w:val="1"/>
  </w:num>
  <w:num w:numId="4" w16cid:durableId="698819153">
    <w:abstractNumId w:val="4"/>
  </w:num>
  <w:num w:numId="5" w16cid:durableId="1821073479">
    <w:abstractNumId w:val="3"/>
  </w:num>
  <w:num w:numId="6" w16cid:durableId="12068716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CFB"/>
    <w:rsid w:val="00100F59"/>
    <w:rsid w:val="001A205D"/>
    <w:rsid w:val="001B13F0"/>
    <w:rsid w:val="004E0CFB"/>
    <w:rsid w:val="007D21BF"/>
    <w:rsid w:val="00C57004"/>
    <w:rsid w:val="00D56745"/>
    <w:rsid w:val="00F318C1"/>
    <w:rsid w:val="00F751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948F4"/>
  <w15:chartTrackingRefBased/>
  <w15:docId w15:val="{9EB098FC-26AC-4964-858E-A5A562004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0C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0C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0C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0C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0C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0C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0C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0C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0C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0C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0C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0C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0C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0C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0C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0C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0C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0CFB"/>
    <w:rPr>
      <w:rFonts w:eastAsiaTheme="majorEastAsia" w:cstheme="majorBidi"/>
      <w:color w:val="272727" w:themeColor="text1" w:themeTint="D8"/>
    </w:rPr>
  </w:style>
  <w:style w:type="paragraph" w:styleId="Title">
    <w:name w:val="Title"/>
    <w:basedOn w:val="Normal"/>
    <w:next w:val="Normal"/>
    <w:link w:val="TitleChar"/>
    <w:uiPriority w:val="10"/>
    <w:qFormat/>
    <w:rsid w:val="004E0C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0C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0CFB"/>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4E0CFB"/>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4E0CFB"/>
    <w:pPr>
      <w:spacing w:before="160"/>
      <w:jc w:val="center"/>
    </w:pPr>
    <w:rPr>
      <w:i/>
      <w:iCs/>
      <w:color w:val="000000" w:themeColor="text1"/>
    </w:rPr>
  </w:style>
  <w:style w:type="character" w:customStyle="1" w:styleId="QuoteChar">
    <w:name w:val="Quote Char"/>
    <w:basedOn w:val="DefaultParagraphFont"/>
    <w:link w:val="Quote"/>
    <w:uiPriority w:val="29"/>
    <w:rsid w:val="004E0CFB"/>
    <w:rPr>
      <w:i/>
      <w:iCs/>
      <w:color w:val="000000" w:themeColor="text1"/>
    </w:rPr>
  </w:style>
  <w:style w:type="paragraph" w:styleId="ListParagraph">
    <w:name w:val="List Paragraph"/>
    <w:basedOn w:val="Normal"/>
    <w:uiPriority w:val="34"/>
    <w:qFormat/>
    <w:rsid w:val="004E0CFB"/>
    <w:pPr>
      <w:ind w:left="720"/>
      <w:contextualSpacing/>
    </w:pPr>
  </w:style>
  <w:style w:type="character" w:styleId="IntenseEmphasis">
    <w:name w:val="Intense Emphasis"/>
    <w:basedOn w:val="DefaultParagraphFont"/>
    <w:uiPriority w:val="21"/>
    <w:qFormat/>
    <w:rsid w:val="004E0CFB"/>
    <w:rPr>
      <w:i/>
      <w:iCs/>
      <w:color w:val="0F4761" w:themeColor="accent1" w:themeShade="BF"/>
    </w:rPr>
  </w:style>
  <w:style w:type="paragraph" w:styleId="IntenseQuote">
    <w:name w:val="Intense Quote"/>
    <w:basedOn w:val="Normal"/>
    <w:next w:val="Normal"/>
    <w:link w:val="IntenseQuoteChar"/>
    <w:uiPriority w:val="30"/>
    <w:qFormat/>
    <w:rsid w:val="004E0C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0CFB"/>
    <w:rPr>
      <w:i/>
      <w:iCs/>
      <w:color w:val="0F4761" w:themeColor="accent1" w:themeShade="BF"/>
    </w:rPr>
  </w:style>
  <w:style w:type="character" w:styleId="IntenseReference">
    <w:name w:val="Intense Reference"/>
    <w:basedOn w:val="DefaultParagraphFont"/>
    <w:uiPriority w:val="32"/>
    <w:qFormat/>
    <w:rsid w:val="004E0CFB"/>
    <w:rPr>
      <w:b/>
      <w:bCs/>
      <w:smallCaps/>
      <w:color w:val="0F4761" w:themeColor="accent1" w:themeShade="BF"/>
      <w:spacing w:val="5"/>
    </w:rPr>
  </w:style>
  <w:style w:type="character" w:styleId="Hyperlink">
    <w:name w:val="Hyperlink"/>
    <w:basedOn w:val="DefaultParagraphFont"/>
    <w:uiPriority w:val="99"/>
    <w:unhideWhenUsed/>
    <w:rsid w:val="004E0CFB"/>
    <w:rPr>
      <w:color w:val="467886" w:themeColor="hyperlink"/>
      <w:u w:val="single"/>
    </w:rPr>
  </w:style>
  <w:style w:type="character" w:styleId="UnresolvedMention">
    <w:name w:val="Unresolved Mention"/>
    <w:basedOn w:val="DefaultParagraphFont"/>
    <w:uiPriority w:val="99"/>
    <w:semiHidden/>
    <w:unhideWhenUsed/>
    <w:rsid w:val="004E0C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src.nist.gov/publications/detail/sp/800-154/fina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ojp.gov/pdffiles1/nij/254661.pdf" TargetMode="External"/><Relationship Id="rId5" Type="http://schemas.openxmlformats.org/officeDocument/2006/relationships/hyperlink" Target="https://le.fbi.gov/file-repository/cjis_security_policy_v5-9-4_20231220.pdf"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567</Words>
  <Characters>3238</Characters>
  <Application>Microsoft Office Word</Application>
  <DocSecurity>0</DocSecurity>
  <Lines>26</Lines>
  <Paragraphs>7</Paragraphs>
  <ScaleCrop>false</ScaleCrop>
  <Company/>
  <LinksUpToDate>false</LinksUpToDate>
  <CharactersWithSpaces>3798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 M.</dc:creator>
  <cp:keywords/>
  <dc:description/>
  <cp:lastModifiedBy>Jessi M.</cp:lastModifiedBy>
  <cp:revision>2</cp:revision>
  <dcterms:created xsi:type="dcterms:W3CDTF">2025-11-19T23:45:00Z</dcterms:created>
  <dcterms:modified xsi:type="dcterms:W3CDTF">2025-11-19T23:47:00Z</dcterms:modified>
</cp:coreProperties>
</file>