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8952" w14:textId="77777777" w:rsidR="00D76DB8" w:rsidRPr="00D76DB8" w:rsidRDefault="00D76DB8" w:rsidP="00D76DB8">
      <w:pPr>
        <w:jc w:val="center"/>
        <w:rPr>
          <w:b/>
          <w:bCs/>
        </w:rPr>
      </w:pPr>
      <w:r w:rsidRPr="00D76DB8">
        <w:rPr>
          <w:rFonts w:ascii="Segoe UI Emoji" w:hAnsi="Segoe UI Emoji" w:cs="Segoe UI Emoji"/>
          <w:b/>
          <w:bCs/>
        </w:rPr>
        <w:t>🛡️</w:t>
      </w:r>
      <w:r w:rsidRPr="00D76DB8">
        <w:rPr>
          <w:b/>
          <w:bCs/>
        </w:rPr>
        <w:t xml:space="preserve"> Threat Model and Mitigation Matrix</w:t>
      </w:r>
    </w:p>
    <w:p w14:paraId="7F3911C0" w14:textId="66270A86" w:rsidR="00D76DB8" w:rsidRPr="00D76DB8" w:rsidRDefault="00D76DB8" w:rsidP="00D76DB8">
      <w:r w:rsidRPr="00D76DB8">
        <w:rPr>
          <w:b/>
          <w:bCs/>
        </w:rPr>
        <w:t>Digital Chain-of-Custody System (DCCS)</w:t>
      </w:r>
      <w:r w:rsidRPr="00D76DB8">
        <w:br/>
      </w:r>
      <w:r w:rsidRPr="00D76DB8">
        <w:pict w14:anchorId="371C2998">
          <v:rect id="_x0000_i1068" style="width:0;height:1.5pt" o:hralign="center" o:hrstd="t" o:hr="t" fillcolor="#a0a0a0" stroked="f"/>
        </w:pict>
      </w:r>
    </w:p>
    <w:p w14:paraId="4B6AF340" w14:textId="77777777" w:rsidR="00D76DB8" w:rsidRPr="00D76DB8" w:rsidRDefault="00D76DB8" w:rsidP="00D76DB8">
      <w:pPr>
        <w:rPr>
          <w:b/>
          <w:bCs/>
        </w:rPr>
      </w:pPr>
      <w:r w:rsidRPr="00D76DB8">
        <w:rPr>
          <w:b/>
          <w:bCs/>
        </w:rPr>
        <w:t>Purpose</w:t>
      </w:r>
    </w:p>
    <w:p w14:paraId="6102CBDE" w14:textId="77777777" w:rsidR="00D76DB8" w:rsidRPr="00D76DB8" w:rsidRDefault="00D76DB8" w:rsidP="00D76DB8">
      <w:r w:rsidRPr="00D76DB8">
        <w:t>This document outlines the threat modeling framework and mitigation strategies for the Digital Chain-of-Custody System (DCCS). It is designed to identify potential security risks across the system’s architecture and map each threat to specific controls. The model adheres to federal standards, including NIST SP 800-154 and the FBI’s CJIS Security Policy v5.9.4, ensuring forensic integrity, legal defensibility, and operational resilience (Souppaya &amp; Scarfone, 2016; FBI CJIS Division, 2023).</w:t>
      </w:r>
    </w:p>
    <w:p w14:paraId="4353F9E3" w14:textId="77777777" w:rsidR="00D76DB8" w:rsidRPr="00D76DB8" w:rsidRDefault="00D76DB8" w:rsidP="00D76DB8">
      <w:r w:rsidRPr="00D76DB8">
        <w:pict w14:anchorId="4E746FF4">
          <v:rect id="_x0000_i1069" style="width:0;height:1.5pt" o:hralign="center" o:hrstd="t" o:hr="t" fillcolor="#a0a0a0" stroked="f"/>
        </w:pict>
      </w:r>
    </w:p>
    <w:p w14:paraId="07A64512" w14:textId="77777777" w:rsidR="00D76DB8" w:rsidRPr="00D76DB8" w:rsidRDefault="00D76DB8" w:rsidP="00D76DB8">
      <w:pPr>
        <w:rPr>
          <w:b/>
          <w:bCs/>
        </w:rPr>
      </w:pPr>
      <w:r w:rsidRPr="00D76DB8">
        <w:rPr>
          <w:b/>
          <w:bCs/>
        </w:rPr>
        <w:t>Threat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6790"/>
      </w:tblGrid>
      <w:tr w:rsidR="00D76DB8" w:rsidRPr="00D76DB8" w14:paraId="4C284599" w14:textId="77777777">
        <w:trPr>
          <w:tblHeader/>
          <w:tblCellSpacing w:w="15" w:type="dxa"/>
        </w:trPr>
        <w:tc>
          <w:tcPr>
            <w:tcW w:w="0" w:type="auto"/>
            <w:vAlign w:val="center"/>
            <w:hideMark/>
          </w:tcPr>
          <w:p w14:paraId="10B48195" w14:textId="77777777" w:rsidR="00D76DB8" w:rsidRPr="00D76DB8" w:rsidRDefault="00D76DB8" w:rsidP="00D76DB8">
            <w:pPr>
              <w:rPr>
                <w:b/>
                <w:bCs/>
              </w:rPr>
            </w:pPr>
            <w:r w:rsidRPr="00D76DB8">
              <w:rPr>
                <w:b/>
                <w:bCs/>
              </w:rPr>
              <w:t>Category</w:t>
            </w:r>
          </w:p>
        </w:tc>
        <w:tc>
          <w:tcPr>
            <w:tcW w:w="0" w:type="auto"/>
            <w:vAlign w:val="center"/>
            <w:hideMark/>
          </w:tcPr>
          <w:p w14:paraId="77DBF3E3" w14:textId="77777777" w:rsidR="00D76DB8" w:rsidRPr="00D76DB8" w:rsidRDefault="00D76DB8" w:rsidP="00D76DB8">
            <w:pPr>
              <w:rPr>
                <w:b/>
                <w:bCs/>
              </w:rPr>
            </w:pPr>
            <w:r w:rsidRPr="00D76DB8">
              <w:rPr>
                <w:b/>
                <w:bCs/>
              </w:rPr>
              <w:t>Description</w:t>
            </w:r>
          </w:p>
        </w:tc>
      </w:tr>
      <w:tr w:rsidR="00D76DB8" w:rsidRPr="00D76DB8" w14:paraId="016CC14D" w14:textId="77777777">
        <w:trPr>
          <w:tblCellSpacing w:w="15" w:type="dxa"/>
        </w:trPr>
        <w:tc>
          <w:tcPr>
            <w:tcW w:w="0" w:type="auto"/>
            <w:vAlign w:val="center"/>
            <w:hideMark/>
          </w:tcPr>
          <w:p w14:paraId="4002DB6B" w14:textId="77777777" w:rsidR="00D76DB8" w:rsidRPr="00D76DB8" w:rsidRDefault="00D76DB8" w:rsidP="00D76DB8">
            <w:r w:rsidRPr="00D76DB8">
              <w:t>External Attacks</w:t>
            </w:r>
          </w:p>
        </w:tc>
        <w:tc>
          <w:tcPr>
            <w:tcW w:w="0" w:type="auto"/>
            <w:vAlign w:val="center"/>
            <w:hideMark/>
          </w:tcPr>
          <w:p w14:paraId="48A873BC" w14:textId="77777777" w:rsidR="00D76DB8" w:rsidRPr="00D76DB8" w:rsidRDefault="00D76DB8" w:rsidP="00D76DB8">
            <w:r w:rsidRPr="00D76DB8">
              <w:t>Threats from unauthorized actors targeting system vulnerabilities.</w:t>
            </w:r>
          </w:p>
        </w:tc>
      </w:tr>
      <w:tr w:rsidR="00D76DB8" w:rsidRPr="00D76DB8" w14:paraId="0C5020B7" w14:textId="77777777">
        <w:trPr>
          <w:tblCellSpacing w:w="15" w:type="dxa"/>
        </w:trPr>
        <w:tc>
          <w:tcPr>
            <w:tcW w:w="0" w:type="auto"/>
            <w:vAlign w:val="center"/>
            <w:hideMark/>
          </w:tcPr>
          <w:p w14:paraId="44405DD2" w14:textId="77777777" w:rsidR="00D76DB8" w:rsidRPr="00D76DB8" w:rsidRDefault="00D76DB8" w:rsidP="00D76DB8">
            <w:r w:rsidRPr="00D76DB8">
              <w:t>Insider Threats</w:t>
            </w:r>
          </w:p>
        </w:tc>
        <w:tc>
          <w:tcPr>
            <w:tcW w:w="0" w:type="auto"/>
            <w:vAlign w:val="center"/>
            <w:hideMark/>
          </w:tcPr>
          <w:p w14:paraId="745C19A1" w14:textId="77777777" w:rsidR="00D76DB8" w:rsidRPr="00D76DB8" w:rsidRDefault="00D76DB8" w:rsidP="00D76DB8">
            <w:r w:rsidRPr="00D76DB8">
              <w:t>Malicious or negligent actions by authorized users.</w:t>
            </w:r>
          </w:p>
        </w:tc>
      </w:tr>
      <w:tr w:rsidR="00D76DB8" w:rsidRPr="00D76DB8" w14:paraId="1D624153" w14:textId="77777777">
        <w:trPr>
          <w:tblCellSpacing w:w="15" w:type="dxa"/>
        </w:trPr>
        <w:tc>
          <w:tcPr>
            <w:tcW w:w="0" w:type="auto"/>
            <w:vAlign w:val="center"/>
            <w:hideMark/>
          </w:tcPr>
          <w:p w14:paraId="7903BD41" w14:textId="77777777" w:rsidR="00D76DB8" w:rsidRPr="00D76DB8" w:rsidRDefault="00D76DB8" w:rsidP="00D76DB8">
            <w:r w:rsidRPr="00D76DB8">
              <w:t>Data Integrity Risks</w:t>
            </w:r>
          </w:p>
        </w:tc>
        <w:tc>
          <w:tcPr>
            <w:tcW w:w="0" w:type="auto"/>
            <w:vAlign w:val="center"/>
            <w:hideMark/>
          </w:tcPr>
          <w:p w14:paraId="1F807055" w14:textId="77777777" w:rsidR="00D76DB8" w:rsidRPr="00D76DB8" w:rsidRDefault="00D76DB8" w:rsidP="00D76DB8">
            <w:r w:rsidRPr="00D76DB8">
              <w:t>Tampering, corruption, or unauthorized modification of evidence.</w:t>
            </w:r>
          </w:p>
        </w:tc>
      </w:tr>
      <w:tr w:rsidR="00D76DB8" w:rsidRPr="00D76DB8" w14:paraId="2C89CE99" w14:textId="77777777">
        <w:trPr>
          <w:tblCellSpacing w:w="15" w:type="dxa"/>
        </w:trPr>
        <w:tc>
          <w:tcPr>
            <w:tcW w:w="0" w:type="auto"/>
            <w:vAlign w:val="center"/>
            <w:hideMark/>
          </w:tcPr>
          <w:p w14:paraId="5D70DBD3" w14:textId="77777777" w:rsidR="00D76DB8" w:rsidRPr="00D76DB8" w:rsidRDefault="00D76DB8" w:rsidP="00D76DB8">
            <w:r w:rsidRPr="00D76DB8">
              <w:t>Availability Risks</w:t>
            </w:r>
          </w:p>
        </w:tc>
        <w:tc>
          <w:tcPr>
            <w:tcW w:w="0" w:type="auto"/>
            <w:vAlign w:val="center"/>
            <w:hideMark/>
          </w:tcPr>
          <w:p w14:paraId="4DAE2337" w14:textId="77777777" w:rsidR="00D76DB8" w:rsidRPr="00D76DB8" w:rsidRDefault="00D76DB8" w:rsidP="00D76DB8">
            <w:r w:rsidRPr="00D76DB8">
              <w:t>System downtime, denial-of-service, or infrastructure failure.</w:t>
            </w:r>
          </w:p>
        </w:tc>
      </w:tr>
      <w:tr w:rsidR="00D76DB8" w:rsidRPr="00D76DB8" w14:paraId="23A36518" w14:textId="77777777">
        <w:trPr>
          <w:tblCellSpacing w:w="15" w:type="dxa"/>
        </w:trPr>
        <w:tc>
          <w:tcPr>
            <w:tcW w:w="0" w:type="auto"/>
            <w:vAlign w:val="center"/>
            <w:hideMark/>
          </w:tcPr>
          <w:p w14:paraId="3DC78059" w14:textId="77777777" w:rsidR="00D76DB8" w:rsidRPr="00D76DB8" w:rsidRDefault="00D76DB8" w:rsidP="00D76DB8">
            <w:r w:rsidRPr="00D76DB8">
              <w:t>Legal/Compliance Risks</w:t>
            </w:r>
          </w:p>
        </w:tc>
        <w:tc>
          <w:tcPr>
            <w:tcW w:w="0" w:type="auto"/>
            <w:vAlign w:val="center"/>
            <w:hideMark/>
          </w:tcPr>
          <w:p w14:paraId="2993BC16" w14:textId="77777777" w:rsidR="00D76DB8" w:rsidRPr="00D76DB8" w:rsidRDefault="00D76DB8" w:rsidP="00D76DB8">
            <w:r w:rsidRPr="00D76DB8">
              <w:t>Violations of jurisdictional laws or regulatory standards.</w:t>
            </w:r>
          </w:p>
        </w:tc>
      </w:tr>
    </w:tbl>
    <w:p w14:paraId="4E6A2009" w14:textId="77777777" w:rsidR="00D76DB8" w:rsidRPr="00D76DB8" w:rsidRDefault="00D76DB8" w:rsidP="00D76DB8">
      <w:r w:rsidRPr="00D76DB8">
        <w:pict w14:anchorId="63F7C545">
          <v:rect id="_x0000_i1070" style="width:0;height:1.5pt" o:hralign="center" o:hrstd="t" o:hr="t" fillcolor="#a0a0a0" stroked="f"/>
        </w:pict>
      </w:r>
    </w:p>
    <w:p w14:paraId="585BDCB3" w14:textId="77777777" w:rsidR="00D76DB8" w:rsidRPr="00D76DB8" w:rsidRDefault="00D76DB8" w:rsidP="00D76DB8">
      <w:pPr>
        <w:rPr>
          <w:b/>
          <w:bCs/>
        </w:rPr>
      </w:pPr>
      <w:r w:rsidRPr="00D76DB8">
        <w:rPr>
          <w:b/>
          <w:bCs/>
        </w:rPr>
        <w:t>Threat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2684"/>
        <w:gridCol w:w="4077"/>
      </w:tblGrid>
      <w:tr w:rsidR="00D76DB8" w:rsidRPr="00D76DB8" w14:paraId="17279BCB" w14:textId="77777777">
        <w:trPr>
          <w:tblHeader/>
          <w:tblCellSpacing w:w="15" w:type="dxa"/>
        </w:trPr>
        <w:tc>
          <w:tcPr>
            <w:tcW w:w="0" w:type="auto"/>
            <w:vAlign w:val="center"/>
            <w:hideMark/>
          </w:tcPr>
          <w:p w14:paraId="572E9A4A" w14:textId="77777777" w:rsidR="00D76DB8" w:rsidRPr="00D76DB8" w:rsidRDefault="00D76DB8" w:rsidP="00D76DB8">
            <w:pPr>
              <w:rPr>
                <w:b/>
                <w:bCs/>
              </w:rPr>
            </w:pPr>
            <w:r w:rsidRPr="00D76DB8">
              <w:rPr>
                <w:b/>
                <w:bCs/>
              </w:rPr>
              <w:t>Threat</w:t>
            </w:r>
          </w:p>
        </w:tc>
        <w:tc>
          <w:tcPr>
            <w:tcW w:w="0" w:type="auto"/>
            <w:vAlign w:val="center"/>
            <w:hideMark/>
          </w:tcPr>
          <w:p w14:paraId="31E1EBDD" w14:textId="77777777" w:rsidR="00D76DB8" w:rsidRPr="00D76DB8" w:rsidRDefault="00D76DB8" w:rsidP="00D76DB8">
            <w:pPr>
              <w:rPr>
                <w:b/>
                <w:bCs/>
              </w:rPr>
            </w:pPr>
            <w:r w:rsidRPr="00D76DB8">
              <w:rPr>
                <w:b/>
                <w:bCs/>
              </w:rPr>
              <w:t>Description</w:t>
            </w:r>
          </w:p>
        </w:tc>
        <w:tc>
          <w:tcPr>
            <w:tcW w:w="0" w:type="auto"/>
            <w:vAlign w:val="center"/>
            <w:hideMark/>
          </w:tcPr>
          <w:p w14:paraId="4322551A" w14:textId="77777777" w:rsidR="00D76DB8" w:rsidRPr="00D76DB8" w:rsidRDefault="00D76DB8" w:rsidP="00D76DB8">
            <w:pPr>
              <w:rPr>
                <w:b/>
                <w:bCs/>
              </w:rPr>
            </w:pPr>
            <w:r w:rsidRPr="00D76DB8">
              <w:rPr>
                <w:b/>
                <w:bCs/>
              </w:rPr>
              <w:t>Mitigation Strategy</w:t>
            </w:r>
          </w:p>
        </w:tc>
      </w:tr>
      <w:tr w:rsidR="00D76DB8" w:rsidRPr="00D76DB8" w14:paraId="71190F27" w14:textId="77777777">
        <w:trPr>
          <w:tblCellSpacing w:w="15" w:type="dxa"/>
        </w:trPr>
        <w:tc>
          <w:tcPr>
            <w:tcW w:w="0" w:type="auto"/>
            <w:vAlign w:val="center"/>
            <w:hideMark/>
          </w:tcPr>
          <w:p w14:paraId="659069F3" w14:textId="77777777" w:rsidR="00D76DB8" w:rsidRPr="00D76DB8" w:rsidRDefault="00D76DB8" w:rsidP="00D76DB8">
            <w:r w:rsidRPr="00D76DB8">
              <w:t>Unauthorized Access</w:t>
            </w:r>
          </w:p>
        </w:tc>
        <w:tc>
          <w:tcPr>
            <w:tcW w:w="0" w:type="auto"/>
            <w:vAlign w:val="center"/>
            <w:hideMark/>
          </w:tcPr>
          <w:p w14:paraId="703D79BF" w14:textId="77777777" w:rsidR="00D76DB8" w:rsidRPr="00D76DB8" w:rsidRDefault="00D76DB8" w:rsidP="00D76DB8">
            <w:r w:rsidRPr="00D76DB8">
              <w:t>Attackers or insiders gain access to evidence or system controls.</w:t>
            </w:r>
          </w:p>
        </w:tc>
        <w:tc>
          <w:tcPr>
            <w:tcW w:w="0" w:type="auto"/>
            <w:vAlign w:val="center"/>
            <w:hideMark/>
          </w:tcPr>
          <w:p w14:paraId="017498DD" w14:textId="77777777" w:rsidR="00D76DB8" w:rsidRPr="00D76DB8" w:rsidRDefault="00D76DB8" w:rsidP="00D76DB8">
            <w:r w:rsidRPr="00D76DB8">
              <w:t>Multi-factor authentication (MFA), role-based access control (RBAC), session timeout, access logs, geo-fencing (CJIS §5.6)</w:t>
            </w:r>
          </w:p>
        </w:tc>
      </w:tr>
      <w:tr w:rsidR="00D76DB8" w:rsidRPr="00D76DB8" w14:paraId="1E2B01A1" w14:textId="77777777">
        <w:trPr>
          <w:tblCellSpacing w:w="15" w:type="dxa"/>
        </w:trPr>
        <w:tc>
          <w:tcPr>
            <w:tcW w:w="0" w:type="auto"/>
            <w:vAlign w:val="center"/>
            <w:hideMark/>
          </w:tcPr>
          <w:p w14:paraId="69674633" w14:textId="77777777" w:rsidR="00D76DB8" w:rsidRPr="00D76DB8" w:rsidRDefault="00D76DB8" w:rsidP="00D76DB8">
            <w:r w:rsidRPr="00D76DB8">
              <w:lastRenderedPageBreak/>
              <w:t>Evidence Tampering</w:t>
            </w:r>
          </w:p>
        </w:tc>
        <w:tc>
          <w:tcPr>
            <w:tcW w:w="0" w:type="auto"/>
            <w:vAlign w:val="center"/>
            <w:hideMark/>
          </w:tcPr>
          <w:p w14:paraId="39FD01A6" w14:textId="77777777" w:rsidR="00D76DB8" w:rsidRPr="00D76DB8" w:rsidRDefault="00D76DB8" w:rsidP="00D76DB8">
            <w:r w:rsidRPr="00D76DB8">
              <w:t>Evidence is altered, deleted, or replaced.</w:t>
            </w:r>
          </w:p>
        </w:tc>
        <w:tc>
          <w:tcPr>
            <w:tcW w:w="0" w:type="auto"/>
            <w:vAlign w:val="center"/>
            <w:hideMark/>
          </w:tcPr>
          <w:p w14:paraId="3A34FF18" w14:textId="77777777" w:rsidR="00D76DB8" w:rsidRPr="00D76DB8" w:rsidRDefault="00D76DB8" w:rsidP="00D76DB8">
            <w:r w:rsidRPr="00D76DB8">
              <w:t>SHA-256 hashing, hash chaining, immutable storage, audit trail (NIST SP 800-154 §3.2)</w:t>
            </w:r>
          </w:p>
        </w:tc>
      </w:tr>
      <w:tr w:rsidR="00D76DB8" w:rsidRPr="00D76DB8" w14:paraId="1570892A" w14:textId="77777777">
        <w:trPr>
          <w:tblCellSpacing w:w="15" w:type="dxa"/>
        </w:trPr>
        <w:tc>
          <w:tcPr>
            <w:tcW w:w="0" w:type="auto"/>
            <w:vAlign w:val="center"/>
            <w:hideMark/>
          </w:tcPr>
          <w:p w14:paraId="72EA4305" w14:textId="77777777" w:rsidR="00D76DB8" w:rsidRPr="00D76DB8" w:rsidRDefault="00D76DB8" w:rsidP="00D76DB8">
            <w:r w:rsidRPr="00D76DB8">
              <w:t>Privilege Escalation</w:t>
            </w:r>
          </w:p>
        </w:tc>
        <w:tc>
          <w:tcPr>
            <w:tcW w:w="0" w:type="auto"/>
            <w:vAlign w:val="center"/>
            <w:hideMark/>
          </w:tcPr>
          <w:p w14:paraId="201A063D" w14:textId="77777777" w:rsidR="00D76DB8" w:rsidRPr="00D76DB8" w:rsidRDefault="00D76DB8" w:rsidP="00D76DB8">
            <w:r w:rsidRPr="00D76DB8">
              <w:t>Users gain unauthorized elevated permissions.</w:t>
            </w:r>
          </w:p>
        </w:tc>
        <w:tc>
          <w:tcPr>
            <w:tcW w:w="0" w:type="auto"/>
            <w:vAlign w:val="center"/>
            <w:hideMark/>
          </w:tcPr>
          <w:p w14:paraId="216E0989" w14:textId="77777777" w:rsidR="00D76DB8" w:rsidRPr="00D76DB8" w:rsidRDefault="00D76DB8" w:rsidP="00D76DB8">
            <w:r w:rsidRPr="00D76DB8">
              <w:t>Role separation, permission audits, escalation alerts (CJIS §5.5)</w:t>
            </w:r>
          </w:p>
        </w:tc>
      </w:tr>
      <w:tr w:rsidR="00D76DB8" w:rsidRPr="00D76DB8" w14:paraId="08EA780C" w14:textId="77777777">
        <w:trPr>
          <w:tblCellSpacing w:w="15" w:type="dxa"/>
        </w:trPr>
        <w:tc>
          <w:tcPr>
            <w:tcW w:w="0" w:type="auto"/>
            <w:vAlign w:val="center"/>
            <w:hideMark/>
          </w:tcPr>
          <w:p w14:paraId="194AD32C" w14:textId="77777777" w:rsidR="00D76DB8" w:rsidRPr="00D76DB8" w:rsidRDefault="00D76DB8" w:rsidP="00D76DB8">
            <w:r w:rsidRPr="00D76DB8">
              <w:t>Phishing &amp; Credential Theft</w:t>
            </w:r>
          </w:p>
        </w:tc>
        <w:tc>
          <w:tcPr>
            <w:tcW w:w="0" w:type="auto"/>
            <w:vAlign w:val="center"/>
            <w:hideMark/>
          </w:tcPr>
          <w:p w14:paraId="6693FA53" w14:textId="77777777" w:rsidR="00D76DB8" w:rsidRPr="00D76DB8" w:rsidRDefault="00D76DB8" w:rsidP="00D76DB8">
            <w:r w:rsidRPr="00D76DB8">
              <w:t>Users tricked into revealing credentials.</w:t>
            </w:r>
          </w:p>
        </w:tc>
        <w:tc>
          <w:tcPr>
            <w:tcW w:w="0" w:type="auto"/>
            <w:vAlign w:val="center"/>
            <w:hideMark/>
          </w:tcPr>
          <w:p w14:paraId="55F73CF5" w14:textId="77777777" w:rsidR="00D76DB8" w:rsidRPr="00D76DB8" w:rsidRDefault="00D76DB8" w:rsidP="00D76DB8">
            <w:r w:rsidRPr="00D76DB8">
              <w:t>MFA, phishing-resistant login, user training (NIST SP 800-154 §4.1)</w:t>
            </w:r>
          </w:p>
        </w:tc>
      </w:tr>
      <w:tr w:rsidR="00D76DB8" w:rsidRPr="00D76DB8" w14:paraId="601665FC" w14:textId="77777777">
        <w:trPr>
          <w:tblCellSpacing w:w="15" w:type="dxa"/>
        </w:trPr>
        <w:tc>
          <w:tcPr>
            <w:tcW w:w="0" w:type="auto"/>
            <w:vAlign w:val="center"/>
            <w:hideMark/>
          </w:tcPr>
          <w:p w14:paraId="260C0D32" w14:textId="77777777" w:rsidR="00D76DB8" w:rsidRPr="00D76DB8" w:rsidRDefault="00D76DB8" w:rsidP="00D76DB8">
            <w:r w:rsidRPr="00D76DB8">
              <w:t>Data Breach</w:t>
            </w:r>
          </w:p>
        </w:tc>
        <w:tc>
          <w:tcPr>
            <w:tcW w:w="0" w:type="auto"/>
            <w:vAlign w:val="center"/>
            <w:hideMark/>
          </w:tcPr>
          <w:p w14:paraId="376310C7" w14:textId="77777777" w:rsidR="00D76DB8" w:rsidRPr="00D76DB8" w:rsidRDefault="00D76DB8" w:rsidP="00D76DB8">
            <w:r w:rsidRPr="00D76DB8">
              <w:t>Sensitive evidence or metadata is leaked.</w:t>
            </w:r>
          </w:p>
        </w:tc>
        <w:tc>
          <w:tcPr>
            <w:tcW w:w="0" w:type="auto"/>
            <w:vAlign w:val="center"/>
            <w:hideMark/>
          </w:tcPr>
          <w:p w14:paraId="6E87856C" w14:textId="77777777" w:rsidR="00D76DB8" w:rsidRPr="00D76DB8" w:rsidRDefault="00D76DB8" w:rsidP="00D76DB8">
            <w:r w:rsidRPr="00D76DB8">
              <w:t>AES-256 encryption, TLS 1.3, segmented storage, breach detection (CJIS §5.10)</w:t>
            </w:r>
          </w:p>
        </w:tc>
      </w:tr>
      <w:tr w:rsidR="00D76DB8" w:rsidRPr="00D76DB8" w14:paraId="492FE149" w14:textId="77777777">
        <w:trPr>
          <w:tblCellSpacing w:w="15" w:type="dxa"/>
        </w:trPr>
        <w:tc>
          <w:tcPr>
            <w:tcW w:w="0" w:type="auto"/>
            <w:vAlign w:val="center"/>
            <w:hideMark/>
          </w:tcPr>
          <w:p w14:paraId="56536829" w14:textId="77777777" w:rsidR="00D76DB8" w:rsidRPr="00D76DB8" w:rsidRDefault="00D76DB8" w:rsidP="00D76DB8">
            <w:r w:rsidRPr="00D76DB8">
              <w:t>Denial-of-Service (DoS)</w:t>
            </w:r>
          </w:p>
        </w:tc>
        <w:tc>
          <w:tcPr>
            <w:tcW w:w="0" w:type="auto"/>
            <w:vAlign w:val="center"/>
            <w:hideMark/>
          </w:tcPr>
          <w:p w14:paraId="58CFD126" w14:textId="77777777" w:rsidR="00D76DB8" w:rsidRPr="00D76DB8" w:rsidRDefault="00D76DB8" w:rsidP="00D76DB8">
            <w:r w:rsidRPr="00D76DB8">
              <w:t>Attackers disrupt system availability.</w:t>
            </w:r>
          </w:p>
        </w:tc>
        <w:tc>
          <w:tcPr>
            <w:tcW w:w="0" w:type="auto"/>
            <w:vAlign w:val="center"/>
            <w:hideMark/>
          </w:tcPr>
          <w:p w14:paraId="379779FE" w14:textId="77777777" w:rsidR="00D76DB8" w:rsidRPr="00D76DB8" w:rsidRDefault="00D76DB8" w:rsidP="00D76DB8">
            <w:r w:rsidRPr="00D76DB8">
              <w:t>Rate limiting, firewall rules, load balancing, failover servers (NIST SP 800-154 §4.3)</w:t>
            </w:r>
          </w:p>
        </w:tc>
      </w:tr>
      <w:tr w:rsidR="00D76DB8" w:rsidRPr="00D76DB8" w14:paraId="0D868614" w14:textId="77777777">
        <w:trPr>
          <w:tblCellSpacing w:w="15" w:type="dxa"/>
        </w:trPr>
        <w:tc>
          <w:tcPr>
            <w:tcW w:w="0" w:type="auto"/>
            <w:vAlign w:val="center"/>
            <w:hideMark/>
          </w:tcPr>
          <w:p w14:paraId="4CE28975" w14:textId="77777777" w:rsidR="00D76DB8" w:rsidRPr="00D76DB8" w:rsidRDefault="00D76DB8" w:rsidP="00D76DB8">
            <w:r w:rsidRPr="00D76DB8">
              <w:t>Malware/Ransomware</w:t>
            </w:r>
          </w:p>
        </w:tc>
        <w:tc>
          <w:tcPr>
            <w:tcW w:w="0" w:type="auto"/>
            <w:vAlign w:val="center"/>
            <w:hideMark/>
          </w:tcPr>
          <w:p w14:paraId="29C02279" w14:textId="77777777" w:rsidR="00D76DB8" w:rsidRPr="00D76DB8" w:rsidRDefault="00D76DB8" w:rsidP="00D76DB8">
            <w:r w:rsidRPr="00D76DB8">
              <w:t>Malicious code encrypts or corrupts evidence.</w:t>
            </w:r>
          </w:p>
        </w:tc>
        <w:tc>
          <w:tcPr>
            <w:tcW w:w="0" w:type="auto"/>
            <w:vAlign w:val="center"/>
            <w:hideMark/>
          </w:tcPr>
          <w:p w14:paraId="4AF7550C" w14:textId="77777777" w:rsidR="00D76DB8" w:rsidRPr="00D76DB8" w:rsidRDefault="00D76DB8" w:rsidP="00D76DB8">
            <w:r w:rsidRPr="00D76DB8">
              <w:t>Endpoint protection, sandboxing, offline backups (CJIS §5.13)</w:t>
            </w:r>
          </w:p>
        </w:tc>
      </w:tr>
      <w:tr w:rsidR="00D76DB8" w:rsidRPr="00D76DB8" w14:paraId="3007558B" w14:textId="77777777">
        <w:trPr>
          <w:tblCellSpacing w:w="15" w:type="dxa"/>
        </w:trPr>
        <w:tc>
          <w:tcPr>
            <w:tcW w:w="0" w:type="auto"/>
            <w:vAlign w:val="center"/>
            <w:hideMark/>
          </w:tcPr>
          <w:p w14:paraId="7CD26323" w14:textId="77777777" w:rsidR="00D76DB8" w:rsidRPr="00D76DB8" w:rsidRDefault="00D76DB8" w:rsidP="00D76DB8">
            <w:r w:rsidRPr="00D76DB8">
              <w:t>Audit Trail Manipulation</w:t>
            </w:r>
          </w:p>
        </w:tc>
        <w:tc>
          <w:tcPr>
            <w:tcW w:w="0" w:type="auto"/>
            <w:vAlign w:val="center"/>
            <w:hideMark/>
          </w:tcPr>
          <w:p w14:paraId="2E32268F" w14:textId="77777777" w:rsidR="00D76DB8" w:rsidRPr="00D76DB8" w:rsidRDefault="00D76DB8" w:rsidP="00D76DB8">
            <w:r w:rsidRPr="00D76DB8">
              <w:t>Logs are altered to hide actions.</w:t>
            </w:r>
          </w:p>
        </w:tc>
        <w:tc>
          <w:tcPr>
            <w:tcW w:w="0" w:type="auto"/>
            <w:vAlign w:val="center"/>
            <w:hideMark/>
          </w:tcPr>
          <w:p w14:paraId="54FE04B4" w14:textId="77777777" w:rsidR="00D76DB8" w:rsidRPr="00D76DB8" w:rsidRDefault="00D76DB8" w:rsidP="00D76DB8">
            <w:r w:rsidRPr="00D76DB8">
              <w:t>Digital signatures, WORM storage, log integrity checks (NIST SP 800-154 §3.4)</w:t>
            </w:r>
          </w:p>
        </w:tc>
      </w:tr>
      <w:tr w:rsidR="00D76DB8" w:rsidRPr="00D76DB8" w14:paraId="42CEE26B" w14:textId="77777777">
        <w:trPr>
          <w:tblCellSpacing w:w="15" w:type="dxa"/>
        </w:trPr>
        <w:tc>
          <w:tcPr>
            <w:tcW w:w="0" w:type="auto"/>
            <w:vAlign w:val="center"/>
            <w:hideMark/>
          </w:tcPr>
          <w:p w14:paraId="24697B68" w14:textId="77777777" w:rsidR="00D76DB8" w:rsidRPr="00D76DB8" w:rsidRDefault="00D76DB8" w:rsidP="00D76DB8">
            <w:r w:rsidRPr="00D76DB8">
              <w:t>Jurisdictional Non-Compliance</w:t>
            </w:r>
          </w:p>
        </w:tc>
        <w:tc>
          <w:tcPr>
            <w:tcW w:w="0" w:type="auto"/>
            <w:vAlign w:val="center"/>
            <w:hideMark/>
          </w:tcPr>
          <w:p w14:paraId="7DB00A50" w14:textId="77777777" w:rsidR="00D76DB8" w:rsidRPr="00D76DB8" w:rsidRDefault="00D76DB8" w:rsidP="00D76DB8">
            <w:r w:rsidRPr="00D76DB8">
              <w:t>Evidence retention or access violates local law.</w:t>
            </w:r>
          </w:p>
        </w:tc>
        <w:tc>
          <w:tcPr>
            <w:tcW w:w="0" w:type="auto"/>
            <w:vAlign w:val="center"/>
            <w:hideMark/>
          </w:tcPr>
          <w:p w14:paraId="65888E7B" w14:textId="77777777" w:rsidR="00D76DB8" w:rsidRPr="00D76DB8" w:rsidRDefault="00D76DB8" w:rsidP="00D76DB8">
            <w:r w:rsidRPr="00D76DB8">
              <w:t>Configurable retention engine, legal flags, compliance dashboard (CJIS §5.8)</w:t>
            </w:r>
          </w:p>
        </w:tc>
      </w:tr>
      <w:tr w:rsidR="00D76DB8" w:rsidRPr="00D76DB8" w14:paraId="632BA348" w14:textId="77777777">
        <w:trPr>
          <w:tblCellSpacing w:w="15" w:type="dxa"/>
        </w:trPr>
        <w:tc>
          <w:tcPr>
            <w:tcW w:w="0" w:type="auto"/>
            <w:vAlign w:val="center"/>
            <w:hideMark/>
          </w:tcPr>
          <w:p w14:paraId="15D105A1" w14:textId="77777777" w:rsidR="00D76DB8" w:rsidRPr="00D76DB8" w:rsidRDefault="00D76DB8" w:rsidP="00D76DB8">
            <w:r w:rsidRPr="00D76DB8">
              <w:t>Chain-of-Custody Break</w:t>
            </w:r>
          </w:p>
        </w:tc>
        <w:tc>
          <w:tcPr>
            <w:tcW w:w="0" w:type="auto"/>
            <w:vAlign w:val="center"/>
            <w:hideMark/>
          </w:tcPr>
          <w:p w14:paraId="0ED1B467" w14:textId="77777777" w:rsidR="00D76DB8" w:rsidRPr="00D76DB8" w:rsidRDefault="00D76DB8" w:rsidP="00D76DB8">
            <w:r w:rsidRPr="00D76DB8">
              <w:t>Missing or invalid custody steps.</w:t>
            </w:r>
          </w:p>
        </w:tc>
        <w:tc>
          <w:tcPr>
            <w:tcW w:w="0" w:type="auto"/>
            <w:vAlign w:val="center"/>
            <w:hideMark/>
          </w:tcPr>
          <w:p w14:paraId="1E028EC3" w14:textId="77777777" w:rsidR="00D76DB8" w:rsidRPr="00D76DB8" w:rsidRDefault="00D76DB8" w:rsidP="00D76DB8">
            <w:r w:rsidRPr="00D76DB8">
              <w:t>Automated workflow enforcement, hash verification, alerting (NIST SP 800-154 §3.1)</w:t>
            </w:r>
          </w:p>
        </w:tc>
      </w:tr>
      <w:tr w:rsidR="00D76DB8" w:rsidRPr="00D76DB8" w14:paraId="075A7430" w14:textId="77777777">
        <w:trPr>
          <w:tblCellSpacing w:w="15" w:type="dxa"/>
        </w:trPr>
        <w:tc>
          <w:tcPr>
            <w:tcW w:w="0" w:type="auto"/>
            <w:vAlign w:val="center"/>
            <w:hideMark/>
          </w:tcPr>
          <w:p w14:paraId="1C23F632" w14:textId="77777777" w:rsidR="00D76DB8" w:rsidRPr="00D76DB8" w:rsidRDefault="00D76DB8" w:rsidP="00D76DB8">
            <w:r w:rsidRPr="00D76DB8">
              <w:t>Cloud Misconfiguration</w:t>
            </w:r>
          </w:p>
        </w:tc>
        <w:tc>
          <w:tcPr>
            <w:tcW w:w="0" w:type="auto"/>
            <w:vAlign w:val="center"/>
            <w:hideMark/>
          </w:tcPr>
          <w:p w14:paraId="2AA8AB5D" w14:textId="77777777" w:rsidR="00D76DB8" w:rsidRPr="00D76DB8" w:rsidRDefault="00D76DB8" w:rsidP="00D76DB8">
            <w:r w:rsidRPr="00D76DB8">
              <w:t>Improper cloud settings expose data.</w:t>
            </w:r>
          </w:p>
        </w:tc>
        <w:tc>
          <w:tcPr>
            <w:tcW w:w="0" w:type="auto"/>
            <w:vAlign w:val="center"/>
            <w:hideMark/>
          </w:tcPr>
          <w:p w14:paraId="23C2E867" w14:textId="77777777" w:rsidR="00D76DB8" w:rsidRPr="00D76DB8" w:rsidRDefault="00D76DB8" w:rsidP="00D76DB8">
            <w:r w:rsidRPr="00D76DB8">
              <w:t>Secure templates, automated config scans, least privilege IAM (CJIS §5.10.1)</w:t>
            </w:r>
          </w:p>
        </w:tc>
      </w:tr>
      <w:tr w:rsidR="00D76DB8" w:rsidRPr="00D76DB8" w14:paraId="7F300868" w14:textId="77777777">
        <w:trPr>
          <w:tblCellSpacing w:w="15" w:type="dxa"/>
        </w:trPr>
        <w:tc>
          <w:tcPr>
            <w:tcW w:w="0" w:type="auto"/>
            <w:vAlign w:val="center"/>
            <w:hideMark/>
          </w:tcPr>
          <w:p w14:paraId="342814D4" w14:textId="77777777" w:rsidR="00D76DB8" w:rsidRPr="00D76DB8" w:rsidRDefault="00D76DB8" w:rsidP="00D76DB8">
            <w:r w:rsidRPr="00D76DB8">
              <w:t>Physical Evidence Mishandling</w:t>
            </w:r>
          </w:p>
        </w:tc>
        <w:tc>
          <w:tcPr>
            <w:tcW w:w="0" w:type="auto"/>
            <w:vAlign w:val="center"/>
            <w:hideMark/>
          </w:tcPr>
          <w:p w14:paraId="00B3D61F" w14:textId="77777777" w:rsidR="00D76DB8" w:rsidRPr="00D76DB8" w:rsidRDefault="00D76DB8" w:rsidP="00D76DB8">
            <w:r w:rsidRPr="00D76DB8">
              <w:t>Improper logging or transfer of physical items.</w:t>
            </w:r>
          </w:p>
        </w:tc>
        <w:tc>
          <w:tcPr>
            <w:tcW w:w="0" w:type="auto"/>
            <w:vAlign w:val="center"/>
            <w:hideMark/>
          </w:tcPr>
          <w:p w14:paraId="0E2A1338" w14:textId="77777777" w:rsidR="00D76DB8" w:rsidRPr="00D76DB8" w:rsidRDefault="00D76DB8" w:rsidP="00D76DB8">
            <w:r w:rsidRPr="00D76DB8">
              <w:t>QR/barcode tracking, custody handoff logging, tamper-evident seals (CJIS §5.9)</w:t>
            </w:r>
          </w:p>
        </w:tc>
      </w:tr>
      <w:tr w:rsidR="00D76DB8" w:rsidRPr="00D76DB8" w14:paraId="7B1DB163" w14:textId="77777777">
        <w:trPr>
          <w:tblCellSpacing w:w="15" w:type="dxa"/>
        </w:trPr>
        <w:tc>
          <w:tcPr>
            <w:tcW w:w="0" w:type="auto"/>
            <w:vAlign w:val="center"/>
            <w:hideMark/>
          </w:tcPr>
          <w:p w14:paraId="70BF8AE8" w14:textId="77777777" w:rsidR="00D76DB8" w:rsidRPr="00D76DB8" w:rsidRDefault="00D76DB8" w:rsidP="00D76DB8">
            <w:r w:rsidRPr="00D76DB8">
              <w:lastRenderedPageBreak/>
              <w:t>System Update Risk</w:t>
            </w:r>
          </w:p>
        </w:tc>
        <w:tc>
          <w:tcPr>
            <w:tcW w:w="0" w:type="auto"/>
            <w:vAlign w:val="center"/>
            <w:hideMark/>
          </w:tcPr>
          <w:p w14:paraId="7F40D7F2" w14:textId="77777777" w:rsidR="00D76DB8" w:rsidRPr="00D76DB8" w:rsidRDefault="00D76DB8" w:rsidP="00D76DB8">
            <w:r w:rsidRPr="00D76DB8">
              <w:t>Updates introduce vulnerabilities or break workflows.</w:t>
            </w:r>
          </w:p>
        </w:tc>
        <w:tc>
          <w:tcPr>
            <w:tcW w:w="0" w:type="auto"/>
            <w:vAlign w:val="center"/>
            <w:hideMark/>
          </w:tcPr>
          <w:p w14:paraId="75A94DE1" w14:textId="77777777" w:rsidR="00D76DB8" w:rsidRPr="00D76DB8" w:rsidRDefault="00D76DB8" w:rsidP="00D76DB8">
            <w:r w:rsidRPr="00D76DB8">
              <w:t>Staging environment, rollback plans, signed update logs (NIST SP 800-154 §4.2)</w:t>
            </w:r>
          </w:p>
        </w:tc>
      </w:tr>
    </w:tbl>
    <w:p w14:paraId="3D2B1E86" w14:textId="77777777" w:rsidR="00D76DB8" w:rsidRPr="00D76DB8" w:rsidRDefault="00D76DB8" w:rsidP="00D76DB8">
      <w:r w:rsidRPr="00D76DB8">
        <w:pict w14:anchorId="3357DBE8">
          <v:rect id="_x0000_i1071" style="width:0;height:1.5pt" o:hralign="center" o:hrstd="t" o:hr="t" fillcolor="#a0a0a0" stroked="f"/>
        </w:pict>
      </w:r>
    </w:p>
    <w:p w14:paraId="3A3EC263" w14:textId="77777777" w:rsidR="00D76DB8" w:rsidRPr="00D76DB8" w:rsidRDefault="00D76DB8" w:rsidP="00D76DB8">
      <w:pPr>
        <w:rPr>
          <w:b/>
          <w:bCs/>
        </w:rPr>
      </w:pPr>
      <w:r w:rsidRPr="00D76DB8">
        <w:rPr>
          <w:b/>
          <w:bCs/>
        </w:rPr>
        <w:t>Mitigation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5550"/>
      </w:tblGrid>
      <w:tr w:rsidR="00D76DB8" w:rsidRPr="00D76DB8" w14:paraId="56EA7921" w14:textId="77777777">
        <w:trPr>
          <w:tblHeader/>
          <w:tblCellSpacing w:w="15" w:type="dxa"/>
        </w:trPr>
        <w:tc>
          <w:tcPr>
            <w:tcW w:w="0" w:type="auto"/>
            <w:vAlign w:val="center"/>
            <w:hideMark/>
          </w:tcPr>
          <w:p w14:paraId="14B4234A" w14:textId="77777777" w:rsidR="00D76DB8" w:rsidRPr="00D76DB8" w:rsidRDefault="00D76DB8" w:rsidP="00D76DB8">
            <w:pPr>
              <w:rPr>
                <w:b/>
                <w:bCs/>
              </w:rPr>
            </w:pPr>
            <w:r w:rsidRPr="00D76DB8">
              <w:rPr>
                <w:b/>
                <w:bCs/>
              </w:rPr>
              <w:t>Layer</w:t>
            </w:r>
          </w:p>
        </w:tc>
        <w:tc>
          <w:tcPr>
            <w:tcW w:w="0" w:type="auto"/>
            <w:vAlign w:val="center"/>
            <w:hideMark/>
          </w:tcPr>
          <w:p w14:paraId="5DBA80C2" w14:textId="77777777" w:rsidR="00D76DB8" w:rsidRPr="00D76DB8" w:rsidRDefault="00D76DB8" w:rsidP="00D76DB8">
            <w:pPr>
              <w:rPr>
                <w:b/>
                <w:bCs/>
              </w:rPr>
            </w:pPr>
            <w:r w:rsidRPr="00D76DB8">
              <w:rPr>
                <w:b/>
                <w:bCs/>
              </w:rPr>
              <w:t>Controls</w:t>
            </w:r>
          </w:p>
        </w:tc>
      </w:tr>
      <w:tr w:rsidR="00D76DB8" w:rsidRPr="00D76DB8" w14:paraId="741D33DA" w14:textId="77777777">
        <w:trPr>
          <w:tblCellSpacing w:w="15" w:type="dxa"/>
        </w:trPr>
        <w:tc>
          <w:tcPr>
            <w:tcW w:w="0" w:type="auto"/>
            <w:vAlign w:val="center"/>
            <w:hideMark/>
          </w:tcPr>
          <w:p w14:paraId="7C35BAFB" w14:textId="77777777" w:rsidR="00D76DB8" w:rsidRPr="00D76DB8" w:rsidRDefault="00D76DB8" w:rsidP="00D76DB8">
            <w:r w:rsidRPr="00D76DB8">
              <w:t>Application Layer</w:t>
            </w:r>
          </w:p>
        </w:tc>
        <w:tc>
          <w:tcPr>
            <w:tcW w:w="0" w:type="auto"/>
            <w:vAlign w:val="center"/>
            <w:hideMark/>
          </w:tcPr>
          <w:p w14:paraId="345320C7" w14:textId="77777777" w:rsidR="00D76DB8" w:rsidRPr="00D76DB8" w:rsidRDefault="00D76DB8" w:rsidP="00D76DB8">
            <w:r w:rsidRPr="00D76DB8">
              <w:t>RBAC, MFA, audit logging, workflow automation</w:t>
            </w:r>
          </w:p>
        </w:tc>
      </w:tr>
      <w:tr w:rsidR="00D76DB8" w:rsidRPr="00D76DB8" w14:paraId="29B08650" w14:textId="77777777">
        <w:trPr>
          <w:tblCellSpacing w:w="15" w:type="dxa"/>
        </w:trPr>
        <w:tc>
          <w:tcPr>
            <w:tcW w:w="0" w:type="auto"/>
            <w:vAlign w:val="center"/>
            <w:hideMark/>
          </w:tcPr>
          <w:p w14:paraId="1F5B2FED" w14:textId="77777777" w:rsidR="00D76DB8" w:rsidRPr="00D76DB8" w:rsidRDefault="00D76DB8" w:rsidP="00D76DB8">
            <w:r w:rsidRPr="00D76DB8">
              <w:t>Data Layer</w:t>
            </w:r>
          </w:p>
        </w:tc>
        <w:tc>
          <w:tcPr>
            <w:tcW w:w="0" w:type="auto"/>
            <w:vAlign w:val="center"/>
            <w:hideMark/>
          </w:tcPr>
          <w:p w14:paraId="084A6926" w14:textId="77777777" w:rsidR="00D76DB8" w:rsidRPr="00D76DB8" w:rsidRDefault="00D76DB8" w:rsidP="00D76DB8">
            <w:r w:rsidRPr="00D76DB8">
              <w:t>Hashing, encryption, version control, backup</w:t>
            </w:r>
          </w:p>
        </w:tc>
      </w:tr>
      <w:tr w:rsidR="00D76DB8" w:rsidRPr="00D76DB8" w14:paraId="3D339443" w14:textId="77777777">
        <w:trPr>
          <w:tblCellSpacing w:w="15" w:type="dxa"/>
        </w:trPr>
        <w:tc>
          <w:tcPr>
            <w:tcW w:w="0" w:type="auto"/>
            <w:vAlign w:val="center"/>
            <w:hideMark/>
          </w:tcPr>
          <w:p w14:paraId="741D64AE" w14:textId="77777777" w:rsidR="00D76DB8" w:rsidRPr="00D76DB8" w:rsidRDefault="00D76DB8" w:rsidP="00D76DB8">
            <w:r w:rsidRPr="00D76DB8">
              <w:t>Infrastructure Layer</w:t>
            </w:r>
          </w:p>
        </w:tc>
        <w:tc>
          <w:tcPr>
            <w:tcW w:w="0" w:type="auto"/>
            <w:vAlign w:val="center"/>
            <w:hideMark/>
          </w:tcPr>
          <w:p w14:paraId="26AC5B34" w14:textId="77777777" w:rsidR="00D76DB8" w:rsidRPr="00D76DB8" w:rsidRDefault="00D76DB8" w:rsidP="00D76DB8">
            <w:r w:rsidRPr="00D76DB8">
              <w:t>Firewalls, endpoint protection, secure cloud configs</w:t>
            </w:r>
          </w:p>
        </w:tc>
      </w:tr>
      <w:tr w:rsidR="00D76DB8" w:rsidRPr="00D76DB8" w14:paraId="6A87412A" w14:textId="77777777">
        <w:trPr>
          <w:tblCellSpacing w:w="15" w:type="dxa"/>
        </w:trPr>
        <w:tc>
          <w:tcPr>
            <w:tcW w:w="0" w:type="auto"/>
            <w:vAlign w:val="center"/>
            <w:hideMark/>
          </w:tcPr>
          <w:p w14:paraId="7ECB94EB" w14:textId="77777777" w:rsidR="00D76DB8" w:rsidRPr="00D76DB8" w:rsidRDefault="00D76DB8" w:rsidP="00D76DB8">
            <w:r w:rsidRPr="00D76DB8">
              <w:t>Compliance Layer</w:t>
            </w:r>
          </w:p>
        </w:tc>
        <w:tc>
          <w:tcPr>
            <w:tcW w:w="0" w:type="auto"/>
            <w:vAlign w:val="center"/>
            <w:hideMark/>
          </w:tcPr>
          <w:p w14:paraId="631CFF9E" w14:textId="77777777" w:rsidR="00D76DB8" w:rsidRPr="00D76DB8" w:rsidRDefault="00D76DB8" w:rsidP="00D76DB8">
            <w:r w:rsidRPr="00D76DB8">
              <w:t>Legal flags, retention policies, jurisdictional overrides</w:t>
            </w:r>
          </w:p>
        </w:tc>
      </w:tr>
      <w:tr w:rsidR="00D76DB8" w:rsidRPr="00D76DB8" w14:paraId="214F94D7" w14:textId="77777777">
        <w:trPr>
          <w:tblCellSpacing w:w="15" w:type="dxa"/>
        </w:trPr>
        <w:tc>
          <w:tcPr>
            <w:tcW w:w="0" w:type="auto"/>
            <w:vAlign w:val="center"/>
            <w:hideMark/>
          </w:tcPr>
          <w:p w14:paraId="61DBD042" w14:textId="77777777" w:rsidR="00D76DB8" w:rsidRPr="00D76DB8" w:rsidRDefault="00D76DB8" w:rsidP="00D76DB8">
            <w:r w:rsidRPr="00D76DB8">
              <w:t>User Layer</w:t>
            </w:r>
          </w:p>
        </w:tc>
        <w:tc>
          <w:tcPr>
            <w:tcW w:w="0" w:type="auto"/>
            <w:vAlign w:val="center"/>
            <w:hideMark/>
          </w:tcPr>
          <w:p w14:paraId="48D15250" w14:textId="77777777" w:rsidR="00D76DB8" w:rsidRPr="00D76DB8" w:rsidRDefault="00D76DB8" w:rsidP="00D76DB8">
            <w:r w:rsidRPr="00D76DB8">
              <w:t>Role training, access monitoring, escalation alerts</w:t>
            </w:r>
          </w:p>
        </w:tc>
      </w:tr>
    </w:tbl>
    <w:p w14:paraId="050DC46A" w14:textId="77777777" w:rsidR="00D76DB8" w:rsidRPr="00D76DB8" w:rsidRDefault="00D76DB8" w:rsidP="00D76DB8">
      <w:r w:rsidRPr="00D76DB8">
        <w:pict w14:anchorId="4C9C2614">
          <v:rect id="_x0000_i1072" style="width:0;height:1.5pt" o:hralign="center" o:hrstd="t" o:hr="t" fillcolor="#a0a0a0" stroked="f"/>
        </w:pict>
      </w:r>
    </w:p>
    <w:p w14:paraId="7C34D4D8" w14:textId="77777777" w:rsidR="00D76DB8" w:rsidRPr="00D76DB8" w:rsidRDefault="00D76DB8" w:rsidP="00D76DB8">
      <w:pPr>
        <w:rPr>
          <w:b/>
          <w:bCs/>
        </w:rPr>
      </w:pPr>
      <w:r w:rsidRPr="00D76DB8">
        <w:rPr>
          <w:b/>
          <w:bCs/>
        </w:rPr>
        <w:t>References</w:t>
      </w:r>
    </w:p>
    <w:p w14:paraId="11D66778" w14:textId="77777777" w:rsidR="00D76DB8" w:rsidRPr="00D76DB8" w:rsidRDefault="00D76DB8" w:rsidP="00D76DB8">
      <w:r w:rsidRPr="00D76DB8">
        <w:t xml:space="preserve">Federal Bureau of Investigation CJIS Division. (2023). </w:t>
      </w:r>
      <w:r w:rsidRPr="00D76DB8">
        <w:rPr>
          <w:i/>
          <w:iCs/>
        </w:rPr>
        <w:t>Criminal Justice Information Services (CJIS) Security Policy Version 5.9.4</w:t>
      </w:r>
      <w:r w:rsidRPr="00D76DB8">
        <w:t xml:space="preserve">. </w:t>
      </w:r>
      <w:hyperlink r:id="rId4" w:history="1">
        <w:r w:rsidRPr="00D76DB8">
          <w:rPr>
            <w:rStyle w:val="Hyperlink"/>
          </w:rPr>
          <w:t>https://le.fbi.gov/file-repository/cjis_security_policy_v5-9-4_20231220.pdf</w:t>
        </w:r>
      </w:hyperlink>
    </w:p>
    <w:p w14:paraId="694C29F4" w14:textId="77777777" w:rsidR="00D76DB8" w:rsidRPr="00D76DB8" w:rsidRDefault="00D76DB8" w:rsidP="00D76DB8">
      <w:r w:rsidRPr="00D76DB8">
        <w:t xml:space="preserve">Souppaya, M., &amp; Scarfone, K. (2016). </w:t>
      </w:r>
      <w:r w:rsidRPr="00D76DB8">
        <w:rPr>
          <w:i/>
          <w:iCs/>
        </w:rPr>
        <w:t>Guide to Data-Centric System Threat Modeling</w:t>
      </w:r>
      <w:r w:rsidRPr="00D76DB8">
        <w:t xml:space="preserve"> (NIST SP 800-154). National Institute of Standards and Technology. </w:t>
      </w:r>
      <w:hyperlink r:id="rId5" w:history="1">
        <w:r w:rsidRPr="00D76DB8">
          <w:rPr>
            <w:rStyle w:val="Hyperlink"/>
          </w:rPr>
          <w:t>https://csrc.nist.gov/files/pubs/sp/800/154/ipd/docs/sp800_154_draft.pdf</w:t>
        </w:r>
      </w:hyperlink>
    </w:p>
    <w:p w14:paraId="698CF757"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B8"/>
    <w:rsid w:val="00100F59"/>
    <w:rsid w:val="001A205D"/>
    <w:rsid w:val="001B13F0"/>
    <w:rsid w:val="008529FB"/>
    <w:rsid w:val="00C57004"/>
    <w:rsid w:val="00D56745"/>
    <w:rsid w:val="00D76DB8"/>
    <w:rsid w:val="00F318C1"/>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333D"/>
  <w15:chartTrackingRefBased/>
  <w15:docId w15:val="{D506F7EB-C63E-4538-80C6-AF0C6395C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DB8"/>
    <w:rPr>
      <w:rFonts w:eastAsiaTheme="majorEastAsia" w:cstheme="majorBidi"/>
      <w:color w:val="272727" w:themeColor="text1" w:themeTint="D8"/>
    </w:rPr>
  </w:style>
  <w:style w:type="paragraph" w:styleId="Title">
    <w:name w:val="Title"/>
    <w:basedOn w:val="Normal"/>
    <w:next w:val="Normal"/>
    <w:link w:val="TitleChar"/>
    <w:uiPriority w:val="10"/>
    <w:qFormat/>
    <w:rsid w:val="00D7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B8"/>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D76DB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D76DB8"/>
    <w:pPr>
      <w:spacing w:before="160"/>
      <w:jc w:val="center"/>
    </w:pPr>
    <w:rPr>
      <w:i/>
      <w:iCs/>
      <w:color w:val="000000" w:themeColor="text1"/>
    </w:rPr>
  </w:style>
  <w:style w:type="character" w:customStyle="1" w:styleId="QuoteChar">
    <w:name w:val="Quote Char"/>
    <w:basedOn w:val="DefaultParagraphFont"/>
    <w:link w:val="Quote"/>
    <w:uiPriority w:val="29"/>
    <w:rsid w:val="00D76DB8"/>
    <w:rPr>
      <w:i/>
      <w:iCs/>
      <w:color w:val="000000" w:themeColor="text1"/>
    </w:rPr>
  </w:style>
  <w:style w:type="paragraph" w:styleId="ListParagraph">
    <w:name w:val="List Paragraph"/>
    <w:basedOn w:val="Normal"/>
    <w:uiPriority w:val="34"/>
    <w:qFormat/>
    <w:rsid w:val="00D76DB8"/>
    <w:pPr>
      <w:ind w:left="720"/>
      <w:contextualSpacing/>
    </w:pPr>
  </w:style>
  <w:style w:type="character" w:styleId="IntenseEmphasis">
    <w:name w:val="Intense Emphasis"/>
    <w:basedOn w:val="DefaultParagraphFont"/>
    <w:uiPriority w:val="21"/>
    <w:qFormat/>
    <w:rsid w:val="00D76DB8"/>
    <w:rPr>
      <w:i/>
      <w:iCs/>
      <w:color w:val="0F4761" w:themeColor="accent1" w:themeShade="BF"/>
    </w:rPr>
  </w:style>
  <w:style w:type="paragraph" w:styleId="IntenseQuote">
    <w:name w:val="Intense Quote"/>
    <w:basedOn w:val="Normal"/>
    <w:next w:val="Normal"/>
    <w:link w:val="IntenseQuoteChar"/>
    <w:uiPriority w:val="30"/>
    <w:qFormat/>
    <w:rsid w:val="00D7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DB8"/>
    <w:rPr>
      <w:i/>
      <w:iCs/>
      <w:color w:val="0F4761" w:themeColor="accent1" w:themeShade="BF"/>
    </w:rPr>
  </w:style>
  <w:style w:type="character" w:styleId="IntenseReference">
    <w:name w:val="Intense Reference"/>
    <w:basedOn w:val="DefaultParagraphFont"/>
    <w:uiPriority w:val="32"/>
    <w:qFormat/>
    <w:rsid w:val="00D76DB8"/>
    <w:rPr>
      <w:b/>
      <w:bCs/>
      <w:smallCaps/>
      <w:color w:val="0F4761" w:themeColor="accent1" w:themeShade="BF"/>
      <w:spacing w:val="5"/>
    </w:rPr>
  </w:style>
  <w:style w:type="character" w:styleId="Hyperlink">
    <w:name w:val="Hyperlink"/>
    <w:basedOn w:val="DefaultParagraphFont"/>
    <w:uiPriority w:val="99"/>
    <w:unhideWhenUsed/>
    <w:rsid w:val="00D76DB8"/>
    <w:rPr>
      <w:color w:val="467886" w:themeColor="hyperlink"/>
      <w:u w:val="single"/>
    </w:rPr>
  </w:style>
  <w:style w:type="character" w:styleId="UnresolvedMention">
    <w:name w:val="Unresolved Mention"/>
    <w:basedOn w:val="DefaultParagraphFont"/>
    <w:uiPriority w:val="99"/>
    <w:semiHidden/>
    <w:unhideWhenUsed/>
    <w:rsid w:val="00D76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src.nist.gov/files/pubs/sp/800/154/ipd/docs/sp800_154_draft.pdf" TargetMode="External"/><Relationship Id="rId4" Type="http://schemas.openxmlformats.org/officeDocument/2006/relationships/hyperlink" Target="https://le.fbi.gov/file-repository/cjis_security_policy_v5-9-4_202312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2</cp:revision>
  <dcterms:created xsi:type="dcterms:W3CDTF">2025-11-19T23:38:00Z</dcterms:created>
  <dcterms:modified xsi:type="dcterms:W3CDTF">2025-11-19T23:39:00Z</dcterms:modified>
</cp:coreProperties>
</file>