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6D7C0" w14:textId="77777777" w:rsidR="001F36F6" w:rsidRPr="001F36F6" w:rsidRDefault="001F36F6" w:rsidP="001F36F6">
      <w:pPr>
        <w:jc w:val="center"/>
        <w:rPr>
          <w:b/>
          <w:bCs/>
        </w:rPr>
      </w:pPr>
      <w:r w:rsidRPr="001F36F6">
        <w:rPr>
          <w:rFonts w:ascii="Segoe UI Emoji" w:hAnsi="Segoe UI Emoji" w:cs="Segoe UI Emoji"/>
          <w:b/>
          <w:bCs/>
        </w:rPr>
        <w:t>⚖️</w:t>
      </w:r>
      <w:r w:rsidRPr="001F36F6">
        <w:rPr>
          <w:b/>
          <w:bCs/>
        </w:rPr>
        <w:t xml:space="preserve"> Legal Admissibility Statement: Digital Chain-of-Custody System (DCCS)</w:t>
      </w:r>
    </w:p>
    <w:p w14:paraId="34BFC096" w14:textId="77777777" w:rsidR="001F36F6" w:rsidRPr="001F36F6" w:rsidRDefault="001F36F6" w:rsidP="001F36F6">
      <w:r w:rsidRPr="001F36F6">
        <w:rPr>
          <w:b/>
          <w:bCs/>
        </w:rPr>
        <w:t>Location:</w:t>
      </w:r>
      <w:r w:rsidRPr="001F36F6">
        <w:t xml:space="preserve"> </w:t>
      </w:r>
      <w:proofErr w:type="spellStart"/>
      <w:r w:rsidRPr="001F36F6">
        <w:t>ChainLogic</w:t>
      </w:r>
      <w:proofErr w:type="spellEnd"/>
      <w:r w:rsidRPr="001F36F6">
        <w:t xml:space="preserve"> &gt; Production Phase Planning &gt; Stakeholder Demo &amp; Legal Review Prep &gt; Legal_Admissibility_Statement.docx</w:t>
      </w:r>
      <w:r w:rsidRPr="001F36F6">
        <w:br/>
      </w:r>
      <w:r w:rsidRPr="001F36F6">
        <w:rPr>
          <w:b/>
          <w:bCs/>
        </w:rPr>
        <w:t>Author:</w:t>
      </w:r>
      <w:r w:rsidRPr="001F36F6">
        <w:t xml:space="preserve"> Jessi</w:t>
      </w:r>
      <w:r w:rsidRPr="001F36F6">
        <w:br/>
      </w:r>
      <w:r w:rsidRPr="001F36F6">
        <w:rPr>
          <w:b/>
          <w:bCs/>
        </w:rPr>
        <w:t>Last Updated:</w:t>
      </w:r>
      <w:r w:rsidRPr="001F36F6">
        <w:t xml:space="preserve"> November 19, 2025</w:t>
      </w:r>
    </w:p>
    <w:p w14:paraId="3B4BFA2F" w14:textId="77777777" w:rsidR="001F36F6" w:rsidRPr="001F36F6" w:rsidRDefault="001F36F6" w:rsidP="001F36F6">
      <w:r w:rsidRPr="001F36F6">
        <w:pict w14:anchorId="6658D8A7">
          <v:rect id="_x0000_i1062" style="width:0;height:1.5pt" o:hralign="center" o:hrstd="t" o:hr="t" fillcolor="#a0a0a0" stroked="f"/>
        </w:pict>
      </w:r>
    </w:p>
    <w:p w14:paraId="6CC99FAF" w14:textId="77777777" w:rsidR="001F36F6" w:rsidRPr="001F36F6" w:rsidRDefault="001F36F6" w:rsidP="001F36F6">
      <w:pPr>
        <w:rPr>
          <w:b/>
          <w:bCs/>
        </w:rPr>
      </w:pPr>
      <w:r w:rsidRPr="001F36F6">
        <w:rPr>
          <w:rFonts w:ascii="Segoe UI Emoji" w:hAnsi="Segoe UI Emoji" w:cs="Segoe UI Emoji"/>
          <w:b/>
          <w:bCs/>
        </w:rPr>
        <w:t>🔹</w:t>
      </w:r>
      <w:r w:rsidRPr="001F36F6">
        <w:rPr>
          <w:b/>
          <w:bCs/>
        </w:rPr>
        <w:t xml:space="preserve"> Statement of Intent</w:t>
      </w:r>
    </w:p>
    <w:p w14:paraId="0DFFE8C6" w14:textId="77777777" w:rsidR="001F36F6" w:rsidRPr="001F36F6" w:rsidRDefault="001F36F6" w:rsidP="001F36F6">
      <w:r w:rsidRPr="001F36F6">
        <w:t>This document affirms that the Digital Chain-of-Custody System (DCCS) is designed and implemented to meet the legal standards required for the admissibility of digital evidence in court. It reflects compliance with CJIS v5.9.4, NIST SP 800-154, and best practices in forensic integrity, audit logging, and role-based access control.</w:t>
      </w:r>
    </w:p>
    <w:p w14:paraId="2D91B27F" w14:textId="77777777" w:rsidR="001F36F6" w:rsidRPr="001F36F6" w:rsidRDefault="001F36F6" w:rsidP="001F36F6">
      <w:r w:rsidRPr="001F36F6">
        <w:pict w14:anchorId="797C6D55">
          <v:rect id="_x0000_i1063" style="width:0;height:1.5pt" o:hralign="center" o:hrstd="t" o:hr="t" fillcolor="#a0a0a0" stroked="f"/>
        </w:pict>
      </w:r>
    </w:p>
    <w:p w14:paraId="49797F50" w14:textId="77777777" w:rsidR="001F36F6" w:rsidRPr="001F36F6" w:rsidRDefault="001F36F6" w:rsidP="001F36F6">
      <w:pPr>
        <w:rPr>
          <w:b/>
          <w:bCs/>
        </w:rPr>
      </w:pPr>
      <w:r w:rsidRPr="001F36F6">
        <w:rPr>
          <w:rFonts w:ascii="Segoe UI Emoji" w:hAnsi="Segoe UI Emoji" w:cs="Segoe UI Emoji"/>
          <w:b/>
          <w:bCs/>
        </w:rPr>
        <w:t>🔹</w:t>
      </w:r>
      <w:r w:rsidRPr="001F36F6">
        <w:rPr>
          <w:b/>
          <w:bCs/>
        </w:rPr>
        <w:t xml:space="preserve"> Evidentiary Standards Met</w:t>
      </w:r>
    </w:p>
    <w:p w14:paraId="5515FD59" w14:textId="77777777" w:rsidR="001F36F6" w:rsidRPr="001F36F6" w:rsidRDefault="001F36F6" w:rsidP="001F36F6">
      <w:pPr>
        <w:rPr>
          <w:b/>
          <w:bCs/>
        </w:rPr>
      </w:pPr>
      <w:r w:rsidRPr="001F36F6">
        <w:rPr>
          <w:rFonts w:ascii="Segoe UI Emoji" w:hAnsi="Segoe UI Emoji" w:cs="Segoe UI Emoji"/>
          <w:b/>
          <w:bCs/>
        </w:rPr>
        <w:t>✅</w:t>
      </w:r>
      <w:r w:rsidRPr="001F36F6">
        <w:rPr>
          <w:b/>
          <w:bCs/>
        </w:rPr>
        <w:t xml:space="preserve"> Chain-of-Custody Integrity</w:t>
      </w:r>
    </w:p>
    <w:p w14:paraId="47A51EA4" w14:textId="77777777" w:rsidR="001F36F6" w:rsidRPr="001F36F6" w:rsidRDefault="001F36F6" w:rsidP="001F36F6">
      <w:pPr>
        <w:numPr>
          <w:ilvl w:val="0"/>
          <w:numId w:val="1"/>
        </w:numPr>
      </w:pPr>
      <w:r w:rsidRPr="001F36F6">
        <w:t>Every custody event is timestamped, digitally signed, and logged in an immutable audit trail.</w:t>
      </w:r>
    </w:p>
    <w:p w14:paraId="24955538" w14:textId="77777777" w:rsidR="001F36F6" w:rsidRPr="001F36F6" w:rsidRDefault="001F36F6" w:rsidP="001F36F6">
      <w:pPr>
        <w:numPr>
          <w:ilvl w:val="0"/>
          <w:numId w:val="1"/>
        </w:numPr>
      </w:pPr>
      <w:r w:rsidRPr="001F36F6">
        <w:t>Transfers are role-restricted and jurisdiction-aware, preventing unauthorized handoffs.</w:t>
      </w:r>
    </w:p>
    <w:p w14:paraId="0FF2FE71" w14:textId="77777777" w:rsidR="001F36F6" w:rsidRPr="001F36F6" w:rsidRDefault="001F36F6" w:rsidP="001F36F6">
      <w:pPr>
        <w:rPr>
          <w:b/>
          <w:bCs/>
        </w:rPr>
      </w:pPr>
      <w:r w:rsidRPr="001F36F6">
        <w:rPr>
          <w:rFonts w:ascii="Segoe UI Emoji" w:hAnsi="Segoe UI Emoji" w:cs="Segoe UI Emoji"/>
          <w:b/>
          <w:bCs/>
        </w:rPr>
        <w:t>✅</w:t>
      </w:r>
      <w:r w:rsidRPr="001F36F6">
        <w:rPr>
          <w:b/>
          <w:bCs/>
        </w:rPr>
        <w:t xml:space="preserve"> Hash-Based Evidence Validation</w:t>
      </w:r>
    </w:p>
    <w:p w14:paraId="7817F842" w14:textId="77777777" w:rsidR="001F36F6" w:rsidRPr="001F36F6" w:rsidRDefault="001F36F6" w:rsidP="001F36F6">
      <w:pPr>
        <w:numPr>
          <w:ilvl w:val="0"/>
          <w:numId w:val="2"/>
        </w:numPr>
      </w:pPr>
      <w:r w:rsidRPr="001F36F6">
        <w:t>SHA-256 hashes are generated at the point of evidence creation.</w:t>
      </w:r>
    </w:p>
    <w:p w14:paraId="4A9BF98E" w14:textId="77777777" w:rsidR="001F36F6" w:rsidRPr="001F36F6" w:rsidRDefault="001F36F6" w:rsidP="001F36F6">
      <w:pPr>
        <w:numPr>
          <w:ilvl w:val="0"/>
          <w:numId w:val="2"/>
        </w:numPr>
      </w:pPr>
      <w:r w:rsidRPr="001F36F6">
        <w:t>Hashes are stored and retrievable for forensic comparison, ensuring file integrity.</w:t>
      </w:r>
    </w:p>
    <w:p w14:paraId="5CC1A6E8" w14:textId="77777777" w:rsidR="001F36F6" w:rsidRPr="001F36F6" w:rsidRDefault="001F36F6" w:rsidP="001F36F6">
      <w:pPr>
        <w:rPr>
          <w:b/>
          <w:bCs/>
        </w:rPr>
      </w:pPr>
      <w:r w:rsidRPr="001F36F6">
        <w:rPr>
          <w:rFonts w:ascii="Segoe UI Emoji" w:hAnsi="Segoe UI Emoji" w:cs="Segoe UI Emoji"/>
          <w:b/>
          <w:bCs/>
        </w:rPr>
        <w:t>✅</w:t>
      </w:r>
      <w:r w:rsidRPr="001F36F6">
        <w:rPr>
          <w:b/>
          <w:bCs/>
        </w:rPr>
        <w:t xml:space="preserve"> Audit Trail Compliance</w:t>
      </w:r>
    </w:p>
    <w:p w14:paraId="0C2D08D2" w14:textId="77777777" w:rsidR="001F36F6" w:rsidRPr="001F36F6" w:rsidRDefault="001F36F6" w:rsidP="001F36F6">
      <w:pPr>
        <w:numPr>
          <w:ilvl w:val="0"/>
          <w:numId w:val="3"/>
        </w:numPr>
      </w:pPr>
      <w:r w:rsidRPr="001F36F6">
        <w:t xml:space="preserve">All system actions are logged </w:t>
      </w:r>
      <w:proofErr w:type="gramStart"/>
      <w:r w:rsidRPr="001F36F6">
        <w:t>in</w:t>
      </w:r>
      <w:proofErr w:type="gramEnd"/>
      <w:r w:rsidRPr="001F36F6">
        <w:t xml:space="preserve"> WORM (Write Once Read Many) storage.</w:t>
      </w:r>
    </w:p>
    <w:p w14:paraId="36B82167" w14:textId="77777777" w:rsidR="001F36F6" w:rsidRPr="001F36F6" w:rsidRDefault="001F36F6" w:rsidP="001F36F6">
      <w:pPr>
        <w:numPr>
          <w:ilvl w:val="0"/>
          <w:numId w:val="3"/>
        </w:numPr>
      </w:pPr>
      <w:r w:rsidRPr="001F36F6">
        <w:t>Logs include user ID, timestamp, action type, and affected records.</w:t>
      </w:r>
    </w:p>
    <w:p w14:paraId="50E64056" w14:textId="77777777" w:rsidR="001F36F6" w:rsidRPr="001F36F6" w:rsidRDefault="001F36F6" w:rsidP="001F36F6">
      <w:pPr>
        <w:rPr>
          <w:b/>
          <w:bCs/>
        </w:rPr>
      </w:pPr>
      <w:r w:rsidRPr="001F36F6">
        <w:rPr>
          <w:rFonts w:ascii="Segoe UI Emoji" w:hAnsi="Segoe UI Emoji" w:cs="Segoe UI Emoji"/>
          <w:b/>
          <w:bCs/>
        </w:rPr>
        <w:t>✅</w:t>
      </w:r>
      <w:r w:rsidRPr="001F36F6">
        <w:rPr>
          <w:b/>
          <w:bCs/>
        </w:rPr>
        <w:t xml:space="preserve"> Role-Based Access Control (RBAC)</w:t>
      </w:r>
    </w:p>
    <w:p w14:paraId="2C3F0DDE" w14:textId="77777777" w:rsidR="001F36F6" w:rsidRPr="001F36F6" w:rsidRDefault="001F36F6" w:rsidP="001F36F6">
      <w:pPr>
        <w:numPr>
          <w:ilvl w:val="0"/>
          <w:numId w:val="4"/>
        </w:numPr>
      </w:pPr>
      <w:r w:rsidRPr="001F36F6">
        <w:t xml:space="preserve">Access to evidence, transfers, and reports </w:t>
      </w:r>
      <w:proofErr w:type="gramStart"/>
      <w:r w:rsidRPr="001F36F6">
        <w:t>is</w:t>
      </w:r>
      <w:proofErr w:type="gramEnd"/>
      <w:r w:rsidRPr="001F36F6">
        <w:t xml:space="preserve"> governed by user roles.</w:t>
      </w:r>
    </w:p>
    <w:p w14:paraId="0A03C356" w14:textId="77777777" w:rsidR="001F36F6" w:rsidRPr="001F36F6" w:rsidRDefault="001F36F6" w:rsidP="001F36F6">
      <w:pPr>
        <w:numPr>
          <w:ilvl w:val="0"/>
          <w:numId w:val="4"/>
        </w:numPr>
      </w:pPr>
      <w:r w:rsidRPr="001F36F6">
        <w:t>Permissions are enforced at both UI and API levels.</w:t>
      </w:r>
    </w:p>
    <w:p w14:paraId="4D696ADF" w14:textId="77777777" w:rsidR="001F36F6" w:rsidRPr="001F36F6" w:rsidRDefault="001F36F6" w:rsidP="001F36F6">
      <w:pPr>
        <w:rPr>
          <w:b/>
          <w:bCs/>
        </w:rPr>
      </w:pPr>
      <w:r w:rsidRPr="001F36F6">
        <w:rPr>
          <w:rFonts w:ascii="Segoe UI Emoji" w:hAnsi="Segoe UI Emoji" w:cs="Segoe UI Emoji"/>
          <w:b/>
          <w:bCs/>
        </w:rPr>
        <w:t>✅</w:t>
      </w:r>
      <w:r w:rsidRPr="001F36F6">
        <w:rPr>
          <w:b/>
          <w:bCs/>
        </w:rPr>
        <w:t xml:space="preserve"> Legal Export Format</w:t>
      </w:r>
    </w:p>
    <w:p w14:paraId="6035C26E" w14:textId="77777777" w:rsidR="001F36F6" w:rsidRPr="001F36F6" w:rsidRDefault="001F36F6" w:rsidP="001F36F6">
      <w:pPr>
        <w:numPr>
          <w:ilvl w:val="0"/>
          <w:numId w:val="5"/>
        </w:numPr>
      </w:pPr>
      <w:r w:rsidRPr="001F36F6">
        <w:lastRenderedPageBreak/>
        <w:t>Reports and evidence packets are exportable in PDF and JSON formats.</w:t>
      </w:r>
    </w:p>
    <w:p w14:paraId="0970D280" w14:textId="77777777" w:rsidR="001F36F6" w:rsidRPr="001F36F6" w:rsidRDefault="001F36F6" w:rsidP="001F36F6">
      <w:pPr>
        <w:numPr>
          <w:ilvl w:val="0"/>
          <w:numId w:val="5"/>
        </w:numPr>
      </w:pPr>
      <w:r w:rsidRPr="001F36F6">
        <w:t>Export templates include jurisdiction, classification, and hash verification fields.</w:t>
      </w:r>
    </w:p>
    <w:p w14:paraId="4848387D" w14:textId="77777777" w:rsidR="001F36F6" w:rsidRPr="001F36F6" w:rsidRDefault="001F36F6" w:rsidP="001F36F6">
      <w:pPr>
        <w:rPr>
          <w:b/>
          <w:bCs/>
        </w:rPr>
      </w:pPr>
      <w:r w:rsidRPr="001F36F6">
        <w:rPr>
          <w:rFonts w:ascii="Segoe UI Emoji" w:hAnsi="Segoe UI Emoji" w:cs="Segoe UI Emoji"/>
          <w:b/>
          <w:bCs/>
        </w:rPr>
        <w:t>✅</w:t>
      </w:r>
      <w:r w:rsidRPr="001F36F6">
        <w:rPr>
          <w:b/>
          <w:bCs/>
        </w:rPr>
        <w:t xml:space="preserve"> Dispute Resolution Protocol</w:t>
      </w:r>
    </w:p>
    <w:p w14:paraId="15ABF1E6" w14:textId="77777777" w:rsidR="001F36F6" w:rsidRPr="001F36F6" w:rsidRDefault="001F36F6" w:rsidP="001F36F6">
      <w:pPr>
        <w:numPr>
          <w:ilvl w:val="0"/>
          <w:numId w:val="6"/>
        </w:numPr>
      </w:pPr>
      <w:r w:rsidRPr="001F36F6">
        <w:t>Evidence can be flagged for dispute, triggering a freeze and alert.</w:t>
      </w:r>
    </w:p>
    <w:p w14:paraId="006BB9E8" w14:textId="77777777" w:rsidR="001F36F6" w:rsidRPr="001F36F6" w:rsidRDefault="001F36F6" w:rsidP="001F36F6">
      <w:pPr>
        <w:numPr>
          <w:ilvl w:val="0"/>
          <w:numId w:val="6"/>
        </w:numPr>
      </w:pPr>
      <w:r w:rsidRPr="001F36F6">
        <w:t>Oversight mechanisms are documented and auditable.</w:t>
      </w:r>
    </w:p>
    <w:p w14:paraId="3FC7B958" w14:textId="77777777" w:rsidR="001F36F6" w:rsidRPr="001F36F6" w:rsidRDefault="001F36F6" w:rsidP="001F36F6">
      <w:r w:rsidRPr="001F36F6">
        <w:pict w14:anchorId="357B60F2">
          <v:rect id="_x0000_i1064" style="width:0;height:1.5pt" o:hralign="center" o:hrstd="t" o:hr="t" fillcolor="#a0a0a0" stroked="f"/>
        </w:pict>
      </w:r>
    </w:p>
    <w:p w14:paraId="6C1E4A6C" w14:textId="77777777" w:rsidR="001F36F6" w:rsidRPr="001F36F6" w:rsidRDefault="001F36F6" w:rsidP="001F36F6">
      <w:pPr>
        <w:rPr>
          <w:b/>
          <w:bCs/>
        </w:rPr>
      </w:pPr>
      <w:r w:rsidRPr="001F36F6">
        <w:rPr>
          <w:rFonts w:ascii="Segoe UI Emoji" w:hAnsi="Segoe UI Emoji" w:cs="Segoe UI Emoji"/>
          <w:b/>
          <w:bCs/>
        </w:rPr>
        <w:t>🔹</w:t>
      </w:r>
      <w:r w:rsidRPr="001F36F6">
        <w:rPr>
          <w:b/>
          <w:bCs/>
        </w:rPr>
        <w:t xml:space="preserve"> Compliance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9"/>
        <w:gridCol w:w="5581"/>
      </w:tblGrid>
      <w:tr w:rsidR="001F36F6" w:rsidRPr="001F36F6" w14:paraId="73C2C615" w14:textId="77777777">
        <w:trPr>
          <w:tblHeader/>
          <w:tblCellSpacing w:w="15" w:type="dxa"/>
        </w:trPr>
        <w:tc>
          <w:tcPr>
            <w:tcW w:w="0" w:type="auto"/>
            <w:vAlign w:val="center"/>
            <w:hideMark/>
          </w:tcPr>
          <w:p w14:paraId="6119F44A" w14:textId="77777777" w:rsidR="001F36F6" w:rsidRPr="001F36F6" w:rsidRDefault="001F36F6" w:rsidP="001F36F6">
            <w:pPr>
              <w:rPr>
                <w:b/>
                <w:bCs/>
              </w:rPr>
            </w:pPr>
            <w:r w:rsidRPr="001F36F6">
              <w:rPr>
                <w:b/>
                <w:bCs/>
              </w:rPr>
              <w:t>Standard</w:t>
            </w:r>
          </w:p>
        </w:tc>
        <w:tc>
          <w:tcPr>
            <w:tcW w:w="0" w:type="auto"/>
            <w:vAlign w:val="center"/>
            <w:hideMark/>
          </w:tcPr>
          <w:p w14:paraId="3BBD99D1" w14:textId="77777777" w:rsidR="001F36F6" w:rsidRPr="001F36F6" w:rsidRDefault="001F36F6" w:rsidP="001F36F6">
            <w:pPr>
              <w:rPr>
                <w:b/>
                <w:bCs/>
              </w:rPr>
            </w:pPr>
            <w:r w:rsidRPr="001F36F6">
              <w:rPr>
                <w:b/>
                <w:bCs/>
              </w:rPr>
              <w:t>Mapped Features</w:t>
            </w:r>
          </w:p>
        </w:tc>
      </w:tr>
      <w:tr w:rsidR="001F36F6" w:rsidRPr="001F36F6" w14:paraId="3B4D3DB2" w14:textId="77777777">
        <w:trPr>
          <w:tblCellSpacing w:w="15" w:type="dxa"/>
        </w:trPr>
        <w:tc>
          <w:tcPr>
            <w:tcW w:w="0" w:type="auto"/>
            <w:vAlign w:val="center"/>
            <w:hideMark/>
          </w:tcPr>
          <w:p w14:paraId="123607B2" w14:textId="77777777" w:rsidR="001F36F6" w:rsidRPr="001F36F6" w:rsidRDefault="001F36F6" w:rsidP="001F36F6">
            <w:r w:rsidRPr="001F36F6">
              <w:t>CJIS v5.9.4 §5.4–§5.13</w:t>
            </w:r>
          </w:p>
        </w:tc>
        <w:tc>
          <w:tcPr>
            <w:tcW w:w="0" w:type="auto"/>
            <w:vAlign w:val="center"/>
            <w:hideMark/>
          </w:tcPr>
          <w:p w14:paraId="3DD1F914" w14:textId="77777777" w:rsidR="001F36F6" w:rsidRPr="001F36F6" w:rsidRDefault="001F36F6" w:rsidP="001F36F6">
            <w:r w:rsidRPr="001F36F6">
              <w:t>Audit trail, access control, backup, incident response</w:t>
            </w:r>
          </w:p>
        </w:tc>
      </w:tr>
      <w:tr w:rsidR="001F36F6" w:rsidRPr="001F36F6" w14:paraId="35AD3DB9" w14:textId="77777777">
        <w:trPr>
          <w:tblCellSpacing w:w="15" w:type="dxa"/>
        </w:trPr>
        <w:tc>
          <w:tcPr>
            <w:tcW w:w="0" w:type="auto"/>
            <w:vAlign w:val="center"/>
            <w:hideMark/>
          </w:tcPr>
          <w:p w14:paraId="1D44AFCE" w14:textId="77777777" w:rsidR="001F36F6" w:rsidRPr="001F36F6" w:rsidRDefault="001F36F6" w:rsidP="001F36F6">
            <w:r w:rsidRPr="001F36F6">
              <w:t>NIST SP 800-154</w:t>
            </w:r>
          </w:p>
        </w:tc>
        <w:tc>
          <w:tcPr>
            <w:tcW w:w="0" w:type="auto"/>
            <w:vAlign w:val="center"/>
            <w:hideMark/>
          </w:tcPr>
          <w:p w14:paraId="6F193904" w14:textId="77777777" w:rsidR="001F36F6" w:rsidRPr="001F36F6" w:rsidRDefault="001F36F6" w:rsidP="001F36F6">
            <w:r w:rsidRPr="001F36F6">
              <w:t>Evidence integrity, system logging, forensic readiness</w:t>
            </w:r>
          </w:p>
        </w:tc>
      </w:tr>
      <w:tr w:rsidR="001F36F6" w:rsidRPr="001F36F6" w14:paraId="0162A0F3" w14:textId="77777777">
        <w:trPr>
          <w:tblCellSpacing w:w="15" w:type="dxa"/>
        </w:trPr>
        <w:tc>
          <w:tcPr>
            <w:tcW w:w="0" w:type="auto"/>
            <w:vAlign w:val="center"/>
            <w:hideMark/>
          </w:tcPr>
          <w:p w14:paraId="5225B201" w14:textId="77777777" w:rsidR="001F36F6" w:rsidRPr="001F36F6" w:rsidRDefault="001F36F6" w:rsidP="001F36F6">
            <w:r w:rsidRPr="001F36F6">
              <w:t>Federal Rules of Evidence 901 &amp; 902</w:t>
            </w:r>
          </w:p>
        </w:tc>
        <w:tc>
          <w:tcPr>
            <w:tcW w:w="0" w:type="auto"/>
            <w:vAlign w:val="center"/>
            <w:hideMark/>
          </w:tcPr>
          <w:p w14:paraId="0B2ABB5D" w14:textId="77777777" w:rsidR="001F36F6" w:rsidRPr="001F36F6" w:rsidRDefault="001F36F6" w:rsidP="001F36F6">
            <w:r w:rsidRPr="001F36F6">
              <w:t>Authentication via hash, audit, and role-based access</w:t>
            </w:r>
          </w:p>
        </w:tc>
      </w:tr>
    </w:tbl>
    <w:p w14:paraId="3FC54CAA" w14:textId="77777777" w:rsidR="001F36F6" w:rsidRPr="001F36F6" w:rsidRDefault="001F36F6" w:rsidP="001F36F6">
      <w:r w:rsidRPr="001F36F6">
        <w:pict w14:anchorId="5943028C">
          <v:rect id="_x0000_i1065" style="width:0;height:1.5pt" o:hralign="center" o:hrstd="t" o:hr="t" fillcolor="#a0a0a0" stroked="f"/>
        </w:pict>
      </w:r>
    </w:p>
    <w:p w14:paraId="0F1AED0E" w14:textId="77777777" w:rsidR="001F36F6" w:rsidRPr="001F36F6" w:rsidRDefault="001F36F6" w:rsidP="001F36F6">
      <w:pPr>
        <w:rPr>
          <w:b/>
          <w:bCs/>
        </w:rPr>
      </w:pPr>
      <w:r w:rsidRPr="001F36F6">
        <w:rPr>
          <w:rFonts w:ascii="Segoe UI Emoji" w:hAnsi="Segoe UI Emoji" w:cs="Segoe UI Emoji"/>
          <w:b/>
          <w:bCs/>
        </w:rPr>
        <w:t>🔹</w:t>
      </w:r>
      <w:r w:rsidRPr="001F36F6">
        <w:rPr>
          <w:b/>
          <w:bCs/>
        </w:rPr>
        <w:t xml:space="preserve"> Declaration</w:t>
      </w:r>
    </w:p>
    <w:p w14:paraId="1704E21E" w14:textId="77777777" w:rsidR="001F36F6" w:rsidRPr="001F36F6" w:rsidRDefault="001F36F6" w:rsidP="001F36F6">
      <w:r w:rsidRPr="001F36F6">
        <w:t>The DCCS platform, as architected and documented by Jessi, meets the technical and procedural requirements for the admissibility of digital evidence in court. All workflows, exports, and logs are designed to withstand forensic scrutiny and legal challenge.</w:t>
      </w:r>
    </w:p>
    <w:p w14:paraId="533AD9F1" w14:textId="77777777" w:rsidR="00D56745" w:rsidRDefault="00D56745"/>
    <w:sectPr w:rsidR="00D56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3AEC"/>
    <w:multiLevelType w:val="multilevel"/>
    <w:tmpl w:val="6EF0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E4797"/>
    <w:multiLevelType w:val="multilevel"/>
    <w:tmpl w:val="54C2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23E6D"/>
    <w:multiLevelType w:val="multilevel"/>
    <w:tmpl w:val="55D0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BC27BD"/>
    <w:multiLevelType w:val="multilevel"/>
    <w:tmpl w:val="55FA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FB2414"/>
    <w:multiLevelType w:val="multilevel"/>
    <w:tmpl w:val="9A42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0710EB"/>
    <w:multiLevelType w:val="multilevel"/>
    <w:tmpl w:val="826A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75342">
    <w:abstractNumId w:val="0"/>
  </w:num>
  <w:num w:numId="2" w16cid:durableId="2131245149">
    <w:abstractNumId w:val="4"/>
  </w:num>
  <w:num w:numId="3" w16cid:durableId="1270628719">
    <w:abstractNumId w:val="2"/>
  </w:num>
  <w:num w:numId="4" w16cid:durableId="1807044622">
    <w:abstractNumId w:val="1"/>
  </w:num>
  <w:num w:numId="5" w16cid:durableId="2074355539">
    <w:abstractNumId w:val="5"/>
  </w:num>
  <w:num w:numId="6" w16cid:durableId="17218300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92C"/>
    <w:rsid w:val="00100F59"/>
    <w:rsid w:val="001A205D"/>
    <w:rsid w:val="001B13F0"/>
    <w:rsid w:val="001F36F6"/>
    <w:rsid w:val="003B792C"/>
    <w:rsid w:val="00B86A0A"/>
    <w:rsid w:val="00C57004"/>
    <w:rsid w:val="00D56745"/>
    <w:rsid w:val="00F7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EA42D"/>
  <w15:chartTrackingRefBased/>
  <w15:docId w15:val="{99930D86-D27A-4E86-9AF5-7AF7FD1D7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9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9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9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9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9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9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9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9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9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9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92C"/>
    <w:rPr>
      <w:rFonts w:eastAsiaTheme="majorEastAsia" w:cstheme="majorBidi"/>
      <w:color w:val="272727" w:themeColor="text1" w:themeTint="D8"/>
    </w:rPr>
  </w:style>
  <w:style w:type="paragraph" w:styleId="Title">
    <w:name w:val="Title"/>
    <w:basedOn w:val="Normal"/>
    <w:next w:val="Normal"/>
    <w:link w:val="TitleChar"/>
    <w:uiPriority w:val="10"/>
    <w:qFormat/>
    <w:rsid w:val="003B7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92C"/>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3B792C"/>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3B792C"/>
    <w:pPr>
      <w:spacing w:before="160"/>
      <w:jc w:val="center"/>
    </w:pPr>
    <w:rPr>
      <w:i/>
      <w:iCs/>
      <w:color w:val="000000" w:themeColor="text1"/>
    </w:rPr>
  </w:style>
  <w:style w:type="character" w:customStyle="1" w:styleId="QuoteChar">
    <w:name w:val="Quote Char"/>
    <w:basedOn w:val="DefaultParagraphFont"/>
    <w:link w:val="Quote"/>
    <w:uiPriority w:val="29"/>
    <w:rsid w:val="003B792C"/>
    <w:rPr>
      <w:i/>
      <w:iCs/>
      <w:color w:val="000000" w:themeColor="text1"/>
    </w:rPr>
  </w:style>
  <w:style w:type="paragraph" w:styleId="ListParagraph">
    <w:name w:val="List Paragraph"/>
    <w:basedOn w:val="Normal"/>
    <w:uiPriority w:val="34"/>
    <w:qFormat/>
    <w:rsid w:val="003B792C"/>
    <w:pPr>
      <w:ind w:left="720"/>
      <w:contextualSpacing/>
    </w:pPr>
  </w:style>
  <w:style w:type="character" w:styleId="IntenseEmphasis">
    <w:name w:val="Intense Emphasis"/>
    <w:basedOn w:val="DefaultParagraphFont"/>
    <w:uiPriority w:val="21"/>
    <w:qFormat/>
    <w:rsid w:val="003B792C"/>
    <w:rPr>
      <w:i/>
      <w:iCs/>
      <w:color w:val="0F4761" w:themeColor="accent1" w:themeShade="BF"/>
    </w:rPr>
  </w:style>
  <w:style w:type="paragraph" w:styleId="IntenseQuote">
    <w:name w:val="Intense Quote"/>
    <w:basedOn w:val="Normal"/>
    <w:next w:val="Normal"/>
    <w:link w:val="IntenseQuoteChar"/>
    <w:uiPriority w:val="30"/>
    <w:qFormat/>
    <w:rsid w:val="003B7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92C"/>
    <w:rPr>
      <w:i/>
      <w:iCs/>
      <w:color w:val="0F4761" w:themeColor="accent1" w:themeShade="BF"/>
    </w:rPr>
  </w:style>
  <w:style w:type="character" w:styleId="IntenseReference">
    <w:name w:val="Intense Reference"/>
    <w:basedOn w:val="DefaultParagraphFont"/>
    <w:uiPriority w:val="32"/>
    <w:qFormat/>
    <w:rsid w:val="003B79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334</Words>
  <Characters>1906</Characters>
  <Application>Microsoft Office Word</Application>
  <DocSecurity>0</DocSecurity>
  <Lines>15</Lines>
  <Paragraphs>4</Paragraphs>
  <ScaleCrop>false</ScaleCrop>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 M.</dc:creator>
  <cp:keywords/>
  <dc:description/>
  <cp:lastModifiedBy>Jessi M.</cp:lastModifiedBy>
  <cp:revision>2</cp:revision>
  <dcterms:created xsi:type="dcterms:W3CDTF">2025-11-20T02:27:00Z</dcterms:created>
  <dcterms:modified xsi:type="dcterms:W3CDTF">2025-11-20T02:28:00Z</dcterms:modified>
</cp:coreProperties>
</file>