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基金定投第九次课：</w:t>
      </w:r>
    </w:p>
    <w:p>
      <w:pPr>
        <w:rPr>
          <w:rFonts w:hint="eastAsia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今天的晨课里我们了解了场内基金的优势，有学员问班班，场内指数基金怎么挑选呢？也是要看跟踪误差吗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这里班班给大家讲解一下，在场内可以交易的基金有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ETF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和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LOF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这两种，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LOF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既可以在场外申购赎回，也可以在场内交易，其实就是基金公司将一部分份额拿到交易所，让投资人可以互相买卖。它和我们之前说的场外指数基金挑选方法是一样的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但是要注意，在场内交易的时候留意一下成交量这个指标，成交量太低，意味着来参加买卖的人比较少，那么就可能会出现你想买没有人在那里卖，或者你想卖的时候，没有什么人来买，成交不了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再来说另一种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ETF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，它只能在场内交易。它是怎么一回事呢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ETF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基金是完全复制指数的，是一篮子股票和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ETF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份额之间直接兑换，几乎没有什么跟踪误差，什么意思呢？比如上证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50ETF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基金，跟踪的是上证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50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指数，有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50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只成分股，我完全按照这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50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只成分股配好，然后把它切割成一小份一小份的，就变成了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ETF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基金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ETF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基金是可以进行股票和份额之间的兑换的，严格意义上来说，其实可以算做是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ETF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基金的申购赎回，我们普通人参与不了，这里班班补充给大家讲这个知识，让大家更好的理解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ETF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基金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比如一些机构大户，他们可以按照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ETF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基金申购赎回业务的要求，上面有成分股和每种股票的数量，买好之后，用这一大堆股票，去和基金公司交换相应的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ETF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份额。或者你也可以在场内买足够的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ETF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份额，然后和基金公司交换成相应的一堆股票。所需的资金一般是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100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万起或者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200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万起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一般的场外的指数基金，都是基金经理拿到我们投资人买基金的钱，然后按照指数的成分股去买相应的股票，也需要留一点点资金应对平时的申购赎回，万一赎回的人多，钱不够了，就要去卖股票，跟踪误差也就是这么来的。但是你看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ETF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基金，没有这个问题。我们普通的投资人，买的份额是别人卖掉的，不影响这个基金的运作，就算有大额的申购赎回，也是直接一篮子的股票和份额之间兑换，也没啥影响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前面做作业大家也会发现，场外经常能看到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ETF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联接基金，而且它的跟踪误差通常都很小，这一类基金，就是基金经理拿到钱，到场内买相应的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ETF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基金，有人要赎回，我就卖一点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ETF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基金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你可能觉得有点疑惑，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ETF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基金我自己就可以开个证券账户，在证券账户里买呀，干嘛还买个联接基金，多此一举，让基金经理拿着我的钱，再帮我到场内去买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ETF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基金呢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唉，没办法，知道场内基金，会去场内交易基金的人，从大范围看，还是少数人。而且场内基金需要你自己去挂单买卖，场外基金操作简单，所以就有了这么一个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ETF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联接基金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好了，说了这么多，小结一下，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ETF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基金如果有两只以上，选成交额大一点的就可以了。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LOF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基金可以看一下跟踪误差，同样选成交额大一点的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像那种一天的成交额只有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来万，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20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来万的，就要小心那种你想买买不到，想卖卖不掉的情况了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由于场内基金非常灵活，交易成本低，交易手续费可以到万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，我们就可以加入一些策略，如网格收割，来增厚我们的收益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接下来就要好好听咯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对照着我们自己的定投计划，如果你使用的是蛋卷基金跟投，或者自己在天天基金网、蚂蚁财富等基金平台搭配的场外基金组合，不用做网格收割，场外基金频繁买卖可能最终增加的收益还不够手续费的，不划算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另外资金量特别小，每次只有几百元的学员，不建议投资场内基金，场内基金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100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份一手，一只基金就需要这么多了。可以选择蛋卷基金跟投每次最低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250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元即可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下面就跟着班班，模拟我们正在定投场内基金的过程，出现各种情况我们相应如何操作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首先，从基金池里面选出你要定投的几只场内基金，根据自己的资金情况，确定每次每只基金定投多少钱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比如计划有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ABCDE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五只基金，分别投资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1000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、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1000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、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1200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、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1200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、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1500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，每月投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次，投资期限是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年，也就是一共投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12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按照市值恒定法，每个月要达到的目标市值就很清楚了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080000" cy="3232150"/>
            <wp:effectExtent l="0" t="0" r="0" b="19050"/>
            <wp:docPr id="1" name="图片 1" descr="IMG_2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9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每次定投前，做两道计算题就知道应该买多少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第一道算术题是用目标定投市值减去目前的持仓市值，比如我们到了投第五次的时间，打开账户一看，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A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基金目前的市值是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3800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元，这次的目标市值是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5000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元，那么这次需要定投的金额就是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5000-3800=1200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第二道算术题是用这个算出来的定投金额，除以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A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基金最新的成交价，比如最新的价格是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1.123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元，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1200÷1.123=1068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份基金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这时候，场内基金会出现一个问题，场内基金是以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100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份为最小单位申购的，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1068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份没法买呀。所以我们需要做一个四舍五入，把买入份额精确到百位数，比如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1068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份，就买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1100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份。在定投刚开始的时候，尤其是你的资金量比较小的情况下，这样定投难免会产生误差。但不用在意，随着定投时间拉长和定投总额的提高，这点误差会越来越小，对长期定投收益的影响也几乎可以忽略不计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其实这第二道算术题可以不用算，我们在证券账户里面下单买场外基金的时候，按这个加号和减号可以调整份额，份额下面的橙色框就是需要的资金数，你可以看着这个资金数，调到和你要买的金额接近的程度的时候下单就行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2978150" cy="5080000"/>
            <wp:effectExtent l="0" t="0" r="19050" b="0"/>
            <wp:docPr id="2" name="图片 2" descr="1043.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43.9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如果这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年期间出现市场突然暴涨要不要网格收割呢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答案是不要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因为恒定市值法，实际上已经帮我们自动在根据市场的涨跌情况调整投入的资金，在市场暴涨时，当市值涨过了目标市值，我们也会将超过的部分卖出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所以网格收割需要等到计划的定投时间全部完成之后再上场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比如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12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次定投结束了，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ABCDE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基金的指数还没有进入高估的区间，我们虽然没有再继续投资，但也没有到卖出的时候，对应的操作是什么也不做，持有它们，一直等到分位点进入高估的状态卖出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这个持有的时间有多长呢？市场无法预料，班班也没法告诉你是继续持有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年，还是半年，这是一段漫长而又无聊的过程。这个过程中，基金并不是稳步上涨，其实也有一些波动。看着它涨涨跌跌可以做点什么吗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网格收割这时候就派上用场了。说了这么半天网格收割，现在来给大家解释一下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所谓网格也是很主观的，它是什么呢？就是自己定一个比例，一旦达到这个涨幅，我们就把上涨的部分卖掉，或者一旦跌到这个幅度，我们进行补仓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举个例子，比如我们定投完成后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A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基金的市值是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12000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元，我定的比例是上涨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4%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，下跌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3%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。一旦基金涨幅到达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4%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，就触发我进行收割。这时候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A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基金的市值到了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12000*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1+4%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=12480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元，于是我卖掉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480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元的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A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基金。如果基金继续涨，又达到了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4%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，我就继续收割掉上涨的部分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如果之后它跌了，触发了我定好的下跌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3%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的比例，基金市值变成了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12000*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1-3%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=11640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元，这时候我拿出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360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元，买进去，让基金市值重新回到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12000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元。同样，如果它继续下跌达到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3%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，我就继续补仓，补回到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12000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元市值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就这样，反反复复，涨了卖跌了买，跌了买涨了卖，组合起来看，就像编制了一张网格，所以叫它网格收割。并且这不是涨跌完全对称的网格，而是上涨网格空隙大，下跌网格空隙小的非对称网格，也就是如果设定跌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3%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就加仓买，那必须涨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5%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才减仓卖，设置跌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8%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加仓买，则要设置涨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15%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才能减仓卖。只有每次减仓的实际盈利比例大于每次加仓弥补的浮亏比例，最后才能通过网格交易真正获利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网格的比例到底定多少呢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这个自己制定就可以，重要的是制定好以后守住纪律执行。班班这里给大家讲讲大致的参考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比如牛市还没来，大盘一直在上上下下的震荡。我们就可以把这个网格比例设置的小一点，比如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5%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收割，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3%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补仓。因为如果你设置的太大了，可能很长时间都没有机会收割一次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如果市场行情开始转好，处于一个上升的趋势，周围人对股市的关注度越来越高，我们可以把网格适当的变大一些。因为在这样单边牛市行情中，补仓的机会是很少的，反而股市有可能一路向上，如果网格小，收割的次数多，过早的把仓位减下来了，实际上反而减少了我们的收益。可以把网格设置到上涨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10%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，下跌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7%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，甚至真的遇到了牛市的冲锋，可以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15%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20%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的设置。这样就可以在牛市飙升的一路，有节奏的止盈，在进入特别高估的状态，将最后的仓位清仓走人，大部分的收益都落到我们的口袋里了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所以记住两点就可以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一是最大网格设置为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20%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，最小的网格设置为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3%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；二是同一时期，上涨时的收割网格可以设置得比下跌时的补仓网格更大一些，从而获得更大的利润空间，比如涨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5%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收割，跌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3%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就补仓，涨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20%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收割，跌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15%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补仓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我们就以最普通的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510300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沪深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300ETF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为例，在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2014-2015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年的短命牛市中，如果我们设置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20%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的收割网格，那从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2014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年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5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月跌到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2.1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元左右开始算起，第一次收割是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2.52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元，第二次收割是在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3.02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元，第三次收割是在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3.63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元，第四次收割是在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4.35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元，第五次收割是在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5.22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元。这一路牛市上升通道中，没有出现过一次跌幅超过</w:t>
      </w:r>
      <w:r>
        <w:rPr>
          <w:rFonts w:hint="default"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15%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需要补仓的情况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080000" cy="2819400"/>
            <wp:effectExtent l="0" t="0" r="0" b="0"/>
            <wp:docPr id="3" name="图片 3" descr="#F 300ETF Fli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#F 300ETF Flig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而沪深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300ETF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价格第一次涨到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5.22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元，是在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2015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年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6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月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5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日，第二天便涨到了这轮牛市里的最高价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5.35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元，随后股灾来袭，牛市终结。假如我们在这一年时间的疯牛过程中不做任何止盈操作，任由我们定投的基金市值疯狂上涨，看起来是很爽，但等到股灾暴跌的时候就惨了，因为之前吃进去的又都吐了出来，仅仅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2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个多月后，沪深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300ETF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价格就跌破了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3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元，在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2016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年初的股灾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3.0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中更是跌到了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2.8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元，大部分浮盈又都跌了回去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而采取网格收割策略后，先后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5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次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20%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的止盈操作，意味着我们已经把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100%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的本金全部安全转移，就算之后我们的基金价格跌到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，依然不会亏一分钱。而在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2017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年的大盘股行情中，沪深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300ETF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的价格又重新从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3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元涨到了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4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元附近，我们一样可以继续收割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如果我们当时定投的是波动性更大的中证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500ETF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，是否采取网格收割策略，最后的收益会差得更大，因为中证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500ETF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在那轮牛市里涨了两倍多，比沪深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300ETF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更狠，但后来的下跌同样更狠，用网格交易策略，一方面能够吃到牛市里的大段肥肉，一方面又能避免牛市结束后吃下去的又都吐出来，完美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最后班班给大家总结一下，让大家对定投过程更清晰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某个指数在低估状态被我们选中，购买跟踪它的指数基金进行定投，我们确认了初始的定投金额，以及定投多少次达到最终的目标市值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然后定投开始，按照恒定市值操作，每次实际定投的金额可能多也可能少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只要这只基金的指数估值仍然处于可以继续定投的状态，我们就继续把定好的次数完成。假如基金的指数估值提前进入了持有的状态，我们暂停定投，开启网格收割。把当时的市值定为网格收割的基准，在此基础上涨多少我们割一次，跌多少我们补一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市场不温不火，网格设置的小一点，市场火热起来了，网格设置的大一点。牛市启动了，单边上涨行情开启，我们把网格设置的更大一些，一边收割，随着牛市越来越高涨，基金的指数估值也进入高估区域，估值到达清仓走人的红线区间，无论市场仍然有多火爆，卖出最后的仓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只要大家守好纪律，就能克服贪婪恐惧的心理，留住我们投资的胜利果实。追涨杀跌，跌了不敢买，涨了舍不得卖，曾经赚到钱，又吐了回去，那种滋味可不好受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上节课的作业我们列出了自己的定投计划，以及每只基金投多少钱。由于我们考虑的是场外基金，挺多场外基金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元就可以买，所以一只基金投个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200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、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300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元没有什么问题。假如你选择定投场内基金，买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手就是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100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份，那么就要更改一下选择了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通过力哥渠道开通的证券账户，场内基金手续费万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，最低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0.1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元，买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1000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元正好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0.1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元，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1000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元以内都是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0.1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。对于定投资金高的人来说，更能充分利用这个低佣金费率。而且也有力哥和券商合作研发的场内自动定投系统，能帮我们自动完成市值恒定和网格收益。班班在讲完最后一节课，教给大家完整的资产规划之后，会把开户渠道和场内系统的使用说明发给大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第九次作业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今天的作业，使用场内基金制定一个定投基金组合，如果你定投的金额低于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5000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元，就假设你每次投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5000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元。高于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5000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元就用你实际的金额来设计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1.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列出你选择的场内基金，写出每只基金投多少钱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还是要注意符合我们基金组合框架的原则哦，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6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个股票市场里至少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2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个，黄金和大宗商品（原油）至少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1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个。给你选的场内基金标明属于基金组合</w:t>
      </w: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8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个部分中的哪个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再次和大家强调一下，大宗商品中原油目前处于一个比较极端的行情中，风险也变高了，未来很长一段时间可能都难以恢复，大家可以选择不投，用黄金来做平衡器哈，金价合适的时候再配置一些黄金类基金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2.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然后写出你计划定投多少次，定投完成后，每只基金的目标市值是多少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454545"/>
          <w:kern w:val="0"/>
          <w:sz w:val="24"/>
          <w:szCs w:val="24"/>
          <w:lang w:val="en-US" w:eastAsia="zh-CN" w:bidi="ar"/>
        </w:rPr>
        <w:t>3.</w:t>
      </w:r>
      <w:r>
        <w:rPr>
          <w:rFonts w:ascii=".pingfang sc" w:hAnsi=".pingfang sc" w:eastAsia=".pingfang sc" w:cs=".pingfang sc"/>
          <w:color w:val="454545"/>
          <w:kern w:val="0"/>
          <w:sz w:val="24"/>
          <w:szCs w:val="24"/>
          <w:lang w:val="en-US" w:eastAsia="zh-CN" w:bidi="ar"/>
        </w:rPr>
        <w:t>用文字描述一下之后震荡行情、逐渐转好的行情、单边牛市行情、牛市高涨行情下，你将分别设置什么样的网格，如何操作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7F3EEF"/>
    <w:rsid w:val="FC7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454545"/>
      <w:kern w:val="0"/>
      <w:sz w:val="24"/>
      <w:szCs w:val="24"/>
      <w:lang w:val="en-US" w:eastAsia="zh-CN" w:bidi="ar"/>
    </w:rPr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.pingfang sc" w:hAnsi=".pingfang sc" w:eastAsia=".pingfang sc" w:cs=".pingfang sc"/>
      <w:color w:val="454545"/>
      <w:kern w:val="0"/>
      <w:sz w:val="24"/>
      <w:szCs w:val="24"/>
      <w:lang w:val="en-US" w:eastAsia="zh-CN" w:bidi="ar"/>
    </w:rPr>
  </w:style>
  <w:style w:type="character" w:customStyle="1" w:styleId="7">
    <w:name w:val="s1"/>
    <w:basedOn w:val="3"/>
    <w:uiPriority w:val="0"/>
    <w:rPr>
      <w:rFonts w:hint="default" w:ascii="Helvetica Neue" w:hAnsi="Helvetica Neue" w:eastAsia="Helvetica Neue" w:cs="Helvetica Neue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2021-01-12T16:48:00Z</dcterms:created>
  <dc:creator>jessica</dc:creator>
  <cp:lastModifiedBy>jessica</cp:lastModifiedBy>
  <dcterms:modified xsi:type="dcterms:W3CDTF">2021-01-12T16:58:34Z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