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50" w:rsidRPr="00163F74" w:rsidRDefault="003F7450" w:rsidP="00F832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63F74">
        <w:rPr>
          <w:rFonts w:ascii="Times New Roman" w:hAnsi="Times New Roman" w:cs="Times New Roman"/>
          <w:b/>
          <w:sz w:val="28"/>
          <w:szCs w:val="24"/>
        </w:rPr>
        <w:t>INTELIGÊNCIA ARTIFICIAL: MACHINE LEARNING</w:t>
      </w:r>
    </w:p>
    <w:p w:rsidR="003F7450" w:rsidRPr="00163F74" w:rsidRDefault="004A0268" w:rsidP="00F8322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Caique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Zaneti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Kirilo</w:t>
      </w:r>
      <w:proofErr w:type="spellEnd"/>
    </w:p>
    <w:p w:rsidR="003F7450" w:rsidRPr="00163F74" w:rsidRDefault="004A0268" w:rsidP="00F8322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Jéssic</w:t>
      </w:r>
      <w:bookmarkStart w:id="0" w:name="_GoBack"/>
      <w:bookmarkEnd w:id="0"/>
      <w:r w:rsidRPr="00163F74">
        <w:rPr>
          <w:rFonts w:ascii="Times New Roman" w:hAnsi="Times New Roman" w:cs="Times New Roman"/>
          <w:sz w:val="24"/>
          <w:szCs w:val="24"/>
        </w:rPr>
        <w:t>a Franzon Cruz Do Espírito Santo</w:t>
      </w:r>
    </w:p>
    <w:p w:rsidR="003F7450" w:rsidRPr="00163F74" w:rsidRDefault="003F7450" w:rsidP="00F8322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A0268" w:rsidRPr="00163F74">
          <w:rPr>
            <w:rFonts w:ascii="Times New Roman" w:hAnsi="Times New Roman" w:cs="Times New Roman"/>
            <w:sz w:val="24"/>
            <w:szCs w:val="24"/>
          </w:rPr>
          <w:t xml:space="preserve">Vinicius </w:t>
        </w:r>
        <w:proofErr w:type="spellStart"/>
        <w:r w:rsidR="004A0268" w:rsidRPr="00163F74">
          <w:rPr>
            <w:rFonts w:ascii="Times New Roman" w:hAnsi="Times New Roman" w:cs="Times New Roman"/>
            <w:sz w:val="24"/>
            <w:szCs w:val="24"/>
          </w:rPr>
          <w:t>Arnom</w:t>
        </w:r>
        <w:proofErr w:type="spellEnd"/>
        <w:r w:rsidR="004A0268" w:rsidRPr="00163F74">
          <w:rPr>
            <w:rFonts w:ascii="Times New Roman" w:hAnsi="Times New Roman" w:cs="Times New Roman"/>
            <w:sz w:val="24"/>
            <w:szCs w:val="24"/>
          </w:rPr>
          <w:t xml:space="preserve"> Neves Dos Santos Diniz</w:t>
        </w:r>
      </w:hyperlink>
    </w:p>
    <w:p w:rsidR="003F7450" w:rsidRPr="00163F74" w:rsidRDefault="003F7450" w:rsidP="00F8322F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480741" w:rsidRPr="00163F74" w:rsidRDefault="003F7450" w:rsidP="00F832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63F74">
        <w:rPr>
          <w:rFonts w:ascii="Times New Roman" w:hAnsi="Times New Roman" w:cs="Times New Roman"/>
          <w:b/>
          <w:sz w:val="28"/>
          <w:szCs w:val="24"/>
        </w:rPr>
        <w:t>DESCRIÇÃO GERAL</w:t>
      </w:r>
    </w:p>
    <w:p w:rsidR="00480741" w:rsidRPr="00163F74" w:rsidRDefault="00480741" w:rsidP="00F8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A base de dados contém 3.798 registros e 8 variáveis, representando indicadores históricos relacionados à eletrificação de veículos por região. As colunas são: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: Região geográfica (52 valores únicos, como World,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Australia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, etc.)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: Categoria da informação (neste caso, sempre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)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: Tipo de métrica observada (como EV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, EV stock, EV stock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, etc.)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: Tipo de veículo (todos são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Cars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)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powertrain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: Tipo de trem de força (BEV, PHEV, FCEV, EV)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: Ano da observação (2010 a 2023)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: Unidade da métrica (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F74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, etc.)</w:t>
      </w:r>
    </w:p>
    <w:p w:rsidR="00480741" w:rsidRPr="00163F74" w:rsidRDefault="00480741" w:rsidP="00F832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F7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: Valor numérico da métrica</w:t>
      </w:r>
    </w:p>
    <w:p w:rsidR="003F7450" w:rsidRPr="00163F74" w:rsidRDefault="00480741" w:rsidP="00F8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t>A base utilizada contém dados históricos de indicadores relacionados à eletrificação de veículos, abrangendo 52 regiões geográficas e o período de 2010 a 2023. As principais variáveis incluem o tipo de parâmetro medido (</w:t>
      </w:r>
      <w:r w:rsidRPr="00163F74">
        <w:rPr>
          <w:rStyle w:val="nfase"/>
          <w:rFonts w:ascii="Times New Roman" w:hAnsi="Times New Roman" w:cs="Times New Roman"/>
          <w:sz w:val="24"/>
          <w:szCs w:val="24"/>
        </w:rPr>
        <w:t xml:space="preserve">EV </w:t>
      </w:r>
      <w:proofErr w:type="spellStart"/>
      <w:r w:rsidRPr="00163F74">
        <w:rPr>
          <w:rStyle w:val="nfase"/>
          <w:rFonts w:ascii="Times New Roman" w:hAnsi="Times New Roman" w:cs="Times New Roman"/>
          <w:sz w:val="24"/>
          <w:szCs w:val="24"/>
        </w:rPr>
        <w:t>sales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 xml:space="preserve">, </w:t>
      </w:r>
      <w:r w:rsidRPr="00163F74">
        <w:rPr>
          <w:rStyle w:val="nfase"/>
          <w:rFonts w:ascii="Times New Roman" w:hAnsi="Times New Roman" w:cs="Times New Roman"/>
          <w:sz w:val="24"/>
          <w:szCs w:val="24"/>
        </w:rPr>
        <w:t>EV stock</w:t>
      </w:r>
      <w:r w:rsidRPr="00163F74">
        <w:rPr>
          <w:rFonts w:ascii="Times New Roman" w:hAnsi="Times New Roman" w:cs="Times New Roman"/>
          <w:sz w:val="24"/>
          <w:szCs w:val="24"/>
        </w:rPr>
        <w:t xml:space="preserve">, </w:t>
      </w:r>
      <w:r w:rsidRPr="00163F74">
        <w:rPr>
          <w:rStyle w:val="nfase"/>
          <w:rFonts w:ascii="Times New Roman" w:hAnsi="Times New Roman" w:cs="Times New Roman"/>
          <w:sz w:val="24"/>
          <w:szCs w:val="24"/>
        </w:rPr>
        <w:t xml:space="preserve">EV stock </w:t>
      </w:r>
      <w:proofErr w:type="spellStart"/>
      <w:r w:rsidRPr="00163F74">
        <w:rPr>
          <w:rStyle w:val="nfase"/>
          <w:rFonts w:ascii="Times New Roman" w:hAnsi="Times New Roman" w:cs="Times New Roman"/>
          <w:sz w:val="24"/>
          <w:szCs w:val="24"/>
        </w:rPr>
        <w:t>share</w:t>
      </w:r>
      <w:proofErr w:type="spellEnd"/>
      <w:r w:rsidRPr="00163F74">
        <w:rPr>
          <w:rFonts w:ascii="Times New Roman" w:hAnsi="Times New Roman" w:cs="Times New Roman"/>
          <w:sz w:val="24"/>
          <w:szCs w:val="24"/>
        </w:rPr>
        <w:t>, etc.), o tipo de motorização (</w:t>
      </w:r>
      <w:r w:rsidRPr="00163F74">
        <w:rPr>
          <w:rStyle w:val="nfase"/>
          <w:rFonts w:ascii="Times New Roman" w:hAnsi="Times New Roman" w:cs="Times New Roman"/>
          <w:sz w:val="24"/>
          <w:szCs w:val="24"/>
        </w:rPr>
        <w:t>BEV</w:t>
      </w:r>
      <w:r w:rsidRPr="00163F74">
        <w:rPr>
          <w:rFonts w:ascii="Times New Roman" w:hAnsi="Times New Roman" w:cs="Times New Roman"/>
          <w:sz w:val="24"/>
          <w:szCs w:val="24"/>
        </w:rPr>
        <w:t xml:space="preserve">, </w:t>
      </w:r>
      <w:r w:rsidRPr="00163F74">
        <w:rPr>
          <w:rStyle w:val="nfase"/>
          <w:rFonts w:ascii="Times New Roman" w:hAnsi="Times New Roman" w:cs="Times New Roman"/>
          <w:sz w:val="24"/>
          <w:szCs w:val="24"/>
        </w:rPr>
        <w:t>PHEV</w:t>
      </w:r>
      <w:r w:rsidRPr="00163F74">
        <w:rPr>
          <w:rFonts w:ascii="Times New Roman" w:hAnsi="Times New Roman" w:cs="Times New Roman"/>
          <w:sz w:val="24"/>
          <w:szCs w:val="24"/>
        </w:rPr>
        <w:t xml:space="preserve">, </w:t>
      </w:r>
      <w:r w:rsidRPr="00163F74">
        <w:rPr>
          <w:rStyle w:val="nfase"/>
          <w:rFonts w:ascii="Times New Roman" w:hAnsi="Times New Roman" w:cs="Times New Roman"/>
          <w:sz w:val="24"/>
          <w:szCs w:val="24"/>
        </w:rPr>
        <w:t>FCEV</w:t>
      </w:r>
      <w:r w:rsidRPr="00163F74">
        <w:rPr>
          <w:rFonts w:ascii="Times New Roman" w:hAnsi="Times New Roman" w:cs="Times New Roman"/>
          <w:sz w:val="24"/>
          <w:szCs w:val="24"/>
        </w:rPr>
        <w:t xml:space="preserve">, </w:t>
      </w:r>
      <w:r w:rsidRPr="00163F74">
        <w:rPr>
          <w:rStyle w:val="nfase"/>
          <w:rFonts w:ascii="Times New Roman" w:hAnsi="Times New Roman" w:cs="Times New Roman"/>
          <w:sz w:val="24"/>
          <w:szCs w:val="24"/>
        </w:rPr>
        <w:t>EV</w:t>
      </w:r>
      <w:r w:rsidRPr="00163F74">
        <w:rPr>
          <w:rFonts w:ascii="Times New Roman" w:hAnsi="Times New Roman" w:cs="Times New Roman"/>
          <w:sz w:val="24"/>
          <w:szCs w:val="24"/>
        </w:rPr>
        <w:t>), ano de referência e o valor da métrica.</w:t>
      </w:r>
    </w:p>
    <w:p w:rsidR="00480741" w:rsidRPr="00163F74" w:rsidRDefault="003F7450" w:rsidP="00F832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63F74">
        <w:rPr>
          <w:rFonts w:ascii="Times New Roman" w:hAnsi="Times New Roman" w:cs="Times New Roman"/>
          <w:b/>
          <w:sz w:val="28"/>
          <w:szCs w:val="24"/>
        </w:rPr>
        <w:t>PRÉ-PROCESSAMENTO</w:t>
      </w:r>
    </w:p>
    <w:p w:rsidR="00480741" w:rsidRPr="00163F74" w:rsidRDefault="00480741" w:rsidP="00F8322F">
      <w:pPr>
        <w:pStyle w:val="NormalWeb"/>
        <w:numPr>
          <w:ilvl w:val="0"/>
          <w:numId w:val="3"/>
        </w:numPr>
        <w:spacing w:before="0" w:beforeAutospacing="0" w:after="160" w:afterAutospacing="0" w:line="360" w:lineRule="auto"/>
        <w:jc w:val="both"/>
      </w:pPr>
      <w:r w:rsidRPr="00163F74">
        <w:rPr>
          <w:rStyle w:val="Forte"/>
        </w:rPr>
        <w:t>Verificação de duplicatas e valores ausentes</w:t>
      </w:r>
      <w:r w:rsidRPr="00163F74">
        <w:t xml:space="preserve">: A base foi considerada </w:t>
      </w:r>
      <w:r w:rsidR="003F7450" w:rsidRPr="00163F74">
        <w:t>limpa</w:t>
      </w:r>
      <w:r w:rsidRPr="00163F74">
        <w:t>, sem registros duplicados ou nulos.</w:t>
      </w:r>
    </w:p>
    <w:p w:rsidR="00480741" w:rsidRPr="00163F74" w:rsidRDefault="00480741" w:rsidP="00F8322F">
      <w:pPr>
        <w:pStyle w:val="NormalWeb"/>
        <w:numPr>
          <w:ilvl w:val="0"/>
          <w:numId w:val="3"/>
        </w:numPr>
        <w:spacing w:before="0" w:beforeAutospacing="0" w:after="160" w:afterAutospacing="0" w:line="360" w:lineRule="auto"/>
        <w:jc w:val="both"/>
      </w:pPr>
      <w:r w:rsidRPr="00163F74">
        <w:rPr>
          <w:rStyle w:val="Forte"/>
        </w:rPr>
        <w:t>Renomeação de colunas para português</w:t>
      </w:r>
      <w:r w:rsidRPr="00163F74">
        <w:t xml:space="preserve">: Colunas como </w:t>
      </w:r>
      <w:proofErr w:type="spellStart"/>
      <w:r w:rsidRPr="00163F74">
        <w:rPr>
          <w:rStyle w:val="CdigoHTML"/>
          <w:rFonts w:ascii="Times New Roman" w:hAnsi="Times New Roman" w:cs="Times New Roman"/>
          <w:sz w:val="24"/>
          <w:szCs w:val="24"/>
        </w:rPr>
        <w:t>region</w:t>
      </w:r>
      <w:proofErr w:type="spellEnd"/>
      <w:r w:rsidRPr="00163F74">
        <w:t xml:space="preserve">, </w:t>
      </w:r>
      <w:proofErr w:type="spellStart"/>
      <w:r w:rsidRPr="00163F74">
        <w:rPr>
          <w:rStyle w:val="CdigoHTML"/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163F74">
        <w:t xml:space="preserve"> e </w:t>
      </w:r>
      <w:proofErr w:type="spellStart"/>
      <w:r w:rsidRPr="00163F74">
        <w:rPr>
          <w:rStyle w:val="CdigoHTML"/>
          <w:rFonts w:ascii="Times New Roman" w:hAnsi="Times New Roman" w:cs="Times New Roman"/>
          <w:sz w:val="24"/>
          <w:szCs w:val="24"/>
        </w:rPr>
        <w:t>powertrain</w:t>
      </w:r>
      <w:proofErr w:type="spellEnd"/>
      <w:r w:rsidRPr="00163F74">
        <w:t xml:space="preserve"> foram renomeadas para </w:t>
      </w:r>
      <w:proofErr w:type="spellStart"/>
      <w:r w:rsidRPr="00163F74">
        <w:rPr>
          <w:rStyle w:val="CdigoHTML"/>
          <w:rFonts w:ascii="Times New Roman" w:hAnsi="Times New Roman" w:cs="Times New Roman"/>
          <w:sz w:val="24"/>
          <w:szCs w:val="24"/>
        </w:rPr>
        <w:t>regiao</w:t>
      </w:r>
      <w:proofErr w:type="spellEnd"/>
      <w:r w:rsidRPr="00163F74">
        <w:t xml:space="preserve">, </w:t>
      </w:r>
      <w:proofErr w:type="spellStart"/>
      <w:r w:rsidRPr="00163F74">
        <w:rPr>
          <w:rStyle w:val="CdigoHTML"/>
          <w:rFonts w:ascii="Times New Roman" w:hAnsi="Times New Roman" w:cs="Times New Roman"/>
          <w:sz w:val="24"/>
          <w:szCs w:val="24"/>
        </w:rPr>
        <w:t>parametro</w:t>
      </w:r>
      <w:proofErr w:type="spellEnd"/>
      <w:r w:rsidRPr="00163F74">
        <w:t xml:space="preserve"> e </w:t>
      </w:r>
      <w:proofErr w:type="spellStart"/>
      <w:r w:rsidRPr="00163F74">
        <w:rPr>
          <w:rStyle w:val="CdigoHTML"/>
          <w:rFonts w:ascii="Times New Roman" w:hAnsi="Times New Roman" w:cs="Times New Roman"/>
          <w:sz w:val="24"/>
          <w:szCs w:val="24"/>
        </w:rPr>
        <w:t>motorizacao</w:t>
      </w:r>
      <w:proofErr w:type="spellEnd"/>
      <w:r w:rsidRPr="00163F74">
        <w:t>, facilitando a manipulação.</w:t>
      </w:r>
    </w:p>
    <w:p w:rsidR="00480741" w:rsidRPr="00163F74" w:rsidRDefault="00480741" w:rsidP="00F8322F">
      <w:pPr>
        <w:pStyle w:val="NormalWeb"/>
        <w:numPr>
          <w:ilvl w:val="0"/>
          <w:numId w:val="3"/>
        </w:numPr>
        <w:spacing w:before="0" w:beforeAutospacing="0" w:after="160" w:afterAutospacing="0" w:line="360" w:lineRule="auto"/>
        <w:jc w:val="both"/>
      </w:pPr>
      <w:r w:rsidRPr="00163F74">
        <w:rPr>
          <w:rStyle w:val="Forte"/>
        </w:rPr>
        <w:t>Mapeamento de regiões para continentes</w:t>
      </w:r>
      <w:r w:rsidRPr="00163F74">
        <w:t>: Foi criado um dicionário que agrupa países por continente, o que permite análises mais macroeconômicas e simplifica a criação de variáveis agregadas.</w:t>
      </w:r>
    </w:p>
    <w:p w:rsidR="004A0268" w:rsidRPr="00163F74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 “QUAIS SÃO OS TIPOS DE MOTORIZAÇÃO PREDOMINANTES EM CADA CONTINENTE?”</w:t>
      </w:r>
    </w:p>
    <w:p w:rsidR="004A0268" w:rsidRPr="00163F74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pt-BR"/>
        </w:rPr>
      </w:pPr>
      <w:r w:rsidRPr="00163F7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pt-BR"/>
        </w:rPr>
        <w:t>Modelos Supervisionados</w:t>
      </w:r>
    </w:p>
    <w:p w:rsidR="004A0268" w:rsidRPr="00163F74" w:rsidRDefault="004A0268" w:rsidP="00F8322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 Forest</w:t>
      </w:r>
    </w:p>
    <w:p w:rsidR="004A0268" w:rsidRPr="00163F74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de </w:t>
      </w:r>
      <w:proofErr w:type="spellStart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Forest apresentou excelente desempenho na predição da motorização dos veículos. A acurácia geral foi elevada, com métricas de </w:t>
      </w: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precisão, recall e F1-score acima de 95%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maioria das classes. A matriz de confusão revelou pouquíssimos erros de classificação, indicando que o modelo aprendeu bem os padrões dos dados.</w:t>
      </w:r>
    </w:p>
    <w:p w:rsidR="004A0268" w:rsidRPr="00163F74" w:rsidRDefault="004A0268" w:rsidP="00F8322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 Neural (MLP)</w:t>
      </w:r>
    </w:p>
    <w:p w:rsidR="004A0268" w:rsidRPr="004A0268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MLP também teve performance bastante satisfatória, com resultados muito próximos aos da </w:t>
      </w:r>
      <w:proofErr w:type="spellStart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Forest. A análise de acurácia por continente mostrou que </w:t>
      </w: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modelo se mantém estável em diferentes regiões geográficas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, embora com pequenas variações. Essa estabilidade sugere uma boa generalização.</w:t>
      </w:r>
    </w:p>
    <w:p w:rsidR="004A0268" w:rsidRPr="00163F74" w:rsidRDefault="004A0268" w:rsidP="00F8322F">
      <w:pPr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pt-BR"/>
        </w:rPr>
      </w:pPr>
      <w:r w:rsidRPr="00163F7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pt-BR"/>
        </w:rPr>
        <w:t>Modelos Não Supervisionados</w:t>
      </w:r>
    </w:p>
    <w:p w:rsidR="004A0268" w:rsidRPr="00163F74" w:rsidRDefault="004A0268" w:rsidP="00F8322F">
      <w:pPr>
        <w:pStyle w:val="PargrafodaLista"/>
        <w:numPr>
          <w:ilvl w:val="0"/>
          <w:numId w:val="8"/>
        </w:numPr>
        <w:spacing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KMeans</w:t>
      </w:r>
      <w:proofErr w:type="spellEnd"/>
    </w:p>
    <w:p w:rsidR="004A0268" w:rsidRPr="004A0268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algoritmo </w:t>
      </w:r>
      <w:proofErr w:type="spellStart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</w:t>
      </w:r>
      <w:proofErr w:type="spellEnd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com número de clusters igual ao número de categorias de motorização. A </w:t>
      </w: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pontuação de ARI (</w:t>
      </w:r>
      <w:proofErr w:type="spellStart"/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Adjusted</w:t>
      </w:r>
      <w:proofErr w:type="spellEnd"/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</w:t>
      </w:r>
      <w:proofErr w:type="spellEnd"/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Index)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satisfatória, indicando um bom alinhamento entre os clusters formados e as classes reais. O </w:t>
      </w:r>
      <w:proofErr w:type="spellStart"/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Silhouette</w:t>
      </w:r>
      <w:proofErr w:type="spellEnd"/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Score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foi positivo, evidenciando que os agrupamentos têm boa coesão interna. A análise cruzada mostrou que os clusters formados guardam forte correspondência com os continentes, o que pode refletir padrões regionais de mercado.</w:t>
      </w:r>
    </w:p>
    <w:p w:rsidR="004A0268" w:rsidRPr="00163F74" w:rsidRDefault="004A0268" w:rsidP="00F8322F">
      <w:pPr>
        <w:pStyle w:val="PargrafodaLista"/>
        <w:numPr>
          <w:ilvl w:val="0"/>
          <w:numId w:val="8"/>
        </w:numPr>
        <w:spacing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DBSCAN</w:t>
      </w:r>
    </w:p>
    <w:p w:rsidR="004A0268" w:rsidRPr="004A0268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DBSCAN conseguiu identificar padrões similares, embora com mais sensibilidade a ruídos. A presença de rótulos </w:t>
      </w: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>-1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(ruído) exige uma análise mais cuidadosa, mas o ARI e o </w:t>
      </w:r>
      <w:proofErr w:type="spellStart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Score, quando aplicáveis, mostraram que há </w:t>
      </w: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potencial para identificar subgrupos com características semelhantes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. O DBSCAN é particularmente útil por não exigir número prévio de clusters, sendo mais flexível para dados não balanceados.</w:t>
      </w:r>
    </w:p>
    <w:p w:rsidR="004A0268" w:rsidRPr="00163F74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3F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</w:t>
      </w:r>
    </w:p>
    <w:p w:rsidR="0074763F" w:rsidRPr="00163F74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3F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Ambos os modelos supervisionados apresentaram resultados</w:t>
      </w:r>
      <w:r w:rsidR="00163F74" w:rsidRPr="00163F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relevantes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destaque para a </w:t>
      </w:r>
      <w:proofErr w:type="spellStart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Forest em termos de estabilidade e simplicidade de ajuste.</w:t>
      </w: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3F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Rede Neural teve desempenho similar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pequena variação entre continentes, demonstrando robustez</w:t>
      </w:r>
      <w:r w:rsidR="00163F74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pode ser visto da Figura 1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Forest obteve acurácia de 99%, com F1-score macro de 0.99, enquanto a Rede Neural (MLP) apresentou acurácia de 98% e F1-score macro de 0.98. Ambos os modelos foram treinados com dados balanceados via SMOTE e apresentaram baixa variância entre continentes, confirmando a robustez dos classificadores.</w:t>
      </w:r>
    </w:p>
    <w:p w:rsidR="00163F74" w:rsidRPr="00163F74" w:rsidRDefault="0074763F" w:rsidP="00F8322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5C098343" wp14:editId="4170BD8D">
            <wp:extent cx="4819650" cy="7287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834" cy="7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F" w:rsidRPr="00163F74" w:rsidRDefault="00163F74" w:rsidP="00F8322F">
      <w:pPr>
        <w:pStyle w:val="Legenda"/>
        <w:spacing w:after="16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pt-BR"/>
        </w:rPr>
      </w:pPr>
      <w:r w:rsidRPr="00163F74">
        <w:rPr>
          <w:rFonts w:ascii="Times New Roman" w:hAnsi="Times New Roman" w:cs="Times New Roman"/>
          <w:color w:val="auto"/>
          <w:sz w:val="20"/>
        </w:rPr>
        <w:t xml:space="preserve">Figura </w:t>
      </w:r>
      <w:r w:rsidRPr="00163F74">
        <w:rPr>
          <w:rFonts w:ascii="Times New Roman" w:hAnsi="Times New Roman" w:cs="Times New Roman"/>
          <w:color w:val="auto"/>
          <w:sz w:val="20"/>
        </w:rPr>
        <w:fldChar w:fldCharType="begin"/>
      </w:r>
      <w:r w:rsidRPr="00163F74">
        <w:rPr>
          <w:rFonts w:ascii="Times New Roman" w:hAnsi="Times New Roman" w:cs="Times New Roman"/>
          <w:color w:val="auto"/>
          <w:sz w:val="20"/>
        </w:rPr>
        <w:instrText xml:space="preserve"> SEQ Figura \* ARABIC </w:instrText>
      </w:r>
      <w:r w:rsidRPr="00163F74">
        <w:rPr>
          <w:rFonts w:ascii="Times New Roman" w:hAnsi="Times New Roman" w:cs="Times New Roman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</w:rPr>
        <w:t>1</w:t>
      </w:r>
      <w:r w:rsidRPr="00163F74">
        <w:rPr>
          <w:rFonts w:ascii="Times New Roman" w:hAnsi="Times New Roman" w:cs="Times New Roman"/>
          <w:color w:val="auto"/>
          <w:sz w:val="20"/>
        </w:rPr>
        <w:fldChar w:fldCharType="end"/>
      </w:r>
      <w:r w:rsidRPr="00163F74">
        <w:rPr>
          <w:rFonts w:ascii="Times New Roman" w:hAnsi="Times New Roman" w:cs="Times New Roman"/>
          <w:color w:val="auto"/>
          <w:sz w:val="20"/>
        </w:rPr>
        <w:t>. Comparativo de desempenho de Modelos Supervisionados</w:t>
      </w:r>
    </w:p>
    <w:p w:rsidR="004A0268" w:rsidRPr="00163F74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modelos </w:t>
      </w:r>
      <w:r w:rsidRPr="00163F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não supervisionados identificaram padrões interessantes</w:t>
      </w:r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especialmente o </w:t>
      </w:r>
      <w:proofErr w:type="spellStart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</w:t>
      </w:r>
      <w:proofErr w:type="spellEnd"/>
      <w:r w:rsidRPr="004A026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agrupou corretamente classes com base em características latentes.</w:t>
      </w:r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</w:t>
      </w:r>
      <w:proofErr w:type="spellEnd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alcançou um ARI de 0.71 e </w:t>
      </w:r>
      <w:proofErr w:type="spellStart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Score de 0.49, indicando agrupamentos coerentes com as categorias reais e boa coesão interna</w:t>
      </w:r>
      <w:r w:rsid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Figura 2</w:t>
      </w:r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o DBSCAN obteve ARI de 0.38 e </w:t>
      </w:r>
      <w:proofErr w:type="spellStart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>Silhouette</w:t>
      </w:r>
      <w:proofErr w:type="spellEnd"/>
      <w:r w:rsidR="009C0F87"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Score de 0.32, evidenciando menor estabilidade, porém com boa detecção de ruídos e agrupamentos de densa compactação.</w:t>
      </w:r>
    </w:p>
    <w:p w:rsidR="00163F74" w:rsidRPr="00163F74" w:rsidRDefault="0074763F" w:rsidP="00F8322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300D8AA9" wp14:editId="50CF71DC">
            <wp:extent cx="1675967" cy="75247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9166" cy="7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F" w:rsidRPr="004A0268" w:rsidRDefault="00163F74" w:rsidP="00F8322F">
      <w:pPr>
        <w:pStyle w:val="Legenda"/>
        <w:spacing w:after="16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pt-BR"/>
        </w:rPr>
      </w:pPr>
      <w:r w:rsidRPr="00163F74">
        <w:rPr>
          <w:rFonts w:ascii="Times New Roman" w:hAnsi="Times New Roman" w:cs="Times New Roman"/>
          <w:color w:val="auto"/>
          <w:sz w:val="20"/>
        </w:rPr>
        <w:t xml:space="preserve">Figura </w:t>
      </w:r>
      <w:r w:rsidRPr="00163F74">
        <w:rPr>
          <w:rFonts w:ascii="Times New Roman" w:hAnsi="Times New Roman" w:cs="Times New Roman"/>
          <w:color w:val="auto"/>
          <w:sz w:val="20"/>
        </w:rPr>
        <w:fldChar w:fldCharType="begin"/>
      </w:r>
      <w:r w:rsidRPr="00163F74">
        <w:rPr>
          <w:rFonts w:ascii="Times New Roman" w:hAnsi="Times New Roman" w:cs="Times New Roman"/>
          <w:color w:val="auto"/>
          <w:sz w:val="20"/>
        </w:rPr>
        <w:instrText xml:space="preserve"> SEQ Figura \* ARABIC </w:instrText>
      </w:r>
      <w:r w:rsidRPr="00163F74">
        <w:rPr>
          <w:rFonts w:ascii="Times New Roman" w:hAnsi="Times New Roman" w:cs="Times New Roman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</w:rPr>
        <w:t>2</w:t>
      </w:r>
      <w:r w:rsidRPr="00163F74">
        <w:rPr>
          <w:rFonts w:ascii="Times New Roman" w:hAnsi="Times New Roman" w:cs="Times New Roman"/>
          <w:color w:val="auto"/>
          <w:sz w:val="20"/>
        </w:rPr>
        <w:fldChar w:fldCharType="end"/>
      </w:r>
      <w:r w:rsidRPr="00163F74">
        <w:rPr>
          <w:rFonts w:ascii="Times New Roman" w:hAnsi="Times New Roman" w:cs="Times New Roman"/>
          <w:color w:val="auto"/>
          <w:sz w:val="20"/>
        </w:rPr>
        <w:t>. Comparativo de desempenho de Modelos Não Supervisionados</w:t>
      </w:r>
    </w:p>
    <w:p w:rsidR="00DE2B8B" w:rsidRPr="00163F74" w:rsidRDefault="004A0268" w:rsidP="00F83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por continente revelou padrões geográficos relevantes na motorização</w:t>
      </w:r>
      <w:r w:rsid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(Figura 3)</w:t>
      </w: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a Ásia apresenta a maior proporção de veículos EV (41,05%), enquanto a Europa lidera em FCEV (15,43%) e Oceania se destaca em PHEV (28,74%). Já a África possui distribuição mais equilibrada entre BEV, EV e PHEV, com destaque menor para FCEV (5,75%). </w:t>
      </w:r>
    </w:p>
    <w:p w:rsidR="00163F74" w:rsidRDefault="004A0268" w:rsidP="00F8322F">
      <w:pPr>
        <w:keepNext/>
        <w:spacing w:line="360" w:lineRule="auto"/>
        <w:jc w:val="center"/>
      </w:pPr>
      <w:r w:rsidRPr="00163F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40DFF0" wp14:editId="3A00B630">
            <wp:extent cx="2750484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480" cy="23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50" w:rsidRPr="00163F74" w:rsidRDefault="00163F74" w:rsidP="00F8322F">
      <w:pPr>
        <w:pStyle w:val="Legenda"/>
        <w:spacing w:after="160" w:line="360" w:lineRule="auto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163F74">
        <w:rPr>
          <w:color w:val="auto"/>
          <w:sz w:val="20"/>
        </w:rPr>
        <w:t xml:space="preserve">Figura </w:t>
      </w:r>
      <w:r w:rsidRPr="00163F74">
        <w:rPr>
          <w:color w:val="auto"/>
          <w:sz w:val="20"/>
        </w:rPr>
        <w:fldChar w:fldCharType="begin"/>
      </w:r>
      <w:r w:rsidRPr="00163F74">
        <w:rPr>
          <w:color w:val="auto"/>
          <w:sz w:val="20"/>
        </w:rPr>
        <w:instrText xml:space="preserve"> SEQ Figura \* ARABIC </w:instrText>
      </w:r>
      <w:r w:rsidRPr="00163F74">
        <w:rPr>
          <w:color w:val="auto"/>
          <w:sz w:val="20"/>
        </w:rPr>
        <w:fldChar w:fldCharType="separate"/>
      </w:r>
      <w:r w:rsidRPr="00163F74">
        <w:rPr>
          <w:noProof/>
          <w:color w:val="auto"/>
          <w:sz w:val="20"/>
        </w:rPr>
        <w:t>3</w:t>
      </w:r>
      <w:r w:rsidRPr="00163F74">
        <w:rPr>
          <w:color w:val="auto"/>
          <w:sz w:val="20"/>
        </w:rPr>
        <w:fldChar w:fldCharType="end"/>
      </w:r>
      <w:r w:rsidRPr="00163F74">
        <w:rPr>
          <w:color w:val="auto"/>
          <w:sz w:val="20"/>
        </w:rPr>
        <w:t>. Comparativo entre Continente e Motorização</w:t>
      </w:r>
    </w:p>
    <w:p w:rsidR="004A0268" w:rsidRPr="00163F74" w:rsidRDefault="0074763F" w:rsidP="00F832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dados sugerem variações regionais significativas nas preferências tecnológicas, o que pode embasar estratégias comerciais, políticas públicas e desenvolvimento tecnológico orientado por região.</w:t>
      </w:r>
    </w:p>
    <w:p w:rsidR="004A0268" w:rsidRPr="00163F74" w:rsidRDefault="004A0268" w:rsidP="00F832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3F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7860F" wp14:editId="25A5387D">
            <wp:extent cx="4552950" cy="271607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155" cy="27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68" w:rsidRPr="00163F74" w:rsidSect="003F745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C23" w:rsidRDefault="00556C23" w:rsidP="00F8322F">
      <w:pPr>
        <w:spacing w:after="0" w:line="240" w:lineRule="auto"/>
      </w:pPr>
      <w:r>
        <w:separator/>
      </w:r>
    </w:p>
  </w:endnote>
  <w:endnote w:type="continuationSeparator" w:id="0">
    <w:p w:rsidR="00556C23" w:rsidRDefault="00556C23" w:rsidP="00F8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C23" w:rsidRDefault="00556C23" w:rsidP="00F8322F">
      <w:pPr>
        <w:spacing w:after="0" w:line="240" w:lineRule="auto"/>
      </w:pPr>
      <w:r>
        <w:separator/>
      </w:r>
    </w:p>
  </w:footnote>
  <w:footnote w:type="continuationSeparator" w:id="0">
    <w:p w:rsidR="00556C23" w:rsidRDefault="00556C23" w:rsidP="00F8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AB6"/>
    <w:multiLevelType w:val="hybridMultilevel"/>
    <w:tmpl w:val="67C67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2228"/>
    <w:multiLevelType w:val="multilevel"/>
    <w:tmpl w:val="3FC0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61165"/>
    <w:multiLevelType w:val="multilevel"/>
    <w:tmpl w:val="F98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32DD4"/>
    <w:multiLevelType w:val="hybridMultilevel"/>
    <w:tmpl w:val="46408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C406B"/>
    <w:multiLevelType w:val="hybridMultilevel"/>
    <w:tmpl w:val="FB9C53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F3544"/>
    <w:multiLevelType w:val="multilevel"/>
    <w:tmpl w:val="F98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479E6"/>
    <w:multiLevelType w:val="hybridMultilevel"/>
    <w:tmpl w:val="87126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454E"/>
    <w:multiLevelType w:val="hybridMultilevel"/>
    <w:tmpl w:val="2096A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41"/>
    <w:rsid w:val="00163F74"/>
    <w:rsid w:val="003F7450"/>
    <w:rsid w:val="00480741"/>
    <w:rsid w:val="004A0268"/>
    <w:rsid w:val="00556C23"/>
    <w:rsid w:val="0074763F"/>
    <w:rsid w:val="009C0F87"/>
    <w:rsid w:val="00AF0D23"/>
    <w:rsid w:val="00DE2B8B"/>
    <w:rsid w:val="00F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B4ED"/>
  <w15:chartTrackingRefBased/>
  <w15:docId w15:val="{965F12FB-D04B-440E-884D-E60560F0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A0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0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A02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74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8074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74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807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F745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A02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02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A02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6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83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322F"/>
  </w:style>
  <w:style w:type="paragraph" w:styleId="Rodap">
    <w:name w:val="footer"/>
    <w:basedOn w:val="Normal"/>
    <w:link w:val="RodapChar"/>
    <w:uiPriority w:val="99"/>
    <w:unhideWhenUsed/>
    <w:rsid w:val="00F83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4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fabc.edu.br/user/view.php?id=56317&amp;course=386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CE16-0B5C-4DF9-B152-0193479C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Franzon Cruz do Espirito Santo</dc:creator>
  <cp:keywords/>
  <dc:description/>
  <cp:lastModifiedBy>Jessica Franzon Cruz do Espirito Santo</cp:lastModifiedBy>
  <cp:revision>8</cp:revision>
  <dcterms:created xsi:type="dcterms:W3CDTF">2025-07-24T17:27:00Z</dcterms:created>
  <dcterms:modified xsi:type="dcterms:W3CDTF">2025-07-28T21:34:00Z</dcterms:modified>
</cp:coreProperties>
</file>