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Additional Features are: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Joining a Group: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user is able to join any group that they are already not a part of.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Creating a Group: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user is able to create a group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Make Friends from the same zipcode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user is able to find people who are in the same zipcode and befriend them.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Grant Admin Privileges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user is able to first look at the groups that they are administrators of. Then they can select a group to be able to see the members who are not administrators  in that group. They can authorize any member from that list.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Register: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the user does not have an account. The user may register for an account. They must provide all the information that the member table requires. If the username is already taken, the user must find another username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Post in event: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is allowed to post in the event if the user is signed up for the event. The event can be a past event or a future event.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