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论文阅读笔记：</w:t>
      </w:r>
    </w:p>
    <w:p>
      <w:pPr>
        <w:rPr>
          <w:rFonts w:hint="eastAsia"/>
          <w:b/>
          <w:bCs/>
          <w:sz w:val="32"/>
          <w:szCs w:val="40"/>
          <w:lang w:val="en-US" w:eastAsia="zh-CN"/>
        </w:rPr>
      </w:pPr>
    </w:p>
    <w:p>
      <w:pPr>
        <w:rPr>
          <w:rFonts w:hint="eastAsia"/>
          <w:b/>
          <w:bCs/>
          <w:sz w:val="32"/>
          <w:szCs w:val="40"/>
          <w:lang w:val="en-US" w:eastAsia="zh-CN"/>
        </w:rPr>
      </w:pPr>
    </w:p>
    <w:p>
      <w:pPr>
        <w:pStyle w:val="3"/>
        <w:keepNext w:val="0"/>
        <w:keepLines w:val="0"/>
        <w:widowControl/>
        <w:suppressLineNumbers w:val="0"/>
        <w:rPr>
          <w:rFonts w:hint="default" w:eastAsiaTheme="minorEastAsia"/>
          <w:color w:val="000000"/>
          <w:sz w:val="33"/>
          <w:szCs w:val="33"/>
          <w:lang w:val="en-US" w:eastAsia="zh-CN"/>
        </w:rPr>
      </w:pPr>
      <w:r>
        <w:rPr>
          <w:color w:val="000000"/>
          <w:sz w:val="33"/>
          <w:szCs w:val="33"/>
        </w:rPr>
        <w:t>GeoNet: Unsupervised Learning of Dense Depth, Optical Flow and Camera Pose</w:t>
      </w:r>
      <w:r>
        <w:rPr>
          <w:rFonts w:hint="eastAsia"/>
          <w:color w:val="000000"/>
          <w:sz w:val="33"/>
          <w:szCs w:val="33"/>
          <w:lang w:val="en-US" w:eastAsia="zh-CN"/>
        </w:rPr>
        <w:t xml:space="preserve">  2018cvpr</w:t>
      </w:r>
    </w:p>
    <w:p>
      <w:pPr>
        <w:rPr>
          <w:rFonts w:hint="eastAsia"/>
          <w:b/>
          <w:bCs/>
          <w:sz w:val="32"/>
          <w:szCs w:val="40"/>
          <w:lang w:val="en-US" w:eastAsia="zh-CN"/>
        </w:rPr>
      </w:pPr>
    </w:p>
    <w:p>
      <w:pPr>
        <w:rPr>
          <w:rFonts w:hint="eastAsia"/>
          <w:b/>
          <w:bCs/>
          <w:sz w:val="32"/>
          <w:szCs w:val="40"/>
          <w:lang w:val="en-US" w:eastAsia="zh-CN"/>
        </w:rPr>
      </w:pP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b/>
          <w:bCs/>
          <w:lang w:val="en-US" w:eastAsia="zh-CN"/>
        </w:rPr>
        <w:t>内容</w:t>
      </w:r>
      <w:r>
        <w:rPr>
          <w:rFonts w:hint="eastAsia"/>
          <w:lang w:val="en-US" w:eastAsia="zh-CN"/>
        </w:rPr>
        <w:t>：</w:t>
      </w:r>
      <w:r>
        <w:rPr>
          <w:spacing w:val="-6"/>
          <w:w w:val="95"/>
        </w:rPr>
        <w:t xml:space="preserve">一个联合无监督的学习框架， </w:t>
      </w:r>
      <w:r>
        <w:rPr>
          <w:spacing w:val="-4"/>
          <w:w w:val="95"/>
        </w:rPr>
        <w:t>用于从视频中进行单眼深度，光流和运动估计</w:t>
      </w:r>
      <w:r>
        <w:rPr>
          <w:rFonts w:hint="eastAsia"/>
          <w:spacing w:val="-4"/>
          <w:w w:val="95"/>
          <w:lang w:eastAsia="zh-CN"/>
        </w:rPr>
        <w:t>。</w:t>
      </w:r>
      <w:r>
        <w:rPr>
          <w:rFonts w:hint="eastAsia"/>
          <w:spacing w:val="-4"/>
          <w:w w:val="95"/>
          <w:lang w:val="en-US" w:eastAsia="zh-CN"/>
        </w:rPr>
        <w:t>在3D场景中这三个是相互联系着，文章提出的框架以端到端的方式共同学习。</w:t>
      </w:r>
      <w:r>
        <w:rPr>
          <w:spacing w:val="-4"/>
          <w:w w:val="95"/>
        </w:rPr>
        <w:t xml:space="preserve">在各个模块的预测上提取 几何关系，然后将其组合为图像重建损失，分别推断静态和动态场景部分。此外，我们提出了一种自适应几何一致性损失，以增加对异常值和非朗伯区域的鲁棒性， </w:t>
      </w:r>
      <w:r>
        <w:rPr>
          <w:spacing w:val="-6"/>
          <w:w w:val="95"/>
        </w:rPr>
        <w:t>从而有效地解决了遮挡和纹理模糊。</w:t>
      </w:r>
    </w:p>
    <w:p>
      <w:pPr>
        <w:rPr>
          <w:rFonts w:hint="default"/>
          <w:lang w:val="en-US" w:eastAsia="zh-CN"/>
        </w:rPr>
      </w:pPr>
      <w:r>
        <w:drawing>
          <wp:inline distT="0" distB="0" distL="114300" distR="114300">
            <wp:extent cx="5271135" cy="234188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234188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 </w:t>
      </w:r>
    </w:p>
    <w:p>
      <w:pPr>
        <w:pStyle w:val="2"/>
        <w:spacing w:before="53" w:line="252" w:lineRule="auto"/>
        <w:ind w:left="142" w:right="231"/>
        <w:jc w:val="both"/>
        <w:rPr>
          <w:rFonts w:hint="default"/>
          <w:lang w:val="en-US"/>
        </w:rPr>
      </w:pPr>
      <w:r>
        <w:rPr>
          <w:rFonts w:hint="eastAsia"/>
          <w:b/>
          <w:bCs/>
          <w:lang w:val="en-US" w:eastAsia="zh-CN"/>
        </w:rPr>
        <w:t>理解</w:t>
      </w:r>
      <w:r>
        <w:rPr>
          <w:rFonts w:hint="eastAsia"/>
          <w:lang w:val="en-US" w:eastAsia="zh-CN"/>
        </w:rPr>
        <w:t>：</w:t>
      </w:r>
      <w:r>
        <w:rPr>
          <w:spacing w:val="3"/>
        </w:rPr>
        <w:t>视频或图像是投影到特定维度的</w:t>
      </w:r>
      <w:r>
        <w:t>3D</w:t>
      </w:r>
      <w:r>
        <w:rPr>
          <w:spacing w:val="3"/>
        </w:rPr>
        <w:t>空间的屏幕截图。</w:t>
      </w:r>
      <w:r>
        <w:rPr>
          <w:spacing w:val="2"/>
        </w:rPr>
        <w:t>3D</w:t>
      </w:r>
      <w:r>
        <w:rPr>
          <w:spacing w:val="3"/>
        </w:rPr>
        <w:t>场景自然由静态背景和移动物体组成。视频中静态 部件的移动仅由相机运动和深度结构引起。动态物体 的运动更复杂</w:t>
      </w:r>
      <w:r>
        <w:rPr>
          <w:rFonts w:hint="eastAsia"/>
          <w:spacing w:val="3"/>
          <w:lang w:eastAsia="zh-CN"/>
        </w:rPr>
        <w:t>，</w:t>
      </w:r>
      <w:r>
        <w:rPr>
          <w:rFonts w:hint="eastAsia"/>
          <w:lang w:val="en-US" w:eastAsia="zh-CN"/>
        </w:rPr>
        <w:t>设计了一个由两个阶段组成的级联结构将</w:t>
      </w:r>
      <w:r>
        <w:rPr>
          <w:rFonts w:hint="eastAsia"/>
          <w:color w:val="FF0000"/>
          <w:lang w:val="en-US" w:eastAsia="zh-CN"/>
        </w:rPr>
        <w:t>刚性流动</w:t>
      </w:r>
      <w:r>
        <w:rPr>
          <w:rFonts w:hint="eastAsia"/>
          <w:lang w:val="en-US" w:eastAsia="zh-CN"/>
        </w:rPr>
        <w:t>和物体运动分开。们使用单独的组件分别通过刚性结构重建器和非刚性运动定位器来学习刚性流动和物体运动。采用图像外观相似性来指导无监督学习。</w:t>
      </w:r>
    </w:p>
    <w:p>
      <w:pPr>
        <w:pStyle w:val="3"/>
        <w:keepNext w:val="0"/>
        <w:keepLines w:val="0"/>
        <w:widowControl/>
        <w:suppressLineNumbers w:val="0"/>
        <w:spacing w:before="0" w:beforeAutospacing="0" w:after="0" w:afterAutospacing="0"/>
        <w:ind w:left="0" w:right="0" w:firstLine="0"/>
        <w:rPr>
          <w:rFonts w:hint="eastAsia" w:eastAsiaTheme="minorEastAsia"/>
          <w:lang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细节方面的理解：</w:t>
      </w:r>
    </w:p>
    <w:p>
      <w:pPr>
        <w:rPr>
          <w:rFonts w:hint="eastAsia"/>
          <w:b/>
          <w:bCs/>
          <w:lang w:val="en-US" w:eastAsia="zh-CN"/>
        </w:rPr>
      </w:pPr>
    </w:p>
    <w:p>
      <w:pPr>
        <w:pStyle w:val="3"/>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1.网络结构（刚性结构重构器和运动物体定位器）</w:t>
      </w:r>
    </w:p>
    <w:p>
      <w:pPr>
        <w:pStyle w:val="3"/>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提出Geonet包含两个阶段，刚性结构推理阶段和非刚性运动细化阶段。</w:t>
      </w:r>
    </w:p>
    <w:p>
      <w:pPr>
        <w:pStyle w:val="3"/>
        <w:keepNext w:val="0"/>
        <w:keepLines w:val="0"/>
        <w:widowControl/>
        <w:numPr>
          <w:ilvl w:val="0"/>
          <w:numId w:val="1"/>
        </w:numPr>
        <w:suppressLineNumbers w:val="0"/>
        <w:spacing w:before="0" w:beforeAutospacing="0" w:after="0" w:afterAutospacing="0"/>
        <w:ind w:left="0" w:right="0" w:firstLine="0"/>
        <w:rPr>
          <w:rFonts w:hint="default"/>
          <w:lang w:val="en-US" w:eastAsia="zh-CN"/>
        </w:rPr>
      </w:pPr>
      <w:r>
        <w:rPr>
          <w:rFonts w:hint="default"/>
          <w:lang w:val="en-US" w:eastAsia="zh-CN"/>
        </w:rPr>
        <w:t>推断场景布局的第一阶段由两个子网络组成，即DepthNet和PoseNet。深度图和相机姿势分别回归并融合以产生刚性流动。</w:t>
      </w:r>
    </w:p>
    <w:p>
      <w:pPr>
        <w:pStyle w:val="3"/>
        <w:keepNext w:val="0"/>
        <w:keepLines w:val="0"/>
        <w:widowControl/>
        <w:numPr>
          <w:ilvl w:val="0"/>
          <w:numId w:val="1"/>
        </w:numPr>
        <w:suppressLineNumbers w:val="0"/>
        <w:spacing w:before="0" w:beforeAutospacing="0" w:after="0" w:afterAutospacing="0"/>
        <w:ind w:left="0" w:right="0" w:firstLine="0"/>
        <w:rPr>
          <w:rFonts w:hint="default"/>
          <w:lang w:val="en-US" w:eastAsia="zh-CN"/>
        </w:rPr>
      </w:pPr>
      <w:r>
        <w:rPr>
          <w:rFonts w:hint="default"/>
          <w:lang w:val="en-US" w:eastAsia="zh-CN"/>
        </w:rPr>
        <w:t>Res-FlowNet完成第二阶段以处理动态对象。ResFlowNet学习的残余非刚性流与刚性流相结合，得出最终流量预测。</w:t>
      </w:r>
    </w:p>
    <w:p>
      <w:pPr>
        <w:pStyle w:val="3"/>
        <w:keepNext w:val="0"/>
        <w:keepLines w:val="0"/>
        <w:widowControl/>
        <w:numPr>
          <w:ilvl w:val="0"/>
          <w:numId w:val="1"/>
        </w:numPr>
        <w:suppressLineNumbers w:val="0"/>
        <w:spacing w:before="0" w:beforeAutospacing="0" w:after="0" w:afterAutospacing="0"/>
        <w:ind w:left="0" w:right="0" w:firstLine="0"/>
        <w:rPr>
          <w:rFonts w:hint="default"/>
          <w:lang w:val="en-US" w:eastAsia="zh-CN"/>
        </w:rPr>
      </w:pPr>
      <w:r>
        <w:rPr>
          <w:rFonts w:hint="default"/>
          <w:lang w:val="en-US" w:eastAsia="zh-CN"/>
        </w:rPr>
        <w:t>的每个子网都针对特定的子任务，因此将复杂的场景几何理解目标分解为一些更简单的子任务。在不同阶段查看综合作为我们无监督学习范式的基本监督</w:t>
      </w:r>
      <w:r>
        <w:rPr>
          <w:rFonts w:hint="eastAsia"/>
          <w:lang w:val="en-US" w:eastAsia="zh-CN"/>
        </w:rPr>
        <w:t>。</w:t>
      </w:r>
    </w:p>
    <w:p>
      <w:pPr>
        <w:pStyle w:val="3"/>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p>
    <w:p>
      <w:pPr>
        <w:pStyle w:val="3"/>
        <w:keepNext w:val="0"/>
        <w:keepLines w:val="0"/>
        <w:widowControl/>
        <w:numPr>
          <w:ilvl w:val="0"/>
          <w:numId w:val="0"/>
        </w:numPr>
        <w:suppressLineNumbers w:val="0"/>
        <w:spacing w:before="0" w:beforeAutospacing="0" w:after="0" w:afterAutospacing="0"/>
        <w:ind w:leftChars="0" w:right="0" w:rightChars="0"/>
        <w:rPr>
          <w:rFonts w:hint="default"/>
          <w:lang w:val="en-US" w:eastAsia="zh-CN"/>
        </w:rPr>
      </w:pPr>
      <w:r>
        <w:rPr>
          <w:rFonts w:hint="eastAsia"/>
          <w:lang w:val="en-US" w:eastAsia="zh-CN"/>
        </w:rPr>
        <w:t>刚性结构重构器</w:t>
      </w:r>
    </w:p>
    <w:p>
      <w:pPr>
        <w:pStyle w:val="3"/>
        <w:keepNext w:val="0"/>
        <w:keepLines w:val="0"/>
        <w:widowControl/>
        <w:suppressLineNumbers w:val="0"/>
        <w:spacing w:before="0" w:beforeAutospacing="0" w:after="0" w:afterAutospacing="0"/>
        <w:ind w:left="0" w:right="0" w:firstLine="0"/>
        <w:rPr>
          <w:rFonts w:hint="default"/>
          <w:lang w:val="en-US" w:eastAsia="zh-CN"/>
        </w:rPr>
      </w:pPr>
      <w:r>
        <w:rPr>
          <w:rFonts w:hint="default"/>
          <w:lang w:val="en-US" w:eastAsia="zh-CN"/>
        </w:rPr>
        <w:t>深度估计网络输入为单幅图像，输出为其对应的深度图。姿态估计网络输入为整个图像序列，直接回归出每一个时刻的相机位姿。这两个网络组成了静态场景重构器。其监督信息为像素一致性。</w:t>
      </w:r>
    </w:p>
    <w:p>
      <w:pPr>
        <w:pStyle w:val="3"/>
        <w:keepNext w:val="0"/>
        <w:keepLines w:val="0"/>
        <w:widowControl/>
        <w:suppressLineNumbers w:val="0"/>
        <w:spacing w:before="0" w:beforeAutospacing="0" w:after="0" w:afterAutospacing="0"/>
        <w:ind w:left="0" w:right="0" w:firstLine="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591050" cy="485775"/>
            <wp:effectExtent l="0" t="0" r="11430" b="1905"/>
            <wp:docPr id="3" name="图片 3" descr="ae3dca275a21443ca2415ca3834f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e3dca275a21443ca2415ca3834f0007"/>
                    <pic:cNvPicPr>
                      <a:picLocks noChangeAspect="1"/>
                    </pic:cNvPicPr>
                  </pic:nvPicPr>
                  <pic:blipFill>
                    <a:blip r:embed="rId5"/>
                    <a:stretch>
                      <a:fillRect/>
                    </a:stretch>
                  </pic:blipFill>
                  <pic:spPr>
                    <a:xfrm>
                      <a:off x="0" y="0"/>
                      <a:ext cx="4591050" cy="485775"/>
                    </a:xfrm>
                    <a:prstGeom prst="rect">
                      <a:avLst/>
                    </a:prstGeom>
                  </pic:spPr>
                </pic:pic>
              </a:graphicData>
            </a:graphic>
          </wp:inline>
        </w:drawing>
      </w: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通过上式把深度图和位姿</w:t>
      </w:r>
      <w:r>
        <w:rPr>
          <w:rFonts w:hint="default"/>
          <w:lang w:val="en-US" w:eastAsia="zh-CN"/>
        </w:rPr>
        <w:t>能够生成合成的视图，将其与真实视图做比较，就得到了监督信息</w:t>
      </w:r>
      <w:r>
        <w:rPr>
          <w:rFonts w:hint="eastAsia"/>
          <w:lang w:val="en-US" w:eastAsia="zh-CN"/>
        </w:rPr>
        <w:t>。</w:t>
      </w: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default"/>
          <w:lang w:val="en-US" w:eastAsia="zh-CN"/>
        </w:rPr>
        <w:t>为了使得深度估计对运动物体和遮挡物体更加鲁棒，采用如下的误差函数</w:t>
      </w:r>
      <w:r>
        <w:rPr>
          <w:rFonts w:hint="eastAsia"/>
          <w:lang w:val="en-US" w:eastAsia="zh-CN"/>
        </w:rPr>
        <w:t>：</w:t>
      </w:r>
    </w:p>
    <w:p>
      <w:pPr>
        <w:pStyle w:val="3"/>
        <w:keepNext w:val="0"/>
        <w:keepLines w:val="0"/>
        <w:widowControl/>
        <w:suppressLineNumbers w:val="0"/>
        <w:spacing w:before="0" w:beforeAutospacing="0" w:after="0" w:afterAutospacing="0"/>
        <w:ind w:left="0" w:right="0" w:firstLine="0"/>
        <w:rPr>
          <w:rFonts w:hint="eastAsia"/>
          <w:b w:val="0"/>
          <w:bCs w:val="0"/>
          <w:lang w:val="en-US" w:eastAsia="zh-CN"/>
        </w:rPr>
      </w:pPr>
      <w:r>
        <w:rPr>
          <w:rFonts w:ascii="&amp;quot" w:hAnsi="&amp;quot" w:eastAsia="&amp;quot" w:cs="&amp;quot"/>
          <w:i w:val="0"/>
          <w:caps w:val="0"/>
          <w:color w:val="191919"/>
          <w:spacing w:val="0"/>
          <w:sz w:val="19"/>
          <w:szCs w:val="19"/>
          <w:u w:val="none"/>
        </w:rPr>
        <w:drawing>
          <wp:inline distT="0" distB="0" distL="114300" distR="114300">
            <wp:extent cx="6096000" cy="847725"/>
            <wp:effectExtent l="0" t="0" r="0"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6096000" cy="847725"/>
                    </a:xfrm>
                    <a:prstGeom prst="rect">
                      <a:avLst/>
                    </a:prstGeom>
                    <a:noFill/>
                    <a:ln w="9525">
                      <a:noFill/>
                    </a:ln>
                  </pic:spPr>
                </pic:pic>
              </a:graphicData>
            </a:graphic>
          </wp:inline>
        </w:drawing>
      </w:r>
    </w:p>
    <w:p>
      <w:pPr>
        <w:numPr>
          <w:ilvl w:val="0"/>
          <w:numId w:val="0"/>
        </w:numPr>
        <w:rPr>
          <w:rFonts w:hint="default" w:ascii="&amp;quot" w:hAnsi="&amp;quot" w:eastAsia="&amp;quot" w:cs="&amp;quot"/>
          <w:i w:val="0"/>
          <w:caps w:val="0"/>
          <w:spacing w:val="0"/>
          <w:sz w:val="21"/>
          <w:szCs w:val="21"/>
          <w:u w:val="none"/>
        </w:rPr>
      </w:pPr>
      <w:r>
        <w:rPr>
          <w:rFonts w:ascii="&amp;quot" w:hAnsi="&amp;quot" w:eastAsia="&amp;quot" w:cs="&amp;quot"/>
          <w:i w:val="0"/>
          <w:caps w:val="0"/>
          <w:spacing w:val="0"/>
          <w:sz w:val="21"/>
          <w:szCs w:val="21"/>
          <w:u w:val="none"/>
        </w:rPr>
        <w:t>其中SSIM表示结构相似性指数和</w:t>
      </w:r>
      <w:r>
        <w:rPr>
          <w:rFonts w:hint="default" w:ascii="&amp;quot" w:hAnsi="&amp;quot" w:eastAsia="&amp;quot" w:cs="&amp;quot"/>
          <w:i w:val="0"/>
          <w:caps w:val="0"/>
          <w:spacing w:val="0"/>
          <w:sz w:val="21"/>
          <w:szCs w:val="21"/>
          <w:u w:val="none"/>
        </w:rPr>
        <w:t>通过交叉验证α取0.85。</w:t>
      </w:r>
      <w:r>
        <w:rPr>
          <w:rFonts w:ascii="Arial" w:hAnsi="Arial" w:eastAsia="Arial" w:cs="Arial"/>
          <w:i w:val="0"/>
          <w:caps w:val="0"/>
          <w:spacing w:val="0"/>
          <w:sz w:val="21"/>
          <w:szCs w:val="21"/>
          <w:u w:val="none"/>
        </w:rPr>
        <w:t xml:space="preserve"> </w:t>
      </w:r>
      <w:r>
        <w:rPr>
          <w:rFonts w:hint="default" w:ascii="&amp;quot" w:hAnsi="&amp;quot" w:eastAsia="&amp;quot" w:cs="&amp;quot"/>
          <w:i w:val="0"/>
          <w:caps w:val="0"/>
          <w:spacing w:val="0"/>
          <w:sz w:val="21"/>
          <w:szCs w:val="21"/>
          <w:u w:val="none"/>
        </w:rPr>
        <w:t>除了刚性翘曲损失Lrw，过滤掉错误的预测并保留清晰的细节，我们引入了边缘感知深度平滑度损失Lds由图像梯度加权</w:t>
      </w:r>
    </w:p>
    <w:p>
      <w:pPr>
        <w:numPr>
          <w:ilvl w:val="0"/>
          <w:numId w:val="0"/>
        </w:numPr>
        <w:rPr>
          <w:rFonts w:hint="eastAsia"/>
          <w:b w:val="0"/>
          <w:bCs w:val="0"/>
          <w:lang w:val="en-US" w:eastAsia="zh-CN"/>
        </w:rPr>
      </w:pPr>
      <w:r>
        <w:rPr>
          <w:rFonts w:ascii="&amp;quot" w:hAnsi="&amp;quot" w:eastAsia="&amp;quot" w:cs="&amp;quot"/>
          <w:i w:val="0"/>
          <w:caps w:val="0"/>
          <w:color w:val="191919"/>
          <w:spacing w:val="0"/>
          <w:sz w:val="19"/>
          <w:szCs w:val="19"/>
          <w:u w:val="none"/>
        </w:rPr>
        <w:drawing>
          <wp:inline distT="0" distB="0" distL="114300" distR="114300">
            <wp:extent cx="4429125" cy="914400"/>
            <wp:effectExtent l="0" t="0" r="5715"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4429125" cy="914400"/>
                    </a:xfrm>
                    <a:prstGeom prst="rect">
                      <a:avLst/>
                    </a:prstGeom>
                    <a:noFill/>
                    <a:ln w="9525">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运动物体定位器：</w:t>
      </w:r>
    </w:p>
    <w:p>
      <w:pPr>
        <w:numPr>
          <w:ilvl w:val="0"/>
          <w:numId w:val="0"/>
        </w:numPr>
        <w:rPr>
          <w:rFonts w:hint="eastAsia"/>
          <w:b w:val="0"/>
          <w:bCs w:val="0"/>
          <w:lang w:val="en-US" w:eastAsia="zh-CN"/>
        </w:rPr>
      </w:pPr>
      <w:r>
        <w:rPr>
          <w:rFonts w:hint="eastAsia"/>
          <w:b w:val="0"/>
          <w:bCs w:val="0"/>
          <w:lang w:val="en-US" w:eastAsia="zh-CN"/>
        </w:rPr>
        <w:t>第一阶段得到的结果作为初始值（将深度图和相机位姿转换为光流图），得到完整的光流图。本阶段的监督信息与上一阶段类似，只需将深度图和姿态的得到的合成视图替换为光流图得到的合成视图，将深度图的平滑替换为光流的平滑约束。</w:t>
      </w:r>
    </w:p>
    <w:p>
      <w:pPr>
        <w:numPr>
          <w:ilvl w:val="0"/>
          <w:numId w:val="0"/>
        </w:numPr>
        <w:rPr>
          <w:rFonts w:hint="default"/>
          <w:b w:val="0"/>
          <w:bCs w:val="0"/>
          <w:lang w:val="en-US" w:eastAsia="zh-CN"/>
        </w:rPr>
      </w:pPr>
      <w:r>
        <w:rPr>
          <w:rFonts w:hint="default"/>
          <w:b w:val="0"/>
          <w:bCs w:val="0"/>
          <w:lang w:val="en-US" w:eastAsia="zh-CN"/>
        </w:rPr>
        <w:t>ResFlowNet运动定位器只关注其他非刚性残留物，Res-FlowNet不仅可以在动态中纠正错误的预测对象，但也从第一阶段细化不完美的结果</w:t>
      </w:r>
      <w:r>
        <w:rPr>
          <w:rFonts w:hint="eastAsia"/>
          <w:b w:val="0"/>
          <w:bCs w:val="0"/>
          <w:lang w:val="en-US" w:eastAsia="zh-CN"/>
        </w:rPr>
        <w:t>。</w:t>
      </w:r>
      <w:r>
        <w:rPr>
          <w:rFonts w:hint="default"/>
          <w:b w:val="0"/>
          <w:bCs w:val="0"/>
          <w:lang w:val="en-US" w:eastAsia="zh-CN"/>
        </w:rPr>
        <w:t>得益于我们的端到端学习协议，这可能是由高饱和度和极端光照条件引起的。</w:t>
      </w:r>
    </w:p>
    <w:p>
      <w:pPr>
        <w:numPr>
          <w:ilvl w:val="0"/>
          <w:numId w:val="0"/>
        </w:numPr>
        <w:rPr>
          <w:rFonts w:hint="default"/>
          <w:b w:val="0"/>
          <w:bCs w:val="0"/>
          <w:lang w:val="en-US" w:eastAsia="zh-CN"/>
        </w:rPr>
      </w:pPr>
    </w:p>
    <w:p>
      <w:pPr>
        <w:numPr>
          <w:ilvl w:val="0"/>
          <w:numId w:val="0"/>
        </w:numPr>
        <w:rPr>
          <w:spacing w:val="-3"/>
        </w:rPr>
      </w:pPr>
      <w:r>
        <w:rPr>
          <w:spacing w:val="-3"/>
        </w:rPr>
        <w:t>前向一致性检查</w:t>
      </w:r>
    </w:p>
    <w:p>
      <w:pPr>
        <w:numPr>
          <w:ilvl w:val="0"/>
          <w:numId w:val="0"/>
        </w:numPr>
        <w:rPr>
          <w:rFonts w:hint="default"/>
          <w:spacing w:val="-3"/>
          <w:lang w:val="en-US" w:eastAsia="zh-CN"/>
        </w:rPr>
      </w:pPr>
      <w:r>
        <w:rPr>
          <w:rFonts w:hint="default"/>
          <w:spacing w:val="-3"/>
          <w:lang w:val="en-US" w:eastAsia="zh-CN"/>
        </w:rPr>
        <w:t>GeoNet采用刚性结构重建器作为静态场景，非刚性运动定位器作为动态对象的补偿。两个阶段都利用视图合成目标作为监督，隐含的光度一致性假设。</w:t>
      </w:r>
    </w:p>
    <w:p>
      <w:pPr>
        <w:numPr>
          <w:ilvl w:val="0"/>
          <w:numId w:val="0"/>
        </w:numPr>
        <w:rPr>
          <w:rFonts w:hint="default" w:ascii="&amp;quot" w:hAnsi="&amp;quot" w:eastAsia="&amp;quot" w:cs="&amp;quot"/>
          <w:i w:val="0"/>
          <w:caps w:val="0"/>
          <w:spacing w:val="0"/>
          <w:sz w:val="21"/>
          <w:szCs w:val="21"/>
          <w:u w:val="none"/>
        </w:rPr>
      </w:pPr>
      <w:r>
        <w:rPr>
          <w:rFonts w:ascii="&amp;quot" w:hAnsi="&amp;quot" w:eastAsia="&amp;quot" w:cs="&amp;quot"/>
          <w:i w:val="0"/>
          <w:caps w:val="0"/>
          <w:spacing w:val="0"/>
          <w:sz w:val="21"/>
          <w:szCs w:val="21"/>
          <w:u w:val="none"/>
        </w:rPr>
        <w:t>一致性约束</w:t>
      </w:r>
      <w:r>
        <w:rPr>
          <w:rFonts w:hint="default" w:ascii="&amp;quot" w:hAnsi="&amp;quot" w:eastAsia="&amp;quot" w:cs="&amp;quot"/>
          <w:i w:val="0"/>
          <w:caps w:val="0"/>
          <w:spacing w:val="0"/>
          <w:sz w:val="21"/>
          <w:szCs w:val="21"/>
          <w:u w:val="none"/>
        </w:rPr>
        <w:t>不应在封闭区域施加翘曲损失。</w:t>
      </w:r>
      <w:r>
        <w:rPr>
          <w:rFonts w:hint="eastAsia" w:ascii="&amp;quot" w:hAnsi="&amp;quot" w:eastAsia="宋体" w:cs="&amp;quot"/>
          <w:i w:val="0"/>
          <w:caps w:val="0"/>
          <w:spacing w:val="0"/>
          <w:sz w:val="21"/>
          <w:szCs w:val="21"/>
          <w:u w:val="none"/>
          <w:lang w:val="en-US" w:eastAsia="zh-CN"/>
        </w:rPr>
        <w:t>文章中</w:t>
      </w:r>
      <w:r>
        <w:rPr>
          <w:rFonts w:hint="default" w:ascii="&amp;quot" w:hAnsi="&amp;quot" w:eastAsia="&amp;quot" w:cs="&amp;quot"/>
          <w:i w:val="0"/>
          <w:caps w:val="0"/>
          <w:spacing w:val="0"/>
          <w:sz w:val="21"/>
          <w:szCs w:val="21"/>
          <w:u w:val="none"/>
        </w:rPr>
        <w:t>优化了最终运动场的自适应一致性损失。</w:t>
      </w:r>
    </w:p>
    <w:p>
      <w:pPr>
        <w:numPr>
          <w:ilvl w:val="0"/>
          <w:numId w:val="0"/>
        </w:numPr>
        <w:rPr>
          <w:rFonts w:ascii="&amp;quot" w:hAnsi="&amp;quot" w:eastAsia="&amp;quot" w:cs="&amp;quot"/>
          <w:i w:val="0"/>
          <w:caps w:val="0"/>
          <w:color w:val="191919"/>
          <w:spacing w:val="0"/>
          <w:sz w:val="19"/>
          <w:szCs w:val="19"/>
          <w:u w:val="none"/>
        </w:rPr>
      </w:pPr>
      <w:r>
        <w:rPr>
          <w:rFonts w:ascii="&amp;quot" w:hAnsi="&amp;quot" w:eastAsia="&amp;quot" w:cs="&amp;quot"/>
          <w:i w:val="0"/>
          <w:caps w:val="0"/>
          <w:color w:val="191919"/>
          <w:spacing w:val="0"/>
          <w:sz w:val="19"/>
          <w:szCs w:val="19"/>
          <w:u w:val="none"/>
        </w:rPr>
        <w:drawing>
          <wp:inline distT="0" distB="0" distL="114300" distR="114300">
            <wp:extent cx="5019675" cy="590550"/>
            <wp:effectExtent l="0" t="0" r="9525" b="381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019675" cy="590550"/>
                    </a:xfrm>
                    <a:prstGeom prst="rect">
                      <a:avLst/>
                    </a:prstGeom>
                    <a:noFill/>
                    <a:ln w="9525">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如果同一点在前项通道和后向通道的取值相差太大，那么认为该点很可能是野点。</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2.损失函数</w:t>
      </w:r>
    </w:p>
    <w:p>
      <w:pPr>
        <w:pStyle w:val="3"/>
        <w:keepNext w:val="0"/>
        <w:keepLines w:val="0"/>
        <w:widowControl/>
        <w:suppressLineNumbers w:val="0"/>
        <w:spacing w:before="0" w:beforeAutospacing="0" w:after="0" w:afterAutospacing="0"/>
        <w:ind w:left="0" w:right="0" w:firstLine="0"/>
        <w:rPr>
          <w:rFonts w:hint="eastAsia" w:eastAsiaTheme="minorEastAsia"/>
          <w:lang w:eastAsia="zh-CN"/>
        </w:rPr>
      </w:pPr>
    </w:p>
    <w:p>
      <w:pPr>
        <w:pStyle w:val="3"/>
        <w:keepNext w:val="0"/>
        <w:keepLines w:val="0"/>
        <w:widowControl/>
        <w:suppressLineNumbers w:val="0"/>
        <w:spacing w:before="0" w:beforeAutospacing="0" w:after="0" w:afterAutospacing="0"/>
        <w:ind w:left="0" w:right="0" w:firstLine="0"/>
        <w:rPr>
          <w:b w:val="0"/>
          <w:bCs w:val="0"/>
        </w:rPr>
      </w:pPr>
      <w:r>
        <w:rPr>
          <w:rFonts w:ascii="&amp;quot" w:hAnsi="&amp;quot" w:eastAsia="&amp;quot" w:cs="&amp;quot"/>
          <w:i w:val="0"/>
          <w:caps w:val="0"/>
          <w:color w:val="191919"/>
          <w:spacing w:val="0"/>
          <w:sz w:val="19"/>
          <w:szCs w:val="19"/>
          <w:u w:val="none"/>
        </w:rPr>
        <w:drawing>
          <wp:inline distT="0" distB="0" distL="114300" distR="114300">
            <wp:extent cx="6096000" cy="781050"/>
            <wp:effectExtent l="0" t="0" r="0" b="1143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6096000" cy="781050"/>
                    </a:xfrm>
                    <a:prstGeom prst="rect">
                      <a:avLst/>
                    </a:prstGeom>
                    <a:noFill/>
                    <a:ln w="9525">
                      <a:noFill/>
                    </a:ln>
                  </pic:spPr>
                </pic:pic>
              </a:graphicData>
            </a:graphic>
          </wp:inline>
        </w:drawing>
      </w:r>
    </w:p>
    <w:p>
      <w:pPr>
        <w:pStyle w:val="3"/>
        <w:keepNext w:val="0"/>
        <w:keepLines w:val="0"/>
        <w:widowControl/>
        <w:numPr>
          <w:ilvl w:val="0"/>
          <w:numId w:val="0"/>
        </w:numPr>
        <w:suppressLineNumbers w:val="0"/>
        <w:spacing w:before="0" w:beforeAutospacing="0" w:after="0" w:afterAutospacing="0"/>
        <w:ind w:leftChars="0" w:right="0" w:rightChars="0"/>
        <w:rPr>
          <w:b w:val="0"/>
          <w:bCs w:val="0"/>
        </w:rPr>
      </w:pPr>
    </w:p>
    <w:p>
      <w:pPr>
        <w:numPr>
          <w:ilvl w:val="0"/>
          <w:numId w:val="0"/>
        </w:numPr>
        <w:rPr>
          <w:rFonts w:hint="default"/>
          <w:b w:val="0"/>
          <w:bCs w:val="0"/>
          <w:lang w:val="en-US" w:eastAsia="zh-CN"/>
        </w:rPr>
      </w:pPr>
    </w:p>
    <w:p>
      <w:pPr>
        <w:rPr>
          <w:rFonts w:hint="eastAsia"/>
          <w:lang w:val="en-US" w:eastAsia="zh-CN"/>
        </w:rPr>
      </w:pPr>
      <w:r>
        <w:rPr>
          <w:rFonts w:hint="eastAsia"/>
          <w:b/>
          <w:bCs/>
          <w:lang w:val="en-US" w:eastAsia="zh-CN"/>
        </w:rPr>
        <w:t>实验与结果</w:t>
      </w:r>
      <w:r>
        <w:rPr>
          <w:rFonts w:hint="eastAsia"/>
          <w:lang w:val="en-US" w:eastAsia="zh-CN"/>
        </w:rPr>
        <w:t>：</w:t>
      </w:r>
    </w:p>
    <w:p>
      <w:r>
        <w:drawing>
          <wp:inline distT="0" distB="0" distL="114300" distR="114300">
            <wp:extent cx="5265420" cy="2408555"/>
            <wp:effectExtent l="0" t="0" r="7620"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5420" cy="2408555"/>
                    </a:xfrm>
                    <a:prstGeom prst="rect">
                      <a:avLst/>
                    </a:prstGeom>
                    <a:noFill/>
                    <a:ln>
                      <a:noFill/>
                    </a:ln>
                  </pic:spPr>
                </pic:pic>
              </a:graphicData>
            </a:graphic>
          </wp:inline>
        </w:drawing>
      </w:r>
    </w:p>
    <w:p>
      <w:pPr>
        <w:pStyle w:val="3"/>
        <w:keepNext w:val="0"/>
        <w:keepLines w:val="0"/>
        <w:widowControl/>
        <w:suppressLineNumbers w:val="0"/>
        <w:rPr>
          <w:color w:val="000000"/>
          <w:sz w:val="21"/>
          <w:szCs w:val="21"/>
        </w:rPr>
      </w:pPr>
      <w:r>
        <w:rPr>
          <w:color w:val="000000"/>
          <w:sz w:val="21"/>
          <w:szCs w:val="21"/>
        </w:rPr>
        <w:t>Eigen等人之间单眼深度估计的比较。[9]（由深度监督），周等人。[56]（无人监督）和我们的（无人监督）。</w:t>
      </w:r>
      <w:r>
        <w:rPr>
          <w:rFonts w:hint="eastAsia"/>
          <w:color w:val="000000"/>
          <w:sz w:val="21"/>
          <w:szCs w:val="21"/>
          <w:lang w:val="en-US" w:eastAsia="zh-CN"/>
        </w:rPr>
        <w:t>文章的</w:t>
      </w:r>
      <w:r>
        <w:rPr>
          <w:color w:val="000000"/>
          <w:sz w:val="21"/>
          <w:szCs w:val="21"/>
        </w:rPr>
        <w:t>方法捕获薄结构的细节，并在近距离和远距离区域保持始终如一的高质量预测。</w:t>
      </w:r>
    </w:p>
    <w:p>
      <w:pPr>
        <w:rPr>
          <w:rFonts w:hint="eastAsia"/>
          <w:lang w:val="en-US" w:eastAsia="zh-CN"/>
        </w:rPr>
      </w:pPr>
    </w:p>
    <w:p>
      <w:pPr>
        <w:rPr>
          <w:rFonts w:hint="eastAsia"/>
          <w:lang w:val="en-US" w:eastAsia="zh-CN"/>
        </w:rPr>
      </w:pPr>
      <w:r>
        <w:rPr>
          <w:rFonts w:ascii="&amp;quot" w:hAnsi="&amp;quot" w:eastAsia="&amp;quot" w:cs="&amp;quot"/>
          <w:i w:val="0"/>
          <w:caps w:val="0"/>
          <w:color w:val="191919"/>
          <w:spacing w:val="0"/>
          <w:sz w:val="19"/>
          <w:szCs w:val="19"/>
          <w:u w:val="none"/>
        </w:rPr>
        <w:drawing>
          <wp:inline distT="0" distB="0" distL="114300" distR="114300">
            <wp:extent cx="6096000" cy="2162175"/>
            <wp:effectExtent l="0" t="0" r="0" b="190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6096000" cy="2162175"/>
                    </a:xfrm>
                    <a:prstGeom prst="rect">
                      <a:avLst/>
                    </a:prstGeom>
                    <a:noFill/>
                    <a:ln w="9525">
                      <a:noFill/>
                    </a:ln>
                  </pic:spPr>
                </pic:pic>
              </a:graphicData>
            </a:graphic>
          </wp:inline>
        </w:drawing>
      </w:r>
    </w:p>
    <w:p>
      <w:pPr>
        <w:rPr>
          <w:rFonts w:hint="default"/>
          <w:lang w:val="en-US" w:eastAsia="zh-CN"/>
        </w:rPr>
      </w:pPr>
      <w:r>
        <w:rPr>
          <w:rFonts w:hint="eastAsia"/>
          <w:lang w:val="en-US" w:eastAsia="zh-CN"/>
        </w:rPr>
        <w:t>文中单目图像的深度估计，以及光流估计、姿态估计三个方面分别设计实验，对算法进行了验证，这里就对深度估计的结果做了分析。</w:t>
      </w:r>
    </w:p>
    <w:p>
      <w:pPr>
        <w:rPr>
          <w:rFonts w:hint="eastAsia"/>
          <w:lang w:val="en-US" w:eastAsia="zh-CN"/>
        </w:rPr>
      </w:pPr>
      <w:r>
        <w:rPr>
          <w:rFonts w:hint="eastAsia"/>
          <w:lang w:val="en-US" w:eastAsia="zh-CN"/>
        </w:rPr>
        <w:t>本文中使用VGG框架仅在KITTI上接受了与“周等人”相同的网络架构但没有BN，这显示了损失函数的有效性。本文的方法明显优于两种监督方法和之前无人监督的工作.图中显示了定性比较，但本文的结果略逊于Godard等人。</w:t>
      </w:r>
    </w:p>
    <w:p>
      <w:pPr>
        <w:rPr>
          <w:rFonts w:hint="eastAsia"/>
          <w:lang w:val="en-US" w:eastAsia="zh-CN"/>
        </w:rPr>
      </w:pPr>
      <w:r>
        <w:rPr>
          <w:rFonts w:hint="eastAsia"/>
          <w:b/>
          <w:bCs/>
          <w:lang w:val="en-US" w:eastAsia="zh-CN"/>
        </w:rPr>
        <w:t>问题</w:t>
      </w:r>
      <w:r>
        <w:rPr>
          <w:rFonts w:hint="eastAsia"/>
          <w:lang w:val="en-US" w:eastAsia="zh-CN"/>
        </w:rPr>
        <w:t>：</w:t>
      </w:r>
    </w:p>
    <w:p>
      <w:pPr>
        <w:rPr>
          <w:rFonts w:hint="default"/>
          <w:color w:val="FF0000"/>
          <w:lang w:val="en-US" w:eastAsia="zh-CN"/>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90094"/>
    <w:multiLevelType w:val="singleLevel"/>
    <w:tmpl w:val="8DB90094"/>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E2E5B"/>
    <w:rsid w:val="02DE2E5B"/>
    <w:rsid w:val="13B0069A"/>
    <w:rsid w:val="43E658DD"/>
    <w:rsid w:val="47290B92"/>
    <w:rsid w:val="51332395"/>
    <w:rsid w:val="56DF10AE"/>
    <w:rsid w:val="645D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0"/>
      <w:szCs w:val="20"/>
      <w:lang w:val="zh-CN" w:eastAsia="zh-CN" w:bidi="zh-CN"/>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2019-03-27T08:02:00Z</dcterms:created>
  <dc:creator>废清</dc:creator>
  <cp:lastModifiedBy>废清</cp:lastModifiedBy>
  <dcterms:modified xsi:type="dcterms:W3CDTF">2019-04-29T09:16:41Z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