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</w:p>
    <w:p>
      <w:pPr>
        <w:jc w:val="center"/>
      </w:pPr>
      <w:r>
        <w:rPr>
          <w:rFonts w:ascii="Calibri" w:hAnsi="Calibri"/>
          <w:b/>
          <w:color w:val="1F2937"/>
          <w:sz w:val="72"/>
        </w:rPr>
        <w:t>AI Use Case Intake</w:t>
      </w:r>
    </w:p>
    <w:p>
      <w:pPr>
        <w:jc w:val="center"/>
      </w:pPr>
      <w:r>
        <w:rPr>
          <w:rFonts w:ascii="Calibri" w:hAnsi="Calibri"/>
          <w:b/>
          <w:color w:val="2563EB"/>
          <w:sz w:val="72"/>
        </w:rPr>
        <w:t>to Go-To-Market</w:t>
      </w:r>
    </w:p>
    <w:p/>
    <w:p>
      <w:pPr>
        <w:jc w:val="center"/>
      </w:pPr>
      <w:r>
        <w:rPr>
          <w:color w:val="2563EB"/>
          <w:sz w:val="28"/>
        </w:rPr>
        <w:t xml:space="preserve">████ </w:t>
      </w:r>
      <w:r>
        <w:rPr>
          <w:color w:val="10B981"/>
          <w:sz w:val="28"/>
        </w:rPr>
        <w:t xml:space="preserve">████ </w:t>
      </w:r>
      <w:r>
        <w:rPr>
          <w:color w:val="F59E0B"/>
          <w:sz w:val="28"/>
        </w:rPr>
        <w:t xml:space="preserve">████ </w:t>
      </w:r>
      <w:r>
        <w:rPr>
          <w:color w:val="F43F5E"/>
          <w:sz w:val="28"/>
        </w:rPr>
        <w:t xml:space="preserve">████ </w:t>
      </w:r>
      <w:r>
        <w:rPr>
          <w:color w:val="8B5CF6"/>
          <w:sz w:val="28"/>
        </w:rPr>
        <w:t xml:space="preserve">████ </w:t>
      </w:r>
      <w:r>
        <w:rPr>
          <w:color w:val="06B6D4"/>
          <w:sz w:val="28"/>
        </w:rPr>
        <w:t xml:space="preserve">████ </w:t>
      </w:r>
      <w:r>
        <w:rPr>
          <w:color w:val="F97316"/>
          <w:sz w:val="28"/>
        </w:rPr>
        <w:t xml:space="preserve">████ </w:t>
      </w:r>
      <w:r>
        <w:rPr>
          <w:color w:val="14B8A6"/>
          <w:sz w:val="28"/>
        </w:rPr>
        <w:t xml:space="preserve">████ </w:t>
      </w:r>
    </w:p>
    <w:p/>
    <w:p>
      <w:pPr>
        <w:jc w:val="center"/>
      </w:pPr>
      <w:r>
        <w:rPr>
          <w:rFonts w:ascii="Calibri" w:hAnsi="Calibri"/>
          <w:color w:val="6B7280"/>
          <w:sz w:val="36"/>
        </w:rPr>
        <w:t>Step-by-Step Guide</w:t>
      </w:r>
    </w:p>
    <w:p/>
    <w:p>
      <w:pPr>
        <w:jc w:val="center"/>
      </w:pPr>
      <w:r>
        <w:rPr>
          <w:rFonts w:ascii="Calibri" w:hAnsi="Calibri"/>
          <w:color w:val="9CA3AF"/>
          <w:sz w:val="24"/>
        </w:rPr>
        <w:t>8 steps from ideation to launch</w:t>
        <w:br/>
        <w:t>Who does what at every stage</w:t>
      </w:r>
    </w:p>
    <w:p/>
    <w:p/>
    <w:p/>
    <w:p/>
    <w:p>
      <w:pPr>
        <w:jc w:val="center"/>
      </w:pPr>
      <w:r>
        <w:rPr>
          <w:b/>
          <w:color w:val="1F2937"/>
          <w:sz w:val="28"/>
        </w:rPr>
        <w:t>Global GenAI Lab</w:t>
      </w:r>
    </w:p>
    <w:p>
      <w:pPr>
        <w:jc w:val="center"/>
      </w:pPr>
      <w:r>
        <w:rPr>
          <w:color w:val="9CA3AF"/>
          <w:sz w:val="22"/>
        </w:rPr>
        <w:t>April 2026</w:t>
      </w:r>
    </w:p>
    <w:p>
      <w:r>
        <w:br w:type="page"/>
      </w:r>
    </w:p>
    <w:p>
      <w:pPr>
        <w:pStyle w:val="Heading1"/>
      </w:pPr>
      <w:r>
        <w:rPr>
          <w:color w:val="1F2937"/>
        </w:rPr>
        <w:t>Table of Contents</w:t>
      </w:r>
    </w:p>
    <w:p/>
    <w:p>
      <w:pPr>
        <w:spacing w:after="60"/>
      </w:pPr>
      <w:r>
        <w:rPr>
          <w:rFonts w:ascii="Calibri" w:hAnsi="Calibri"/>
          <w:b/>
          <w:color w:val="2563EB"/>
          <w:sz w:val="26"/>
        </w:rPr>
        <w:t xml:space="preserve">  1.  </w:t>
      </w:r>
      <w:r>
        <w:rPr>
          <w:rFonts w:ascii="Calibri" w:hAnsi="Calibri"/>
          <w:color w:val="1F2937"/>
          <w:sz w:val="24"/>
        </w:rPr>
        <w:t>Identify &amp; Generate AI Use Cases</w:t>
      </w:r>
      <w:r>
        <w:rPr>
          <w:rFonts w:ascii="Calibri" w:hAnsi="Calibri"/>
          <w:color w:val="2563EB"/>
          <w:sz w:val="18"/>
        </w:rPr>
        <w:t xml:space="preserve">   Ideation</w:t>
      </w:r>
    </w:p>
    <w:p>
      <w:pPr>
        <w:spacing w:after="60"/>
      </w:pPr>
      <w:r>
        <w:rPr>
          <w:rFonts w:ascii="Calibri" w:hAnsi="Calibri"/>
          <w:b/>
          <w:color w:val="10B981"/>
          <w:sz w:val="26"/>
        </w:rPr>
        <w:t xml:space="preserve">  2.  </w:t>
      </w:r>
      <w:r>
        <w:rPr>
          <w:rFonts w:ascii="Calibri" w:hAnsi="Calibri"/>
          <w:color w:val="1F2937"/>
          <w:sz w:val="24"/>
        </w:rPr>
        <w:t>Submit Use Case Intake</w:t>
      </w:r>
      <w:r>
        <w:rPr>
          <w:rFonts w:ascii="Calibri" w:hAnsi="Calibri"/>
          <w:color w:val="10B981"/>
          <w:sz w:val="18"/>
        </w:rPr>
        <w:t xml:space="preserve">   Intake</w:t>
      </w:r>
    </w:p>
    <w:p>
      <w:pPr>
        <w:spacing w:after="60"/>
      </w:pPr>
      <w:r>
        <w:rPr>
          <w:rFonts w:ascii="Calibri" w:hAnsi="Calibri"/>
          <w:b/>
          <w:color w:val="F59E0B"/>
          <w:sz w:val="26"/>
        </w:rPr>
        <w:t xml:space="preserve">  3.  </w:t>
      </w:r>
      <w:r>
        <w:rPr>
          <w:rFonts w:ascii="Calibri" w:hAnsi="Calibri"/>
          <w:color w:val="1F2937"/>
          <w:sz w:val="24"/>
        </w:rPr>
        <w:t>AI Lab Management Review</w:t>
      </w:r>
      <w:r>
        <w:rPr>
          <w:rFonts w:ascii="Calibri" w:hAnsi="Calibri"/>
          <w:color w:val="F59E0B"/>
          <w:sz w:val="18"/>
        </w:rPr>
        <w:t xml:space="preserve">   Assessment</w:t>
      </w:r>
    </w:p>
    <w:p>
      <w:pPr>
        <w:spacing w:after="60"/>
      </w:pPr>
      <w:r>
        <w:rPr>
          <w:rFonts w:ascii="Calibri" w:hAnsi="Calibri"/>
          <w:i/>
          <w:color w:val="6B7280"/>
          <w:sz w:val="20"/>
        </w:rPr>
        <w:t xml:space="preserve">        ⚠  Release Gate Decision</w:t>
      </w:r>
    </w:p>
    <w:p>
      <w:pPr>
        <w:spacing w:after="60"/>
      </w:pPr>
      <w:r>
        <w:rPr>
          <w:rFonts w:ascii="Calibri" w:hAnsi="Calibri"/>
          <w:b/>
          <w:color w:val="F43F5E"/>
          <w:sz w:val="26"/>
        </w:rPr>
        <w:t xml:space="preserve">  4.  </w:t>
      </w:r>
      <w:r>
        <w:rPr>
          <w:rFonts w:ascii="Calibri" w:hAnsi="Calibri"/>
          <w:color w:val="1F2937"/>
          <w:sz w:val="24"/>
        </w:rPr>
        <w:t>Project Setup &amp; Resource Allocation</w:t>
      </w:r>
      <w:r>
        <w:rPr>
          <w:rFonts w:ascii="Calibri" w:hAnsi="Calibri"/>
          <w:color w:val="F43F5E"/>
          <w:sz w:val="18"/>
        </w:rPr>
        <w:t xml:space="preserve">   Setup</w:t>
      </w:r>
    </w:p>
    <w:p>
      <w:pPr>
        <w:spacing w:after="60"/>
      </w:pPr>
      <w:r>
        <w:rPr>
          <w:rFonts w:ascii="Calibri" w:hAnsi="Calibri"/>
          <w:b/>
          <w:color w:val="8B5CF6"/>
          <w:sz w:val="26"/>
        </w:rPr>
        <w:t xml:space="preserve">  5.  </w:t>
      </w:r>
      <w:r>
        <w:rPr>
          <w:rFonts w:ascii="Calibri" w:hAnsi="Calibri"/>
          <w:color w:val="1F2937"/>
          <w:sz w:val="24"/>
        </w:rPr>
        <w:t>Define the MVP &amp; Build</w:t>
      </w:r>
      <w:r>
        <w:rPr>
          <w:rFonts w:ascii="Calibri" w:hAnsi="Calibri"/>
          <w:color w:val="8B5CF6"/>
          <w:sz w:val="18"/>
        </w:rPr>
        <w:t xml:space="preserve">   Build</w:t>
      </w:r>
    </w:p>
    <w:p>
      <w:pPr>
        <w:spacing w:after="60"/>
      </w:pPr>
      <w:r>
        <w:rPr>
          <w:rFonts w:ascii="Calibri" w:hAnsi="Calibri"/>
          <w:i/>
          <w:color w:val="6B7280"/>
          <w:sz w:val="20"/>
        </w:rPr>
        <w:t xml:space="preserve">        ⚠  Governance Gate</w:t>
      </w:r>
    </w:p>
    <w:p>
      <w:pPr>
        <w:spacing w:after="60"/>
      </w:pPr>
      <w:r>
        <w:rPr>
          <w:rFonts w:ascii="Calibri" w:hAnsi="Calibri"/>
          <w:b/>
          <w:color w:val="06B6D4"/>
          <w:sz w:val="26"/>
        </w:rPr>
        <w:t xml:space="preserve">  6.  </w:t>
      </w:r>
      <w:r>
        <w:rPr>
          <w:rFonts w:ascii="Calibri" w:hAnsi="Calibri"/>
          <w:color w:val="1F2937"/>
          <w:sz w:val="24"/>
        </w:rPr>
        <w:t>GTM Ready: Package the Solution</w:t>
      </w:r>
      <w:r>
        <w:rPr>
          <w:rFonts w:ascii="Calibri" w:hAnsi="Calibri"/>
          <w:color w:val="06B6D4"/>
          <w:sz w:val="18"/>
        </w:rPr>
        <w:t xml:space="preserve">   GTM Ready</w:t>
      </w:r>
    </w:p>
    <w:p>
      <w:pPr>
        <w:spacing w:after="60"/>
      </w:pPr>
      <w:r>
        <w:rPr>
          <w:rFonts w:ascii="Calibri" w:hAnsi="Calibri"/>
          <w:b/>
          <w:color w:val="F97316"/>
          <w:sz w:val="26"/>
        </w:rPr>
        <w:t xml:space="preserve">  7.  </w:t>
      </w:r>
      <w:r>
        <w:rPr>
          <w:rFonts w:ascii="Calibri" w:hAnsi="Calibri"/>
          <w:color w:val="1F2937"/>
          <w:sz w:val="24"/>
        </w:rPr>
        <w:t>GTM Push: Showcase &amp; Sales Activation</w:t>
      </w:r>
      <w:r>
        <w:rPr>
          <w:rFonts w:ascii="Calibri" w:hAnsi="Calibri"/>
          <w:color w:val="F97316"/>
          <w:sz w:val="18"/>
        </w:rPr>
        <w:t xml:space="preserve">   Go-To-Market</w:t>
      </w:r>
    </w:p>
    <w:p>
      <w:pPr>
        <w:spacing w:after="60"/>
      </w:pPr>
      <w:r>
        <w:rPr>
          <w:rFonts w:ascii="Calibri" w:hAnsi="Calibri"/>
          <w:b/>
          <w:color w:val="14B8A6"/>
          <w:sz w:val="26"/>
        </w:rPr>
        <w:t xml:space="preserve">  8.  </w:t>
      </w:r>
      <w:r>
        <w:rPr>
          <w:rFonts w:ascii="Calibri" w:hAnsi="Calibri"/>
          <w:color w:val="1F2937"/>
          <w:sz w:val="24"/>
        </w:rPr>
        <w:t>Track Results &amp; Continuous Improvement</w:t>
      </w:r>
      <w:r>
        <w:rPr>
          <w:rFonts w:ascii="Calibri" w:hAnsi="Calibri"/>
          <w:color w:val="14B8A6"/>
          <w:sz w:val="18"/>
        </w:rPr>
        <w:t xml:space="preserve">   Measure</w:t>
      </w:r>
    </w:p>
    <w:p>
      <w:r>
        <w:br w:type="page"/>
      </w:r>
    </w:p>
    <w:p>
      <w:pPr>
        <w:pStyle w:val="Heading1"/>
      </w:pPr>
      <w:r>
        <w:rPr>
          <w:color w:val="2563EB"/>
        </w:rPr>
        <w:t>Step 1: Identify &amp; Generate AI Use Cases</w:t>
      </w:r>
    </w:p>
    <w:p>
      <w:r>
        <w:rPr>
          <w:rFonts w:ascii="Calibri" w:hAnsi="Calibri"/>
          <w:b/>
          <w:color w:val="2563EB"/>
          <w:sz w:val="18"/>
        </w:rPr>
        <w:t>●  IDEATION</w:t>
      </w:r>
    </w:p>
    <w:p>
      <w:pPr>
        <w:spacing w:before="0" w:after="120"/>
      </w:pPr>
      <w:r>
        <w:rPr>
          <w:color w:val="2563EB"/>
          <w:sz w:val="12"/>
        </w:rPr>
        <w:t>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803"/>
            <w:shd w:fill="2563E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551"/>
            <w:shd w:fill="2563EB"/>
          </w:tcPr>
          <w:p>
            <w:pPr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6803"/>
            <w:shd w:fill="D6E4FF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Talk to your Practice Lead</w:t>
            </w:r>
            <w:r>
              <w:rPr>
                <w:rFonts w:ascii="Calibri" w:hAnsi="Calibri"/>
                <w:sz w:val="20"/>
              </w:rPr>
              <w:t xml:space="preserve"> about client pain points and market gaps</w:t>
            </w:r>
          </w:p>
        </w:tc>
        <w:tc>
          <w:tcPr>
            <w:tcW w:type="dxa" w:w="2551"/>
            <w:shd w:fill="D6E4FF"/>
          </w:tcPr>
          <w:p>
            <w:pPr>
              <w:jc w:val="right"/>
            </w:pPr>
            <w:r>
              <w:rPr>
                <w:rFonts w:ascii="Calibri" w:hAnsi="Calibri"/>
                <w:b/>
                <w:color w:val="2563EB"/>
                <w:sz w:val="18"/>
              </w:rPr>
              <w:t>Practice Lead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Domain Partner elects an AI Champion</w:t>
            </w:r>
            <w:r>
              <w:rPr>
                <w:rFonts w:ascii="Calibri" w:hAnsi="Calibri"/>
                <w:sz w:val="20"/>
              </w:rPr>
              <w:t xml:space="preserve"> to own use case ideation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2563EB"/>
                <w:sz w:val="18"/>
              </w:rPr>
              <w:t>Domain Partner</w:t>
            </w:r>
          </w:p>
        </w:tc>
      </w:tr>
      <w:tr>
        <w:tc>
          <w:tcPr>
            <w:tcW w:type="dxa" w:w="6803"/>
            <w:shd w:fill="D6E4FF"/>
          </w:tcPr>
          <w:p>
            <w:r>
              <w:rPr>
                <w:rFonts w:ascii="Calibri" w:hAnsi="Calibri"/>
                <w:sz w:val="20"/>
              </w:rPr>
              <w:t>Brainstorm from in-flight projects, client conversations &amp; market demand</w:t>
            </w:r>
          </w:p>
        </w:tc>
        <w:tc>
          <w:tcPr>
            <w:tcW w:type="dxa" w:w="2551"/>
            <w:shd w:fill="D6E4FF"/>
          </w:tcPr>
          <w:p>
            <w:pPr>
              <w:jc w:val="right"/>
            </w:pPr>
            <w:r>
              <w:rPr>
                <w:rFonts w:ascii="Calibri" w:hAnsi="Calibri"/>
                <w:b/>
                <w:color w:val="2563EB"/>
                <w:sz w:val="18"/>
              </w:rPr>
              <w:t>AI Champion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Check </w:t>
            </w:r>
            <w:r>
              <w:rPr>
                <w:rFonts w:ascii="Calibri" w:hAnsi="Calibri"/>
                <w:b/>
                <w:sz w:val="20"/>
              </w:rPr>
              <w:t>Global Demo Catalog</w:t>
            </w:r>
            <w:r>
              <w:rPr>
                <w:rFonts w:ascii="Calibri" w:hAnsi="Calibri"/>
                <w:sz w:val="20"/>
              </w:rPr>
              <w:t xml:space="preserve"> (79+ solutions, 10 domains) to avoid duplication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2563EB"/>
                <w:sz w:val="18"/>
              </w:rPr>
              <w:t>AI Champion</w:t>
            </w:r>
          </w:p>
        </w:tc>
      </w:tr>
      <w:tr>
        <w:tc>
          <w:tcPr>
            <w:tcW w:type="dxa" w:w="6803"/>
            <w:shd w:fill="D6E4FF"/>
          </w:tcPr>
          <w:p>
            <w:r>
              <w:rPr>
                <w:rFonts w:ascii="Calibri" w:hAnsi="Calibri"/>
                <w:sz w:val="20"/>
              </w:rPr>
              <w:t xml:space="preserve">Identify </w:t>
            </w:r>
            <w:r>
              <w:rPr>
                <w:rFonts w:ascii="Calibri" w:hAnsi="Calibri"/>
                <w:b/>
                <w:sz w:val="20"/>
              </w:rPr>
              <w:t>AI Infusion</w:t>
            </w:r>
            <w:r>
              <w:rPr>
                <w:rFonts w:ascii="Calibri" w:hAnsi="Calibri"/>
                <w:sz w:val="20"/>
              </w:rPr>
              <w:t xml:space="preserve"> opportunities in current fixed-fee projects</w:t>
            </w:r>
          </w:p>
        </w:tc>
        <w:tc>
          <w:tcPr>
            <w:tcW w:type="dxa" w:w="2551"/>
            <w:shd w:fill="D6E4FF"/>
          </w:tcPr>
          <w:p>
            <w:pPr>
              <w:jc w:val="right"/>
            </w:pPr>
            <w:r>
              <w:rPr>
                <w:rFonts w:ascii="Calibri" w:hAnsi="Calibri"/>
                <w:b/>
                <w:color w:val="2563EB"/>
                <w:sz w:val="18"/>
              </w:rPr>
              <w:t>AI Infusion Champion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0B981"/>
        </w:rPr>
        <w:t>Step 2: Submit Use Case Intake</w:t>
      </w:r>
    </w:p>
    <w:p>
      <w:r>
        <w:rPr>
          <w:rFonts w:ascii="Calibri" w:hAnsi="Calibri"/>
          <w:b/>
          <w:color w:val="10B981"/>
          <w:sz w:val="18"/>
        </w:rPr>
        <w:t>●  INTAKE</w:t>
      </w:r>
    </w:p>
    <w:p>
      <w:pPr>
        <w:spacing w:before="0" w:after="120"/>
      </w:pPr>
      <w:r>
        <w:rPr>
          <w:color w:val="10B981"/>
          <w:sz w:val="12"/>
        </w:rPr>
        <w:t>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803"/>
            <w:shd w:fill="10B981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551"/>
            <w:shd w:fill="10B981"/>
          </w:tcPr>
          <w:p>
            <w:pPr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6803"/>
            <w:shd w:fill="D1FAE5"/>
          </w:tcPr>
          <w:p>
            <w:r>
              <w:rPr>
                <w:rFonts w:ascii="Calibri" w:hAnsi="Calibri"/>
                <w:sz w:val="20"/>
              </w:rPr>
              <w:t xml:space="preserve">Complete </w:t>
            </w:r>
            <w:r>
              <w:rPr>
                <w:rFonts w:ascii="Calibri" w:hAnsi="Calibri"/>
                <w:b/>
                <w:sz w:val="20"/>
              </w:rPr>
              <w:t>AI Use-Case Intake Form</w:t>
            </w:r>
            <w:r>
              <w:rPr>
                <w:rFonts w:ascii="Calibri" w:hAnsi="Calibri"/>
                <w:sz w:val="20"/>
              </w:rPr>
              <w:t xml:space="preserve"> (one row per use case)</w:t>
            </w:r>
          </w:p>
        </w:tc>
        <w:tc>
          <w:tcPr>
            <w:tcW w:type="dxa" w:w="2551"/>
            <w:shd w:fill="D1FAE5"/>
          </w:tcPr>
          <w:p>
            <w:pPr>
              <w:jc w:val="right"/>
            </w:pPr>
            <w:r>
              <w:rPr>
                <w:rFonts w:ascii="Calibri" w:hAnsi="Calibri"/>
                <w:b/>
                <w:color w:val="10B981"/>
                <w:sz w:val="18"/>
              </w:rPr>
              <w:t>AI Champion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What is the pain/problem?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10B981"/>
                <w:sz w:val="18"/>
              </w:rPr>
              <w:t>AI Champion</w:t>
            </w:r>
          </w:p>
        </w:tc>
      </w:tr>
      <w:tr>
        <w:tc>
          <w:tcPr>
            <w:tcW w:type="dxa" w:w="6803"/>
            <w:shd w:fill="D1FAE5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Who feels the pain?</w:t>
            </w:r>
            <w:r>
              <w:rPr>
                <w:rFonts w:ascii="Calibri" w:hAnsi="Calibri"/>
                <w:sz w:val="20"/>
              </w:rPr>
              <w:t xml:space="preserve"> (user, buyer, team)</w:t>
            </w:r>
          </w:p>
        </w:tc>
        <w:tc>
          <w:tcPr>
            <w:tcW w:type="dxa" w:w="2551"/>
            <w:shd w:fill="D1FAE5"/>
          </w:tcPr>
          <w:p>
            <w:pPr>
              <w:jc w:val="right"/>
            </w:pPr>
            <w:r>
              <w:rPr>
                <w:rFonts w:ascii="Calibri" w:hAnsi="Calibri"/>
                <w:b/>
                <w:color w:val="10B981"/>
                <w:sz w:val="18"/>
              </w:rPr>
              <w:t>AI Champion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Why does it matter?</w:t>
            </w:r>
            <w:r>
              <w:rPr>
                <w:rFonts w:ascii="Calibri" w:hAnsi="Calibri"/>
                <w:sz w:val="20"/>
              </w:rPr>
              <w:t xml:space="preserve"> (cost, speed, risk, growth)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10B981"/>
                <w:sz w:val="18"/>
              </w:rPr>
              <w:t>AI Champion</w:t>
            </w:r>
          </w:p>
        </w:tc>
      </w:tr>
      <w:tr>
        <w:tc>
          <w:tcPr>
            <w:tcW w:type="dxa" w:w="6803"/>
            <w:shd w:fill="D1FAE5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Why is it unsolved today?</w:t>
            </w:r>
            <w:r>
              <w:rPr>
                <w:rFonts w:ascii="Calibri" w:hAnsi="Calibri"/>
                <w:sz w:val="20"/>
              </w:rPr>
              <w:t xml:space="preserve"> (blockers, workarounds)</w:t>
            </w:r>
          </w:p>
        </w:tc>
        <w:tc>
          <w:tcPr>
            <w:tcW w:type="dxa" w:w="2551"/>
            <w:shd w:fill="D1FAE5"/>
          </w:tcPr>
          <w:p>
            <w:pPr>
              <w:jc w:val="right"/>
            </w:pPr>
            <w:r>
              <w:rPr>
                <w:rFonts w:ascii="Calibri" w:hAnsi="Calibri"/>
                <w:b/>
                <w:color w:val="10B981"/>
                <w:sz w:val="18"/>
              </w:rPr>
              <w:t>AI Champion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>Provide: title, practice, persona, business value, revenue potential, target accounts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10B981"/>
                <w:sz w:val="18"/>
              </w:rPr>
              <w:t>AI Champion</w:t>
            </w:r>
          </w:p>
        </w:tc>
      </w:tr>
      <w:tr>
        <w:tc>
          <w:tcPr>
            <w:tcW w:type="dxa" w:w="6803"/>
            <w:shd w:fill="D1FAE5"/>
          </w:tcPr>
          <w:p>
            <w:r>
              <w:rPr>
                <w:rFonts w:ascii="Calibri" w:hAnsi="Calibri"/>
                <w:sz w:val="20"/>
              </w:rPr>
              <w:t xml:space="preserve">Assign priority: </w:t>
            </w:r>
            <w:r>
              <w:rPr>
                <w:rFonts w:ascii="Calibri" w:hAnsi="Calibri"/>
                <w:b/>
                <w:sz w:val="20"/>
              </w:rPr>
              <w:t>High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b/>
                <w:sz w:val="20"/>
              </w:rPr>
              <w:t>Medium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b/>
                <w:sz w:val="20"/>
              </w:rPr>
              <w:t>Low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551"/>
            <w:shd w:fill="D1FAE5"/>
          </w:tcPr>
          <w:p>
            <w:pPr>
              <w:jc w:val="right"/>
            </w:pPr>
            <w:r>
              <w:rPr>
                <w:rFonts w:ascii="Calibri" w:hAnsi="Calibri"/>
                <w:b/>
                <w:color w:val="10B981"/>
                <w:sz w:val="18"/>
              </w:rPr>
              <w:t>AI Champion + Practice Lead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F59E0B"/>
        </w:rPr>
        <w:t>Step 3: AI Lab Management Review</w:t>
      </w:r>
    </w:p>
    <w:p>
      <w:r>
        <w:rPr>
          <w:rFonts w:ascii="Calibri" w:hAnsi="Calibri"/>
          <w:b/>
          <w:color w:val="F59E0B"/>
          <w:sz w:val="18"/>
        </w:rPr>
        <w:t>●  ASSESSMENT</w:t>
      </w:r>
    </w:p>
    <w:p>
      <w:pPr>
        <w:spacing w:before="0" w:after="120"/>
      </w:pPr>
      <w:r>
        <w:rPr>
          <w:color w:val="F59E0B"/>
          <w:sz w:val="12"/>
        </w:rPr>
        <w:t>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803"/>
            <w:shd w:fill="F59E0B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551"/>
            <w:shd w:fill="F59E0B"/>
          </w:tcPr>
          <w:p>
            <w:pPr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6803"/>
            <w:shd w:fill="FEF3C7"/>
          </w:tcPr>
          <w:p>
            <w:r>
              <w:rPr>
                <w:rFonts w:ascii="Calibri" w:hAnsi="Calibri"/>
                <w:sz w:val="20"/>
              </w:rPr>
              <w:t xml:space="preserve">Determine scope: </w:t>
            </w:r>
            <w:r>
              <w:rPr>
                <w:rFonts w:ascii="Calibri" w:hAnsi="Calibri"/>
                <w:b/>
                <w:sz w:val="20"/>
              </w:rPr>
              <w:t>POC / MVP / Full Build</w:t>
            </w:r>
            <w:r>
              <w:rPr>
                <w:rFonts w:ascii="Calibri" w:hAnsi="Calibri"/>
                <w:sz w:val="20"/>
              </w:rPr>
              <w:t xml:space="preserve"> based on business value &amp; tech depth</w:t>
            </w:r>
          </w:p>
        </w:tc>
        <w:tc>
          <w:tcPr>
            <w:tcW w:type="dxa" w:w="2551"/>
            <w:shd w:fill="FEF3C7"/>
          </w:tcPr>
          <w:p>
            <w:pPr>
              <w:jc w:val="right"/>
            </w:pPr>
            <w:r>
              <w:rPr>
                <w:rFonts w:ascii="Calibri" w:hAnsi="Calibri"/>
                <w:b/>
                <w:color w:val="F59E0B"/>
                <w:sz w:val="18"/>
              </w:rPr>
              <w:t>AI Lab Leadership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Assess </w:t>
            </w:r>
            <w:r>
              <w:rPr>
                <w:rFonts w:ascii="Calibri" w:hAnsi="Calibri"/>
                <w:b/>
                <w:sz w:val="20"/>
              </w:rPr>
              <w:t>strategic alignment</w:t>
            </w:r>
            <w:r>
              <w:rPr>
                <w:rFonts w:ascii="Calibri" w:hAnsi="Calibri"/>
                <w:sz w:val="20"/>
              </w:rPr>
              <w:t xml:space="preserve"> and data maturity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F59E0B"/>
                <w:sz w:val="18"/>
              </w:rPr>
              <w:t>AI Lab Leadership</w:t>
            </w:r>
          </w:p>
        </w:tc>
      </w:tr>
      <w:tr>
        <w:tc>
          <w:tcPr>
            <w:tcW w:type="dxa" w:w="6803"/>
            <w:shd w:fill="FEF3C7"/>
          </w:tcPr>
          <w:p>
            <w:r>
              <w:rPr>
                <w:rFonts w:ascii="Calibri" w:hAnsi="Calibri"/>
                <w:sz w:val="20"/>
              </w:rPr>
              <w:t xml:space="preserve">Perform </w:t>
            </w:r>
            <w:r>
              <w:rPr>
                <w:rFonts w:ascii="Calibri" w:hAnsi="Calibri"/>
                <w:b/>
                <w:sz w:val="20"/>
              </w:rPr>
              <w:t>regulatory / compliance</w:t>
            </w:r>
            <w:r>
              <w:rPr>
                <w:rFonts w:ascii="Calibri" w:hAnsi="Calibri"/>
                <w:sz w:val="20"/>
              </w:rPr>
              <w:t xml:space="preserve"> impact analysis</w:t>
            </w:r>
          </w:p>
        </w:tc>
        <w:tc>
          <w:tcPr>
            <w:tcW w:type="dxa" w:w="2551"/>
            <w:shd w:fill="FEF3C7"/>
          </w:tcPr>
          <w:p>
            <w:pPr>
              <w:jc w:val="right"/>
            </w:pPr>
            <w:r>
              <w:rPr>
                <w:rFonts w:ascii="Calibri" w:hAnsi="Calibri"/>
                <w:b/>
                <w:color w:val="F59E0B"/>
                <w:sz w:val="18"/>
              </w:rPr>
              <w:t>AI Lab Leadership + Sponsor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Confirm </w:t>
            </w:r>
            <w:r>
              <w:rPr>
                <w:rFonts w:ascii="Calibri" w:hAnsi="Calibri"/>
                <w:b/>
                <w:sz w:val="20"/>
              </w:rPr>
              <w:t>resource availability</w:t>
            </w:r>
            <w:r>
              <w:rPr>
                <w:rFonts w:ascii="Calibri" w:hAnsi="Calibri"/>
                <w:sz w:val="20"/>
              </w:rPr>
              <w:t xml:space="preserve"> across AI Forward Engineers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F59E0B"/>
                <w:sz w:val="18"/>
              </w:rPr>
              <w:t>AI Lab Leadership</w:t>
            </w:r>
          </w:p>
        </w:tc>
      </w:tr>
      <w:tr>
        <w:tc>
          <w:tcPr>
            <w:tcW w:type="dxa" w:w="6803"/>
            <w:shd w:fill="FEF3C7"/>
          </w:tcPr>
          <w:p>
            <w:r>
              <w:rPr>
                <w:rFonts w:ascii="Calibri" w:hAnsi="Calibri"/>
                <w:sz w:val="20"/>
              </w:rPr>
              <w:t xml:space="preserve">Obtain </w:t>
            </w:r>
            <w:r>
              <w:rPr>
                <w:rFonts w:ascii="Calibri" w:hAnsi="Calibri"/>
                <w:b/>
                <w:sz w:val="20"/>
              </w:rPr>
              <w:t>Business Sponsor sign-off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551"/>
            <w:shd w:fill="FEF3C7"/>
          </w:tcPr>
          <w:p>
            <w:pPr>
              <w:jc w:val="right"/>
            </w:pPr>
            <w:r>
              <w:rPr>
                <w:rFonts w:ascii="Calibri" w:hAnsi="Calibri"/>
                <w:b/>
                <w:color w:val="F59E0B"/>
                <w:sz w:val="18"/>
              </w:rPr>
              <w:t>Business Sponsor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Prioritize </w:t>
            </w:r>
            <w:r>
              <w:rPr>
                <w:rFonts w:ascii="Calibri" w:hAnsi="Calibri"/>
                <w:b/>
                <w:sz w:val="20"/>
              </w:rPr>
              <w:t>top 1–2 use cases</w:t>
            </w:r>
            <w:r>
              <w:rPr>
                <w:rFonts w:ascii="Calibri" w:hAnsi="Calibri"/>
                <w:sz w:val="20"/>
              </w:rPr>
              <w:t xml:space="preserve"> per champion for development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F59E0B"/>
                <w:sz w:val="18"/>
              </w:rPr>
              <w:t>AI Lab Leadership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EF3C7"/>
          </w:tcPr>
          <w:p>
            <w:pPr>
              <w:jc w:val="center"/>
            </w:pPr>
            <w:r>
              <w:rPr>
                <w:rFonts w:ascii="Calibri" w:hAnsi="Calibri"/>
                <w:b/>
                <w:color w:val="F59E0B"/>
                <w:sz w:val="24"/>
              </w:rPr>
              <w:t>⚠  RELEASE GATE</w:t>
            </w:r>
          </w:p>
          <w:p>
            <w:pPr>
              <w:jc w:val="center"/>
            </w:pPr>
            <w:r>
              <w:rPr>
                <w:rFonts w:ascii="Calibri" w:hAnsi="Calibri"/>
                <w:color w:val="6B7280"/>
                <w:sz w:val="19"/>
              </w:rPr>
              <w:t>Approved to proceed?  Yes → continue to build   |   No → return to ideation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F43F5E"/>
        </w:rPr>
        <w:t>Step 4: Project Setup &amp; Resource Allocation</w:t>
      </w:r>
    </w:p>
    <w:p>
      <w:r>
        <w:rPr>
          <w:rFonts w:ascii="Calibri" w:hAnsi="Calibri"/>
          <w:b/>
          <w:color w:val="F43F5E"/>
          <w:sz w:val="18"/>
        </w:rPr>
        <w:t>●  SETUP</w:t>
      </w:r>
    </w:p>
    <w:p>
      <w:pPr>
        <w:spacing w:before="0" w:after="120"/>
      </w:pPr>
      <w:r>
        <w:rPr>
          <w:color w:val="F43F5E"/>
          <w:sz w:val="12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6B7280"/>
          <w:sz w:val="20"/>
        </w:rPr>
        <w:t>Three parallel workstreams kick off simultaneously: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803"/>
            <w:shd w:fill="F43F5E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551"/>
            <w:shd w:fill="F43F5E"/>
          </w:tcPr>
          <w:p>
            <w:pPr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6803"/>
            <w:shd w:fill="FFE4E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Asset Register</w:t>
            </w:r>
            <w:r>
              <w:rPr>
                <w:rFonts w:ascii="Calibri" w:hAnsi="Calibri"/>
                <w:sz w:val="20"/>
              </w:rPr>
              <w:t xml:space="preserve"> — Model the AI solution into asset register</w:t>
            </w:r>
          </w:p>
        </w:tc>
        <w:tc>
          <w:tcPr>
            <w:tcW w:type="dxa" w:w="2551"/>
            <w:shd w:fill="FFE4E6"/>
          </w:tcPr>
          <w:p>
            <w:pPr>
              <w:jc w:val="right"/>
            </w:pPr>
            <w:r>
              <w:rPr>
                <w:rFonts w:ascii="Calibri" w:hAnsi="Calibri"/>
                <w:b/>
                <w:color w:val="F43F5E"/>
                <w:sz w:val="18"/>
              </w:rPr>
              <w:t>AI Lab Mgmt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Set Up Jira</w:t>
            </w:r>
            <w:r>
              <w:rPr>
                <w:rFonts w:ascii="Calibri" w:hAnsi="Calibri"/>
                <w:sz w:val="20"/>
              </w:rPr>
              <w:t xml:space="preserve"> — Create project, epics, stories &amp; sprint backlog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F43F5E"/>
                <w:sz w:val="18"/>
              </w:rPr>
              <w:t>Program Manager</w:t>
            </w:r>
          </w:p>
        </w:tc>
      </w:tr>
      <w:tr>
        <w:tc>
          <w:tcPr>
            <w:tcW w:type="dxa" w:w="6803"/>
            <w:shd w:fill="FFE4E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Allocate Resources</w:t>
            </w:r>
            <w:r>
              <w:rPr>
                <w:rFonts w:ascii="Calibri" w:hAnsi="Calibri"/>
                <w:sz w:val="20"/>
              </w:rPr>
              <w:t xml:space="preserve"> — Assign AI Forward Engineers via Retain</w:t>
            </w:r>
          </w:p>
        </w:tc>
        <w:tc>
          <w:tcPr>
            <w:tcW w:type="dxa" w:w="2551"/>
            <w:shd w:fill="FFE4E6"/>
          </w:tcPr>
          <w:p>
            <w:pPr>
              <w:jc w:val="right"/>
            </w:pPr>
            <w:r>
              <w:rPr>
                <w:rFonts w:ascii="Calibri" w:hAnsi="Calibri"/>
                <w:b/>
                <w:color w:val="F43F5E"/>
                <w:sz w:val="18"/>
              </w:rPr>
              <w:t>AI Lab Mgmt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Establish </w:t>
            </w:r>
            <w:r>
              <w:rPr>
                <w:rFonts w:ascii="Calibri" w:hAnsi="Calibri"/>
                <w:b/>
                <w:sz w:val="20"/>
              </w:rPr>
              <w:t>weekly checkpoint</w:t>
            </w:r>
            <w:r>
              <w:rPr>
                <w:rFonts w:ascii="Calibri" w:hAnsi="Calibri"/>
                <w:sz w:val="20"/>
              </w:rPr>
              <w:t xml:space="preserve"> cadence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F43F5E"/>
                <w:sz w:val="18"/>
              </w:rPr>
              <w:t>Program Manager</w:t>
            </w:r>
          </w:p>
        </w:tc>
      </w:tr>
      <w:tr>
        <w:tc>
          <w:tcPr>
            <w:tcW w:type="dxa" w:w="6803"/>
            <w:shd w:fill="FFE4E6"/>
          </w:tcPr>
          <w:p>
            <w:r>
              <w:rPr>
                <w:rFonts w:ascii="Calibri" w:hAnsi="Calibri"/>
                <w:sz w:val="20"/>
              </w:rPr>
              <w:t xml:space="preserve">Identify </w:t>
            </w:r>
            <w:r>
              <w:rPr>
                <w:rFonts w:ascii="Calibri" w:hAnsi="Calibri"/>
                <w:b/>
                <w:sz w:val="20"/>
              </w:rPr>
              <w:t>point of contact</w:t>
            </w:r>
            <w:r>
              <w:rPr>
                <w:rFonts w:ascii="Calibri" w:hAnsi="Calibri"/>
                <w:sz w:val="20"/>
              </w:rPr>
              <w:t xml:space="preserve"> and confirm Business Sponsor</w:t>
            </w:r>
          </w:p>
        </w:tc>
        <w:tc>
          <w:tcPr>
            <w:tcW w:type="dxa" w:w="2551"/>
            <w:shd w:fill="FFE4E6"/>
          </w:tcPr>
          <w:p>
            <w:pPr>
              <w:jc w:val="right"/>
            </w:pPr>
            <w:r>
              <w:rPr>
                <w:rFonts w:ascii="Calibri" w:hAnsi="Calibri"/>
                <w:b/>
                <w:color w:val="F43F5E"/>
                <w:sz w:val="18"/>
              </w:rPr>
              <w:t>Program Manager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8B5CF6"/>
        </w:rPr>
        <w:t>Step 5: Define the MVP &amp; Build</w:t>
      </w:r>
    </w:p>
    <w:p>
      <w:r>
        <w:rPr>
          <w:rFonts w:ascii="Calibri" w:hAnsi="Calibri"/>
          <w:b/>
          <w:color w:val="8B5CF6"/>
          <w:sz w:val="18"/>
        </w:rPr>
        <w:t>●  BUILD</w:t>
      </w:r>
    </w:p>
    <w:p>
      <w:pPr>
        <w:spacing w:before="0" w:after="120"/>
      </w:pPr>
      <w:r>
        <w:rPr>
          <w:color w:val="8B5CF6"/>
          <w:sz w:val="12"/>
        </w:rPr>
        <w:t>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803"/>
            <w:shd w:fill="8B5CF6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551"/>
            <w:shd w:fill="8B5CF6"/>
          </w:tcPr>
          <w:p>
            <w:pPr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6803"/>
            <w:shd w:fill="EDE9FE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Define MVP scope</w:t>
            </w:r>
            <w:r>
              <w:rPr>
                <w:rFonts w:ascii="Calibri" w:hAnsi="Calibri"/>
                <w:sz w:val="20"/>
              </w:rPr>
              <w:t xml:space="preserve"> — features, demo expectations &amp; success criteria</w:t>
            </w:r>
          </w:p>
        </w:tc>
        <w:tc>
          <w:tcPr>
            <w:tcW w:type="dxa" w:w="2551"/>
            <w:shd w:fill="EDE9FE"/>
          </w:tcPr>
          <w:p>
            <w:pPr>
              <w:jc w:val="right"/>
            </w:pPr>
            <w:r>
              <w:rPr>
                <w:rFonts w:ascii="Calibri" w:hAnsi="Calibri"/>
                <w:b/>
                <w:color w:val="8B5CF6"/>
                <w:sz w:val="18"/>
              </w:rPr>
              <w:t>AI Fwd Engineer + Sponsor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Develop through </w:t>
            </w:r>
            <w:r>
              <w:rPr>
                <w:rFonts w:ascii="Calibri" w:hAnsi="Calibri"/>
                <w:b/>
                <w:sz w:val="20"/>
              </w:rPr>
              <w:t>sprint cycles</w:t>
            </w:r>
            <w:r>
              <w:rPr>
                <w:rFonts w:ascii="Calibri" w:hAnsi="Calibri"/>
                <w:sz w:val="20"/>
              </w:rPr>
              <w:t xml:space="preserve"> with iterative testing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8B5CF6"/>
                <w:sz w:val="18"/>
              </w:rPr>
              <w:t>AI Forward Engineer</w:t>
            </w:r>
          </w:p>
        </w:tc>
      </w:tr>
      <w:tr>
        <w:tc>
          <w:tcPr>
            <w:tcW w:type="dxa" w:w="6803"/>
            <w:shd w:fill="EDE9FE"/>
          </w:tcPr>
          <w:p>
            <w:r>
              <w:rPr>
                <w:rFonts w:ascii="Calibri" w:hAnsi="Calibri"/>
                <w:sz w:val="20"/>
              </w:rPr>
              <w:t xml:space="preserve">Build </w:t>
            </w:r>
            <w:r>
              <w:rPr>
                <w:rFonts w:ascii="Calibri" w:hAnsi="Calibri"/>
                <w:b/>
                <w:sz w:val="20"/>
              </w:rPr>
              <w:t>demo environment</w:t>
            </w:r>
            <w:r>
              <w:rPr>
                <w:rFonts w:ascii="Calibri" w:hAnsi="Calibri"/>
                <w:sz w:val="20"/>
              </w:rPr>
              <w:t xml:space="preserve"> with real-world scenarios</w:t>
            </w:r>
          </w:p>
        </w:tc>
        <w:tc>
          <w:tcPr>
            <w:tcW w:type="dxa" w:w="2551"/>
            <w:shd w:fill="EDE9FE"/>
          </w:tcPr>
          <w:p>
            <w:pPr>
              <w:jc w:val="right"/>
            </w:pPr>
            <w:r>
              <w:rPr>
                <w:rFonts w:ascii="Calibri" w:hAnsi="Calibri"/>
                <w:b/>
                <w:color w:val="8B5CF6"/>
                <w:sz w:val="18"/>
              </w:rPr>
              <w:t>AI Forward Engineer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Track: Backlog → Build In-Progress → </w:t>
            </w:r>
            <w:r>
              <w:rPr>
                <w:rFonts w:ascii="Calibri" w:hAnsi="Calibri"/>
                <w:b/>
                <w:sz w:val="20"/>
              </w:rPr>
              <w:t>MVP Demo Complete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8B5CF6"/>
                <w:sz w:val="18"/>
              </w:rPr>
              <w:t>Program Manager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EE2E2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24"/>
              </w:rPr>
              <w:t>⚠  GOVERNANCE GATE</w:t>
            </w:r>
          </w:p>
          <w:p>
            <w:pPr>
              <w:jc w:val="center"/>
            </w:pPr>
            <w:r>
              <w:rPr>
                <w:rFonts w:ascii="Calibri" w:hAnsi="Calibri"/>
                <w:color w:val="6B7280"/>
                <w:sz w:val="19"/>
              </w:rPr>
              <w:t>AI Governance Evaluation  •  Compliance Checks  •  Data Security Review  •  Model Risk Validation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6B6D4"/>
        </w:rPr>
        <w:t>Step 6: GTM Ready — Package the Solution</w:t>
      </w:r>
    </w:p>
    <w:p>
      <w:r>
        <w:rPr>
          <w:rFonts w:ascii="Calibri" w:hAnsi="Calibri"/>
          <w:b/>
          <w:color w:val="06B6D4"/>
          <w:sz w:val="18"/>
        </w:rPr>
        <w:t>●  GTM READY</w:t>
      </w:r>
    </w:p>
    <w:p>
      <w:pPr>
        <w:spacing w:before="0" w:after="120"/>
      </w:pPr>
      <w:r>
        <w:rPr>
          <w:color w:val="06B6D4"/>
          <w:sz w:val="12"/>
        </w:rPr>
        <w:t>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803"/>
            <w:shd w:fill="06B6D4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551"/>
            <w:shd w:fill="06B6D4"/>
          </w:tcPr>
          <w:p>
            <w:pPr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6803"/>
            <w:shd w:fill="CFFAFE"/>
          </w:tcPr>
          <w:p>
            <w:r>
              <w:rPr>
                <w:rFonts w:ascii="Calibri" w:hAnsi="Calibri"/>
                <w:sz w:val="20"/>
              </w:rPr>
              <w:t xml:space="preserve">Finalize </w:t>
            </w:r>
            <w:r>
              <w:rPr>
                <w:rFonts w:ascii="Calibri" w:hAnsi="Calibri"/>
                <w:b/>
                <w:sz w:val="20"/>
              </w:rPr>
              <w:t>demo script</w:t>
            </w:r>
            <w:r>
              <w:rPr>
                <w:rFonts w:ascii="Calibri" w:hAnsi="Calibri"/>
                <w:sz w:val="20"/>
              </w:rPr>
              <w:t xml:space="preserve"> and conduct full run-throughs</w:t>
            </w:r>
          </w:p>
        </w:tc>
        <w:tc>
          <w:tcPr>
            <w:tcW w:type="dxa" w:w="2551"/>
            <w:shd w:fill="CFFAFE"/>
          </w:tcPr>
          <w:p>
            <w:pPr>
              <w:jc w:val="right"/>
            </w:pPr>
            <w:r>
              <w:rPr>
                <w:rFonts w:ascii="Calibri" w:hAnsi="Calibri"/>
                <w:b/>
                <w:color w:val="06B6D4"/>
                <w:sz w:val="18"/>
              </w:rPr>
              <w:t>AI Fwd Engineer + Champion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Prepare </w:t>
            </w:r>
            <w:r>
              <w:rPr>
                <w:rFonts w:ascii="Calibri" w:hAnsi="Calibri"/>
                <w:b/>
                <w:sz w:val="20"/>
              </w:rPr>
              <w:t>"AI vs. Non-AI" talk track</w:t>
            </w:r>
            <w:r>
              <w:rPr>
                <w:rFonts w:ascii="Calibri" w:hAnsi="Calibri"/>
                <w:sz w:val="20"/>
              </w:rPr>
              <w:t xml:space="preserve"> (competitive differentiation)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06B6D4"/>
                <w:sz w:val="18"/>
              </w:rPr>
              <w:t>AI Champion + Sales</w:t>
            </w:r>
          </w:p>
        </w:tc>
      </w:tr>
      <w:tr>
        <w:tc>
          <w:tcPr>
            <w:tcW w:type="dxa" w:w="6803"/>
            <w:shd w:fill="CFFAFE"/>
          </w:tcPr>
          <w:p>
            <w:r>
              <w:rPr>
                <w:rFonts w:ascii="Calibri" w:hAnsi="Calibri"/>
                <w:sz w:val="20"/>
              </w:rPr>
              <w:t xml:space="preserve">Create </w:t>
            </w:r>
            <w:r>
              <w:rPr>
                <w:rFonts w:ascii="Calibri" w:hAnsi="Calibri"/>
                <w:b/>
                <w:sz w:val="20"/>
              </w:rPr>
              <w:t>one-pager</w:t>
            </w:r>
            <w:r>
              <w:rPr>
                <w:rFonts w:ascii="Calibri" w:hAnsi="Calibri"/>
                <w:sz w:val="20"/>
              </w:rPr>
              <w:t>, pricing template &amp; engagement model</w:t>
            </w:r>
          </w:p>
        </w:tc>
        <w:tc>
          <w:tcPr>
            <w:tcW w:type="dxa" w:w="2551"/>
            <w:shd w:fill="CFFAFE"/>
          </w:tcPr>
          <w:p>
            <w:pPr>
              <w:jc w:val="right"/>
            </w:pPr>
            <w:r>
              <w:rPr>
                <w:rFonts w:ascii="Calibri" w:hAnsi="Calibri"/>
                <w:b/>
                <w:color w:val="06B6D4"/>
                <w:sz w:val="18"/>
              </w:rPr>
              <w:t>Domain Leader + Sales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Map </w:t>
            </w:r>
            <w:r>
              <w:rPr>
                <w:rFonts w:ascii="Calibri" w:hAnsi="Calibri"/>
                <w:b/>
                <w:sz w:val="20"/>
              </w:rPr>
              <w:t>target accounts &amp; buyer personas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06B6D4"/>
                <w:sz w:val="18"/>
              </w:rPr>
              <w:t>Sales</w:t>
            </w:r>
          </w:p>
        </w:tc>
      </w:tr>
      <w:tr>
        <w:tc>
          <w:tcPr>
            <w:tcW w:type="dxa" w:w="6803"/>
            <w:shd w:fill="CFFAFE"/>
          </w:tcPr>
          <w:p>
            <w:r>
              <w:rPr>
                <w:rFonts w:ascii="Calibri" w:hAnsi="Calibri"/>
                <w:sz w:val="20"/>
              </w:rPr>
              <w:t xml:space="preserve">Register in </w:t>
            </w:r>
            <w:r>
              <w:rPr>
                <w:rFonts w:ascii="Calibri" w:hAnsi="Calibri"/>
                <w:b/>
                <w:sz w:val="20"/>
              </w:rPr>
              <w:t>Global Demo Catalog</w:t>
            </w:r>
            <w:r>
              <w:rPr>
                <w:rFonts w:ascii="Calibri" w:hAnsi="Calibri"/>
                <w:sz w:val="20"/>
              </w:rPr>
              <w:t xml:space="preserve"> with domain mapping</w:t>
            </w:r>
          </w:p>
        </w:tc>
        <w:tc>
          <w:tcPr>
            <w:tcW w:type="dxa" w:w="2551"/>
            <w:shd w:fill="CFFAFE"/>
          </w:tcPr>
          <w:p>
            <w:pPr>
              <w:jc w:val="right"/>
            </w:pPr>
            <w:r>
              <w:rPr>
                <w:rFonts w:ascii="Calibri" w:hAnsi="Calibri"/>
                <w:b/>
                <w:color w:val="06B6D4"/>
                <w:sz w:val="18"/>
              </w:rPr>
              <w:t>Program Manager</w:t>
            </w:r>
          </w:p>
        </w:tc>
      </w:tr>
    </w:tbl>
    <w:p/>
    <w:p>
      <w:r>
        <w:rPr>
          <w:b/>
          <w:color w:val="06B6D4"/>
          <w:sz w:val="20"/>
        </w:rPr>
        <w:t xml:space="preserve">Deliverables checklist: </w:t>
      </w:r>
      <w:r>
        <w:rPr>
          <w:color w:val="6B7280"/>
          <w:sz w:val="20"/>
        </w:rPr>
        <w:t>Polished demo  |  One-pager  |  Talk track  |  Pricing template  |  Target account list  |  Backlog reference</w:t>
      </w:r>
    </w:p>
    <w:p>
      <w:r>
        <w:br w:type="page"/>
      </w:r>
    </w:p>
    <w:p>
      <w:pPr>
        <w:pStyle w:val="Heading1"/>
      </w:pPr>
      <w:r>
        <w:rPr>
          <w:color w:val="F97316"/>
        </w:rPr>
        <w:t>Step 7: GTM Push — Showcase &amp; Sales Activation</w:t>
      </w:r>
    </w:p>
    <w:p>
      <w:r>
        <w:rPr>
          <w:rFonts w:ascii="Calibri" w:hAnsi="Calibri"/>
          <w:b/>
          <w:color w:val="F97316"/>
          <w:sz w:val="18"/>
        </w:rPr>
        <w:t>●  GO-TO-MARKET</w:t>
      </w:r>
    </w:p>
    <w:p>
      <w:pPr>
        <w:spacing w:before="0" w:after="120"/>
      </w:pPr>
      <w:r>
        <w:rPr>
          <w:color w:val="F97316"/>
          <w:sz w:val="12"/>
        </w:rPr>
        <w:t>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803"/>
            <w:shd w:fill="F97316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551"/>
            <w:shd w:fill="F97316"/>
          </w:tcPr>
          <w:p>
            <w:pPr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6803"/>
            <w:shd w:fill="FFEDD5"/>
          </w:tcPr>
          <w:p>
            <w:r>
              <w:rPr>
                <w:rFonts w:ascii="Calibri" w:hAnsi="Calibri"/>
                <w:sz w:val="20"/>
              </w:rPr>
              <w:t xml:space="preserve">Schedule </w:t>
            </w:r>
            <w:r>
              <w:rPr>
                <w:rFonts w:ascii="Calibri" w:hAnsi="Calibri"/>
                <w:b/>
                <w:sz w:val="20"/>
              </w:rPr>
              <w:t>AI Capability Showcases</w:t>
            </w:r>
            <w:r>
              <w:rPr>
                <w:rFonts w:ascii="Calibri" w:hAnsi="Calibri"/>
                <w:sz w:val="20"/>
              </w:rPr>
              <w:t xml:space="preserve"> (bi-weekly, rotating facilitator)</w:t>
            </w:r>
          </w:p>
        </w:tc>
        <w:tc>
          <w:tcPr>
            <w:tcW w:type="dxa" w:w="2551"/>
            <w:shd w:fill="FFEDD5"/>
          </w:tcPr>
          <w:p>
            <w:pPr>
              <w:jc w:val="right"/>
            </w:pPr>
            <w:r>
              <w:rPr>
                <w:rFonts w:ascii="Calibri" w:hAnsi="Calibri"/>
                <w:b/>
                <w:color w:val="F97316"/>
                <w:sz w:val="18"/>
              </w:rPr>
              <w:t>Domain Leader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Run </w:t>
            </w:r>
            <w:r>
              <w:rPr>
                <w:rFonts w:ascii="Calibri" w:hAnsi="Calibri"/>
                <w:b/>
                <w:sz w:val="20"/>
              </w:rPr>
              <w:t>Sales Activations</w:t>
            </w:r>
            <w:r>
              <w:rPr>
                <w:rFonts w:ascii="Calibri" w:hAnsi="Calibri"/>
                <w:sz w:val="20"/>
              </w:rPr>
              <w:t xml:space="preserve"> targeting specific accounts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F97316"/>
                <w:sz w:val="18"/>
              </w:rPr>
              <w:t>Sales + Account Partner</w:t>
            </w:r>
          </w:p>
        </w:tc>
      </w:tr>
      <w:tr>
        <w:tc>
          <w:tcPr>
            <w:tcW w:type="dxa" w:w="6803"/>
            <w:shd w:fill="FFEDD5"/>
          </w:tcPr>
          <w:p>
            <w:r>
              <w:rPr>
                <w:rFonts w:ascii="Calibri" w:hAnsi="Calibri"/>
                <w:sz w:val="20"/>
              </w:rPr>
              <w:t xml:space="preserve">Form </w:t>
            </w:r>
            <w:r>
              <w:rPr>
                <w:rFonts w:ascii="Calibri" w:hAnsi="Calibri"/>
                <w:b/>
                <w:sz w:val="20"/>
              </w:rPr>
              <w:t>Sprint Pods</w:t>
            </w:r>
            <w:r>
              <w:rPr>
                <w:rFonts w:ascii="Calibri" w:hAnsi="Calibri"/>
                <w:sz w:val="20"/>
              </w:rPr>
              <w:t xml:space="preserve"> for active pursuit opportunities</w:t>
            </w:r>
          </w:p>
        </w:tc>
        <w:tc>
          <w:tcPr>
            <w:tcW w:type="dxa" w:w="2551"/>
            <w:shd w:fill="FFEDD5"/>
          </w:tcPr>
          <w:p>
            <w:pPr>
              <w:jc w:val="right"/>
            </w:pPr>
            <w:r>
              <w:rPr>
                <w:rFonts w:ascii="Calibri" w:hAnsi="Calibri"/>
                <w:b/>
                <w:color w:val="F97316"/>
                <w:sz w:val="18"/>
              </w:rPr>
              <w:t>Cross-functional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>Present to clients and gather real-time feedback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F97316"/>
                <w:sz w:val="18"/>
              </w:rPr>
              <w:t>AI Champion + Presenter</w:t>
            </w:r>
          </w:p>
        </w:tc>
      </w:tr>
      <w:tr>
        <w:tc>
          <w:tcPr>
            <w:tcW w:type="dxa" w:w="6803"/>
            <w:shd w:fill="FFEDD5"/>
          </w:tcPr>
          <w:p>
            <w:r>
              <w:rPr>
                <w:rFonts w:ascii="Calibri" w:hAnsi="Calibri"/>
                <w:sz w:val="20"/>
              </w:rPr>
              <w:t xml:space="preserve">Assign </w:t>
            </w:r>
            <w:r>
              <w:rPr>
                <w:rFonts w:ascii="Calibri" w:hAnsi="Calibri"/>
                <w:b/>
                <w:sz w:val="20"/>
              </w:rPr>
              <w:t>follow-up actions</w:t>
            </w:r>
            <w:r>
              <w:rPr>
                <w:rFonts w:ascii="Calibri" w:hAnsi="Calibri"/>
                <w:sz w:val="20"/>
              </w:rPr>
              <w:t xml:space="preserve"> with owners and due dates</w:t>
            </w:r>
          </w:p>
        </w:tc>
        <w:tc>
          <w:tcPr>
            <w:tcW w:type="dxa" w:w="2551"/>
            <w:shd w:fill="FFEDD5"/>
          </w:tcPr>
          <w:p>
            <w:pPr>
              <w:jc w:val="right"/>
            </w:pPr>
            <w:r>
              <w:rPr>
                <w:rFonts w:ascii="Calibri" w:hAnsi="Calibri"/>
                <w:b/>
                <w:color w:val="F97316"/>
                <w:sz w:val="18"/>
              </w:rPr>
              <w:t>Program Manager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Send </w:t>
            </w:r>
            <w:r>
              <w:rPr>
                <w:rFonts w:ascii="Calibri" w:hAnsi="Calibri"/>
                <w:b/>
                <w:sz w:val="20"/>
              </w:rPr>
              <w:t>bi-weekly Showcase Communications</w:t>
            </w:r>
            <w:r>
              <w:rPr>
                <w:rFonts w:ascii="Calibri" w:hAnsi="Calibri"/>
                <w:sz w:val="20"/>
              </w:rPr>
              <w:t xml:space="preserve"> to the org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F97316"/>
                <w:sz w:val="18"/>
              </w:rPr>
              <w:t>Program Manager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4B8A6"/>
        </w:rPr>
        <w:t>Step 8: Track Results &amp; Continuous Improvement</w:t>
      </w:r>
    </w:p>
    <w:p>
      <w:r>
        <w:rPr>
          <w:rFonts w:ascii="Calibri" w:hAnsi="Calibri"/>
          <w:b/>
          <w:color w:val="14B8A6"/>
          <w:sz w:val="18"/>
        </w:rPr>
        <w:t>●  MEASURE</w:t>
      </w:r>
    </w:p>
    <w:p>
      <w:pPr>
        <w:spacing w:before="0" w:after="120"/>
      </w:pPr>
      <w:r>
        <w:rPr>
          <w:color w:val="14B8A6"/>
          <w:sz w:val="12"/>
        </w:rPr>
        <w:t>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803"/>
            <w:shd w:fill="14B8A6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551"/>
            <w:shd w:fill="14B8A6"/>
          </w:tcPr>
          <w:p>
            <w:pPr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6803"/>
            <w:shd w:fill="CCFBF1"/>
          </w:tcPr>
          <w:p>
            <w:r>
              <w:rPr>
                <w:rFonts w:ascii="Calibri" w:hAnsi="Calibri"/>
                <w:sz w:val="20"/>
              </w:rPr>
              <w:t xml:space="preserve">Track </w:t>
            </w:r>
            <w:r>
              <w:rPr>
                <w:rFonts w:ascii="Calibri" w:hAnsi="Calibri"/>
                <w:b/>
                <w:sz w:val="20"/>
              </w:rPr>
              <w:t>CTAR results</w:t>
            </w:r>
            <w:r>
              <w:rPr>
                <w:rFonts w:ascii="Calibri" w:hAnsi="Calibri"/>
                <w:sz w:val="20"/>
              </w:rPr>
              <w:t xml:space="preserve"> and revenue metrics per solution</w:t>
            </w:r>
          </w:p>
        </w:tc>
        <w:tc>
          <w:tcPr>
            <w:tcW w:type="dxa" w:w="2551"/>
            <w:shd w:fill="CCFBF1"/>
          </w:tcPr>
          <w:p>
            <w:pPr>
              <w:jc w:val="right"/>
            </w:pPr>
            <w:r>
              <w:rPr>
                <w:rFonts w:ascii="Calibri" w:hAnsi="Calibri"/>
                <w:b/>
                <w:color w:val="14B8A6"/>
                <w:sz w:val="18"/>
              </w:rPr>
              <w:t>Program Manager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Monitor maturity: Idea → In Build → Demo-Ready → GTM-Ready → </w:t>
            </w:r>
            <w:r>
              <w:rPr>
                <w:rFonts w:ascii="Calibri" w:hAnsi="Calibri"/>
                <w:b/>
                <w:sz w:val="20"/>
              </w:rPr>
              <w:t>In Pursuit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14B8A6"/>
                <w:sz w:val="18"/>
              </w:rPr>
              <w:t>AI Lab Leadership</w:t>
            </w:r>
          </w:p>
        </w:tc>
      </w:tr>
      <w:tr>
        <w:tc>
          <w:tcPr>
            <w:tcW w:type="dxa" w:w="6803"/>
            <w:shd w:fill="CCFBF1"/>
          </w:tcPr>
          <w:p>
            <w:r>
              <w:rPr>
                <w:rFonts w:ascii="Calibri" w:hAnsi="Calibri"/>
                <w:sz w:val="20"/>
              </w:rPr>
              <w:t xml:space="preserve">Capture </w:t>
            </w:r>
            <w:r>
              <w:rPr>
                <w:rFonts w:ascii="Calibri" w:hAnsi="Calibri"/>
                <w:b/>
                <w:sz w:val="20"/>
              </w:rPr>
              <w:t>client feedback</w:t>
            </w:r>
            <w:r>
              <w:rPr>
                <w:rFonts w:ascii="Calibri" w:hAnsi="Calibri"/>
                <w:sz w:val="20"/>
              </w:rPr>
              <w:t xml:space="preserve"> and feature requests</w:t>
            </w:r>
          </w:p>
        </w:tc>
        <w:tc>
          <w:tcPr>
            <w:tcW w:type="dxa" w:w="2551"/>
            <w:shd w:fill="CCFBF1"/>
          </w:tcPr>
          <w:p>
            <w:pPr>
              <w:jc w:val="right"/>
            </w:pPr>
            <w:r>
              <w:rPr>
                <w:rFonts w:ascii="Calibri" w:hAnsi="Calibri"/>
                <w:b/>
                <w:color w:val="14B8A6"/>
                <w:sz w:val="18"/>
              </w:rPr>
              <w:t>AI Champion</w:t>
            </w:r>
          </w:p>
        </w:tc>
      </w:tr>
      <w:tr>
        <w:tc>
          <w:tcPr>
            <w:tcW w:type="dxa" w:w="6803"/>
          </w:tcPr>
          <w:p>
            <w:r>
              <w:rPr>
                <w:rFonts w:ascii="Calibri" w:hAnsi="Calibri"/>
                <w:sz w:val="20"/>
              </w:rPr>
              <w:t xml:space="preserve">Feed learnings back into </w:t>
            </w:r>
            <w:r>
              <w:rPr>
                <w:rFonts w:ascii="Calibri" w:hAnsi="Calibri"/>
                <w:b/>
                <w:sz w:val="20"/>
              </w:rPr>
              <w:t>next intake cycle</w:t>
            </w:r>
            <w:r>
              <w:rPr>
                <w:rFonts w:ascii="Calibri" w:hAnsi="Calibri"/>
                <w:sz w:val="20"/>
              </w:rPr>
              <w:t xml:space="preserve"> (Step 1)</w:t>
            </w:r>
          </w:p>
        </w:tc>
        <w:tc>
          <w:tcPr>
            <w:tcW w:type="dxa" w:w="2551"/>
          </w:tcPr>
          <w:p>
            <w:pPr>
              <w:jc w:val="right"/>
            </w:pPr>
            <w:r>
              <w:rPr>
                <w:rFonts w:ascii="Calibri" w:hAnsi="Calibri"/>
                <w:b/>
                <w:color w:val="14B8A6"/>
                <w:sz w:val="18"/>
              </w:rPr>
              <w:t>AI Champion + Domain Leader</w:t>
            </w:r>
          </w:p>
        </w:tc>
      </w:tr>
      <w:tr>
        <w:tc>
          <w:tcPr>
            <w:tcW w:type="dxa" w:w="6803"/>
            <w:shd w:fill="CCFBF1"/>
          </w:tcPr>
          <w:p>
            <w:r>
              <w:rPr>
                <w:rFonts w:ascii="Calibri" w:hAnsi="Calibri"/>
                <w:sz w:val="20"/>
              </w:rPr>
              <w:t xml:space="preserve">Identify </w:t>
            </w:r>
            <w:r>
              <w:rPr>
                <w:rFonts w:ascii="Calibri" w:hAnsi="Calibri"/>
                <w:b/>
                <w:sz w:val="20"/>
              </w:rPr>
              <w:t>AI Infusion</w:t>
            </w:r>
            <w:r>
              <w:rPr>
                <w:rFonts w:ascii="Calibri" w:hAnsi="Calibri"/>
                <w:sz w:val="20"/>
              </w:rPr>
              <w:t xml:space="preserve"> opportunities in existing engagements</w:t>
            </w:r>
          </w:p>
        </w:tc>
        <w:tc>
          <w:tcPr>
            <w:tcW w:type="dxa" w:w="2551"/>
            <w:shd w:fill="CCFBF1"/>
          </w:tcPr>
          <w:p>
            <w:pPr>
              <w:jc w:val="right"/>
            </w:pPr>
            <w:r>
              <w:rPr>
                <w:rFonts w:ascii="Calibri" w:hAnsi="Calibri"/>
                <w:b/>
                <w:color w:val="14B8A6"/>
                <w:sz w:val="18"/>
              </w:rPr>
              <w:t>Account Partner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CCFBF1"/>
          </w:tcPr>
          <w:p>
            <w:pPr>
              <w:jc w:val="center"/>
            </w:pPr>
            <w:r>
              <w:rPr>
                <w:b/>
                <w:color w:val="14B8A6"/>
                <w:sz w:val="21"/>
              </w:rPr>
              <w:t xml:space="preserve">↻  Continuous Loop: </w:t>
            </w:r>
            <w:r>
              <w:rPr>
                <w:color w:val="333333"/>
                <w:sz w:val="20"/>
              </w:rPr>
              <w:t>Results feed back into Step 1. Client feedback generates new ideas, successful demos inspire adjacent solutions, market learnings sharpen future intake.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