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/>
          <w:b/>
          <w:color w:val="4A158D"/>
          <w:sz w:val="72"/>
        </w:rPr>
        <w:t>AI Use Case Intake</w:t>
        <w:br/>
        <w:t>to Go-To-Market</w:t>
      </w:r>
    </w:p>
    <w:p/>
    <w:p>
      <w:pPr>
        <w:jc w:val="center"/>
      </w:pPr>
      <w:r>
        <w:rPr>
          <w:rFonts w:ascii="Calibri" w:hAnsi="Calibri"/>
          <w:color w:val="7C3AED"/>
          <w:sz w:val="40"/>
        </w:rPr>
        <w:t>Step-by-Step Guide</w:t>
      </w:r>
    </w:p>
    <w:p/>
    <w:p>
      <w:pPr>
        <w:jc w:val="center"/>
      </w:pPr>
      <w:r>
        <w:rPr>
          <w:rFonts w:ascii="Calibri" w:hAnsi="Calibri"/>
          <w:color w:val="6B7280"/>
          <w:sz w:val="24"/>
        </w:rPr>
        <w:t>A comprehensive guide for Domain Partners, AI Champions,</w:t>
        <w:br/>
        <w:t>and AI Lab teams to navigate the full lifecycle</w:t>
        <w:br/>
        <w:t>from use case ideation through go-to-market launch.</w:t>
      </w:r>
    </w:p>
    <w:p/>
    <w:p/>
    <w:p/>
    <w:p/>
    <w:p>
      <w:pPr>
        <w:jc w:val="center"/>
      </w:pPr>
      <w:r>
        <w:rPr>
          <w:b/>
          <w:color w:val="5B21B6"/>
          <w:sz w:val="28"/>
        </w:rPr>
        <w:t>Global GenAI Lab</w:t>
      </w:r>
    </w:p>
    <w:p>
      <w:pPr>
        <w:jc w:val="center"/>
      </w:pPr>
      <w:r>
        <w:rPr>
          <w:color w:val="9CA3AF"/>
          <w:sz w:val="22"/>
        </w:rPr>
        <w:t>April 2026</w:t>
      </w:r>
    </w:p>
    <w:p>
      <w:r>
        <w:br w:type="page"/>
      </w:r>
    </w:p>
    <w:p>
      <w:pPr>
        <w:pStyle w:val="Heading1"/>
      </w:pPr>
      <w:r>
        <w:t>Table of Contents</w:t>
      </w:r>
    </w:p>
    <w:p/>
    <w:p>
      <w:pPr>
        <w:spacing w:after="80"/>
      </w:pPr>
      <w:r>
        <w:rPr>
          <w:b/>
          <w:color w:val="5B21B6"/>
          <w:sz w:val="24"/>
        </w:rPr>
        <w:t xml:space="preserve">  1.  </w:t>
      </w:r>
      <w:r>
        <w:rPr>
          <w:color w:val="333333"/>
          <w:sz w:val="24"/>
        </w:rPr>
        <w:t>Identify &amp; Generate AI Use Cases</w:t>
      </w:r>
      <w:r>
        <w:rPr>
          <w:color w:val="9CA3AF"/>
          <w:sz w:val="20"/>
        </w:rPr>
        <w:t xml:space="preserve">  [Ideation]</w:t>
      </w:r>
    </w:p>
    <w:p>
      <w:pPr>
        <w:spacing w:after="80"/>
      </w:pPr>
      <w:r>
        <w:rPr>
          <w:b/>
          <w:color w:val="5B21B6"/>
          <w:sz w:val="24"/>
        </w:rPr>
        <w:t xml:space="preserve">  2.  </w:t>
      </w:r>
      <w:r>
        <w:rPr>
          <w:color w:val="333333"/>
          <w:sz w:val="24"/>
        </w:rPr>
        <w:t>Submit Use Case Intake</w:t>
      </w:r>
      <w:r>
        <w:rPr>
          <w:color w:val="9CA3AF"/>
          <w:sz w:val="20"/>
        </w:rPr>
        <w:t xml:space="preserve">  [Intake]</w:t>
      </w:r>
    </w:p>
    <w:p>
      <w:pPr>
        <w:spacing w:after="80"/>
      </w:pPr>
      <w:r>
        <w:rPr>
          <w:b/>
          <w:color w:val="5B21B6"/>
          <w:sz w:val="24"/>
        </w:rPr>
        <w:t xml:space="preserve">  3.  </w:t>
      </w:r>
      <w:r>
        <w:rPr>
          <w:color w:val="333333"/>
          <w:sz w:val="24"/>
        </w:rPr>
        <w:t>AI Lab Management Review</w:t>
      </w:r>
      <w:r>
        <w:rPr>
          <w:color w:val="9CA3AF"/>
          <w:sz w:val="20"/>
        </w:rPr>
        <w:t xml:space="preserve">  [Assessment]</w:t>
      </w:r>
    </w:p>
    <w:p>
      <w:pPr>
        <w:spacing w:after="80"/>
      </w:pPr>
      <w:r>
        <w:rPr>
          <w:i/>
          <w:color w:val="7C3AED"/>
          <w:sz w:val="22"/>
        </w:rPr>
        <w:t xml:space="preserve">       Release Gate Decision</w:t>
      </w:r>
    </w:p>
    <w:p>
      <w:pPr>
        <w:spacing w:after="80"/>
      </w:pPr>
      <w:r>
        <w:rPr>
          <w:b/>
          <w:color w:val="5B21B6"/>
          <w:sz w:val="24"/>
        </w:rPr>
        <w:t xml:space="preserve">  4.  </w:t>
      </w:r>
      <w:r>
        <w:rPr>
          <w:color w:val="333333"/>
          <w:sz w:val="24"/>
        </w:rPr>
        <w:t>Project Setup &amp; Resource Allocation</w:t>
      </w:r>
      <w:r>
        <w:rPr>
          <w:color w:val="9CA3AF"/>
          <w:sz w:val="20"/>
        </w:rPr>
        <w:t xml:space="preserve">  [Setup]</w:t>
      </w:r>
    </w:p>
    <w:p>
      <w:pPr>
        <w:spacing w:after="80"/>
      </w:pPr>
      <w:r>
        <w:rPr>
          <w:b/>
          <w:color w:val="5B21B6"/>
          <w:sz w:val="24"/>
        </w:rPr>
        <w:t xml:space="preserve">  5.  </w:t>
      </w:r>
      <w:r>
        <w:rPr>
          <w:color w:val="333333"/>
          <w:sz w:val="24"/>
        </w:rPr>
        <w:t>Define the MVP &amp; Build</w:t>
      </w:r>
      <w:r>
        <w:rPr>
          <w:color w:val="9CA3AF"/>
          <w:sz w:val="20"/>
        </w:rPr>
        <w:t xml:space="preserve">  [Build]</w:t>
      </w:r>
    </w:p>
    <w:p>
      <w:pPr>
        <w:spacing w:after="80"/>
      </w:pPr>
      <w:r>
        <w:rPr>
          <w:i/>
          <w:color w:val="7C3AED"/>
          <w:sz w:val="22"/>
        </w:rPr>
        <w:t xml:space="preserve">       Governance Gate</w:t>
      </w:r>
    </w:p>
    <w:p>
      <w:pPr>
        <w:spacing w:after="80"/>
      </w:pPr>
      <w:r>
        <w:rPr>
          <w:b/>
          <w:color w:val="5B21B6"/>
          <w:sz w:val="24"/>
        </w:rPr>
        <w:t xml:space="preserve">  6.  </w:t>
      </w:r>
      <w:r>
        <w:rPr>
          <w:color w:val="333333"/>
          <w:sz w:val="24"/>
        </w:rPr>
        <w:t>GTM Ready: Package the Solution</w:t>
      </w:r>
      <w:r>
        <w:rPr>
          <w:color w:val="9CA3AF"/>
          <w:sz w:val="20"/>
        </w:rPr>
        <w:t xml:space="preserve">  [GTM Ready]</w:t>
      </w:r>
    </w:p>
    <w:p>
      <w:pPr>
        <w:spacing w:after="80"/>
      </w:pPr>
      <w:r>
        <w:rPr>
          <w:b/>
          <w:color w:val="5B21B6"/>
          <w:sz w:val="24"/>
        </w:rPr>
        <w:t xml:space="preserve">  7.  </w:t>
      </w:r>
      <w:r>
        <w:rPr>
          <w:color w:val="333333"/>
          <w:sz w:val="24"/>
        </w:rPr>
        <w:t>GTM Push: Showcase &amp; Sales Activation</w:t>
      </w:r>
      <w:r>
        <w:rPr>
          <w:color w:val="9CA3AF"/>
          <w:sz w:val="20"/>
        </w:rPr>
        <w:t xml:space="preserve">  [Go-To-Market]</w:t>
      </w:r>
    </w:p>
    <w:p>
      <w:pPr>
        <w:spacing w:after="80"/>
      </w:pPr>
      <w:r>
        <w:rPr>
          <w:b/>
          <w:color w:val="5B21B6"/>
          <w:sz w:val="24"/>
        </w:rPr>
        <w:t xml:space="preserve">  8.  </w:t>
      </w:r>
      <w:r>
        <w:rPr>
          <w:color w:val="333333"/>
          <w:sz w:val="24"/>
        </w:rPr>
        <w:t>Track Results &amp; Continuous Improvement</w:t>
      </w:r>
      <w:r>
        <w:rPr>
          <w:color w:val="9CA3AF"/>
          <w:sz w:val="20"/>
        </w:rPr>
        <w:t xml:space="preserve">  [Measure]</w:t>
      </w:r>
    </w:p>
    <w:p>
      <w:r>
        <w:br w:type="page"/>
      </w:r>
    </w:p>
    <w:p>
      <w:pPr>
        <w:pStyle w:val="Heading1"/>
      </w:pPr>
      <w:r>
        <w:t>Step 1: Identify &amp; Generate AI Use Cases</w:t>
      </w:r>
    </w:p>
    <w:p>
      <w:r>
        <w:rPr>
          <w:b/>
          <w:color w:val="7C3AED"/>
          <w:sz w:val="18"/>
        </w:rPr>
        <w:t>PHASE: IDEATION</w:t>
      </w:r>
    </w:p>
    <w:p>
      <w:pPr>
        <w:spacing w:before="80" w:after="80"/>
      </w:pPr>
      <w:r>
        <w:rPr>
          <w:color w:val="7C3AED"/>
          <w:sz w:val="4"/>
        </w:rPr>
        <w:t>________________________________________________________________________________</w:t>
      </w:r>
    </w:p>
    <w:p>
      <w:pPr>
        <w:pStyle w:val="Heading3"/>
      </w:pPr>
      <w:r>
        <w:t>What to Do</w:t>
      </w:r>
    </w:p>
    <w:p>
      <w:pPr>
        <w:pStyle w:val="ListBullet"/>
      </w:pPr>
      <w:r>
        <w:rPr>
          <w:sz w:val="21"/>
        </w:rPr>
        <w:t>Talk to your Practice Lead about client pain points, market gaps, and emerging opportunities in your domain.</w:t>
      </w:r>
    </w:p>
    <w:p>
      <w:pPr>
        <w:pStyle w:val="ListBullet"/>
      </w:pPr>
      <w:r>
        <w:rPr>
          <w:sz w:val="21"/>
        </w:rPr>
        <w:t>Each Domain Partner elects an AI Champion to be the point person for AI use case ideation within their practice area.</w:t>
      </w:r>
    </w:p>
    <w:p>
      <w:pPr>
        <w:pStyle w:val="ListBullet"/>
      </w:pPr>
      <w:r>
        <w:rPr>
          <w:sz w:val="21"/>
        </w:rPr>
        <w:t>Brainstorm use cases from in-flight projects, client conversations, and competitive market analysis.</w:t>
      </w:r>
    </w:p>
    <w:p>
      <w:pPr>
        <w:pStyle w:val="ListBullet"/>
      </w:pPr>
      <w:r>
        <w:rPr>
          <w:sz w:val="21"/>
        </w:rPr>
        <w:t>Check the Global Demo Catalog to see what solutions already exist across 10 domains and 79+ mapped solutions — avoid duplication.</w:t>
      </w:r>
    </w:p>
    <w:p>
      <w:pPr>
        <w:pStyle w:val="ListBullet"/>
      </w:pPr>
      <w:r>
        <w:rPr>
          <w:sz w:val="21"/>
        </w:rPr>
        <w:t>For AI Infusion opportunities, identify repetitive work or manual processes in current fixed-fee projects that could be enhanced with AI.</w:t>
      </w:r>
    </w:p>
    <w:p>
      <w:pPr>
        <w:pStyle w:val="Heading3"/>
      </w:pPr>
      <w:r>
        <w:t>Requirements</w:t>
      </w:r>
    </w:p>
    <w:p>
      <w:pPr>
        <w:pStyle w:val="ListBullet"/>
      </w:pPr>
      <w:r>
        <w:rPr>
          <w:sz w:val="21"/>
        </w:rPr>
        <w:t>Nominated AI Champion per practice area (elected by Domain Partner)</w:t>
      </w:r>
    </w:p>
    <w:p>
      <w:pPr>
        <w:pStyle w:val="ListBullet"/>
      </w:pPr>
      <w:r>
        <w:rPr>
          <w:sz w:val="21"/>
        </w:rPr>
        <w:t>Clear understanding of target client personas and their pain points</w:t>
      </w:r>
    </w:p>
    <w:p>
      <w:pPr>
        <w:pStyle w:val="ListBullet"/>
      </w:pPr>
      <w:r>
        <w:rPr>
          <w:sz w:val="21"/>
        </w:rPr>
        <w:t>Awareness of existing solutions in the Global Demo Catalog across 10 domains: Banking/Financial Services, Insurance, SDLC/Engineering, Risk/Compliance/Legal, Knowledge Management, Operations/PMO, Cybersecurity, Customer/Sales/Marketing, Finance/CFO, Cross Domain</w:t>
      </w:r>
    </w:p>
    <w:p>
      <w:pPr>
        <w:pStyle w:val="ListBullet"/>
      </w:pPr>
      <w:r>
        <w:rPr>
          <w:sz w:val="21"/>
        </w:rPr>
        <w:t>Use cases must be repeatable across multiple clients or opportunities</w:t>
      </w:r>
    </w:p>
    <w:p>
      <w:pPr>
        <w:pStyle w:val="ListBullet"/>
      </w:pPr>
      <w:r>
        <w:rPr>
          <w:sz w:val="21"/>
        </w:rPr>
        <w:t>Relevant to a real client or market pain point</w:t>
      </w:r>
    </w:p>
    <w:p>
      <w:pPr>
        <w:spacing w:before="80"/>
      </w:pPr>
      <w:r>
        <w:rPr>
          <w:b/>
          <w:color w:val="5B21B6"/>
          <w:sz w:val="20"/>
        </w:rPr>
        <w:t xml:space="preserve">Key Roles: </w:t>
      </w:r>
      <w:r>
        <w:rPr>
          <w:color w:val="6B7280"/>
          <w:sz w:val="20"/>
        </w:rPr>
        <w:t>Practice Lead  |  AI Champion  |  Domain Partner  |  Account Partner</w:t>
      </w:r>
    </w:p>
    <w:p>
      <w:r>
        <w:br w:type="page"/>
      </w:r>
    </w:p>
    <w:p>
      <w:pPr>
        <w:pStyle w:val="Heading1"/>
      </w:pPr>
      <w:r>
        <w:t>Step 2: Submit Use Case Intake</w:t>
      </w:r>
    </w:p>
    <w:p>
      <w:r>
        <w:rPr>
          <w:b/>
          <w:color w:val="7C3AED"/>
          <w:sz w:val="18"/>
        </w:rPr>
        <w:t>PHASE: INTAKE</w:t>
      </w:r>
    </w:p>
    <w:p>
      <w:pPr>
        <w:spacing w:before="80" w:after="80"/>
      </w:pPr>
      <w:r>
        <w:rPr>
          <w:color w:val="7C3AED"/>
          <w:sz w:val="4"/>
        </w:rPr>
        <w:t>________________________________________________________________________________</w:t>
      </w:r>
    </w:p>
    <w:p>
      <w:pPr>
        <w:pStyle w:val="Heading3"/>
      </w:pPr>
      <w:r>
        <w:t>What to Do</w:t>
      </w:r>
    </w:p>
    <w:p>
      <w:pPr>
        <w:pStyle w:val="ListBullet"/>
      </w:pPr>
      <w:r>
        <w:rPr>
          <w:sz w:val="21"/>
        </w:rPr>
        <w:t>Complete the AI Use-Case Intake Form (one row per use case).</w:t>
      </w:r>
    </w:p>
    <w:p>
      <w:r>
        <w:rPr>
          <w:b/>
          <w:sz w:val="22"/>
        </w:rPr>
        <w:t>Answer the 4 Core Desirability Questions:</w:t>
      </w:r>
    </w:p>
    <w:p>
      <w:pPr>
        <w:pStyle w:val="ListBullet"/>
      </w:pPr>
      <w:r>
        <w:rPr>
          <w:sz w:val="21"/>
        </w:rPr>
        <w:t>What is the pain/problem? — Describe the business challenge clearly.</w:t>
      </w:r>
    </w:p>
    <w:p>
      <w:pPr>
        <w:pStyle w:val="ListBullet"/>
      </w:pPr>
      <w:r>
        <w:rPr>
          <w:sz w:val="21"/>
        </w:rPr>
        <w:t>Who feels the pain? — Identify the user, buyer, or team affected.</w:t>
      </w:r>
    </w:p>
    <w:p>
      <w:pPr>
        <w:pStyle w:val="ListBullet"/>
      </w:pPr>
      <w:r>
        <w:rPr>
          <w:sz w:val="21"/>
        </w:rPr>
        <w:t>Why does it matter? — Explain impact on cost, speed, risk, growth, or experience.</w:t>
      </w:r>
    </w:p>
    <w:p>
      <w:pPr>
        <w:pStyle w:val="ListBullet"/>
      </w:pPr>
      <w:r>
        <w:rPr>
          <w:sz w:val="21"/>
        </w:rPr>
        <w:t>Why is it unsolved today? — Note current blockers, manual workarounds, or market gaps.</w:t>
      </w:r>
    </w:p>
    <w:p>
      <w:pPr>
        <w:pStyle w:val="Heading3"/>
      </w:pPr>
      <w:r>
        <w:t>Intake Form Fields Required</w:t>
      </w:r>
    </w:p>
    <w:p>
      <w:pPr>
        <w:pStyle w:val="ListBullet"/>
      </w:pPr>
      <w:r>
        <w:rPr>
          <w:sz w:val="21"/>
        </w:rPr>
        <w:t>Use Case Title</w:t>
      </w:r>
    </w:p>
    <w:p>
      <w:pPr>
        <w:pStyle w:val="ListBullet"/>
      </w:pPr>
      <w:r>
        <w:rPr>
          <w:sz w:val="21"/>
        </w:rPr>
        <w:t>Practice &amp; Sub-Practice / Function</w:t>
      </w:r>
    </w:p>
    <w:p>
      <w:pPr>
        <w:pStyle w:val="ListBullet"/>
      </w:pPr>
      <w:r>
        <w:rPr>
          <w:sz w:val="21"/>
        </w:rPr>
        <w:t>Champion Name</w:t>
      </w:r>
    </w:p>
    <w:p>
      <w:pPr>
        <w:pStyle w:val="ListBullet"/>
      </w:pPr>
      <w:r>
        <w:rPr>
          <w:sz w:val="21"/>
        </w:rPr>
        <w:t>Description of Use Case</w:t>
      </w:r>
    </w:p>
    <w:p>
      <w:pPr>
        <w:pStyle w:val="ListBullet"/>
      </w:pPr>
      <w:r>
        <w:rPr>
          <w:sz w:val="21"/>
        </w:rPr>
        <w:t>Pain Point Addressed &amp; Current Blocker to Resolution</w:t>
      </w:r>
    </w:p>
    <w:p>
      <w:pPr>
        <w:pStyle w:val="ListBullet"/>
      </w:pPr>
      <w:r>
        <w:rPr>
          <w:sz w:val="21"/>
        </w:rPr>
        <w:t>Target User (Persona)</w:t>
      </w:r>
    </w:p>
    <w:p>
      <w:pPr>
        <w:pStyle w:val="ListBullet"/>
      </w:pPr>
      <w:r>
        <w:rPr>
          <w:sz w:val="21"/>
        </w:rPr>
        <w:t>Expected Business Value (Impact)</w:t>
      </w:r>
    </w:p>
    <w:p>
      <w:pPr>
        <w:pStyle w:val="ListBullet"/>
      </w:pPr>
      <w:r>
        <w:rPr>
          <w:sz w:val="21"/>
        </w:rPr>
        <w:t>Market Demand Assessment</w:t>
      </w:r>
    </w:p>
    <w:p>
      <w:pPr>
        <w:pStyle w:val="ListBullet"/>
      </w:pPr>
      <w:r>
        <w:rPr>
          <w:sz w:val="21"/>
        </w:rPr>
        <w:t>Priority Ranking: High (strong client value, clear demand) / Medium (promising, needs validation) / Low (interesting, less urgent)</w:t>
      </w:r>
    </w:p>
    <w:p>
      <w:pPr>
        <w:pStyle w:val="ListBullet"/>
      </w:pPr>
      <w:r>
        <w:rPr>
          <w:sz w:val="21"/>
        </w:rPr>
        <w:t>Revenue Potential &amp; Targeted Accounts</w:t>
      </w:r>
    </w:p>
    <w:p>
      <w:pPr>
        <w:pStyle w:val="Heading3"/>
      </w:pPr>
      <w:r>
        <w:t>Tips</w:t>
      </w:r>
    </w:p>
    <w:p>
      <w:pPr>
        <w:pStyle w:val="ListBullet"/>
      </w:pPr>
      <w:r>
        <w:rPr>
          <w:sz w:val="21"/>
        </w:rPr>
        <w:t>Keep answers concise. Submit multiple ideas if relevant.</w:t>
      </w:r>
    </w:p>
    <w:p>
      <w:pPr>
        <w:pStyle w:val="ListBullet"/>
      </w:pPr>
      <w:r>
        <w:rPr>
          <w:sz w:val="21"/>
        </w:rPr>
        <w:t>Focus on practical, industry-relevant opportunities.</w:t>
      </w:r>
    </w:p>
    <w:p>
      <w:pPr>
        <w:pStyle w:val="ListBullet"/>
      </w:pPr>
      <w:r>
        <w:rPr>
          <w:sz w:val="21"/>
        </w:rPr>
        <w:t>Reference the Global Catalog sheet for existing solutions.</w:t>
      </w:r>
    </w:p>
    <w:p>
      <w:pPr>
        <w:spacing w:before="80"/>
      </w:pPr>
      <w:r>
        <w:rPr>
          <w:b/>
          <w:color w:val="5B21B6"/>
          <w:sz w:val="20"/>
        </w:rPr>
        <w:t xml:space="preserve">Key Roles: </w:t>
      </w:r>
      <w:r>
        <w:rPr>
          <w:color w:val="6B7280"/>
          <w:sz w:val="20"/>
        </w:rPr>
        <w:t>AI Champion  |  AI Infusion Champion</w:t>
      </w:r>
    </w:p>
    <w:p>
      <w:r>
        <w:br w:type="page"/>
      </w:r>
    </w:p>
    <w:p>
      <w:pPr>
        <w:pStyle w:val="Heading1"/>
      </w:pPr>
      <w:r>
        <w:t>Step 3: AI Lab Management Review</w:t>
      </w:r>
    </w:p>
    <w:p>
      <w:r>
        <w:rPr>
          <w:b/>
          <w:color w:val="7C3AED"/>
          <w:sz w:val="18"/>
        </w:rPr>
        <w:t>PHASE: ASSESSMENT</w:t>
      </w:r>
    </w:p>
    <w:p>
      <w:pPr>
        <w:spacing w:before="80" w:after="80"/>
      </w:pPr>
      <w:r>
        <w:rPr>
          <w:color w:val="7C3AED"/>
          <w:sz w:val="4"/>
        </w:rPr>
        <w:t>________________________________________________________________________________</w:t>
      </w:r>
    </w:p>
    <w:p>
      <w:pPr>
        <w:pStyle w:val="Heading3"/>
      </w:pPr>
      <w:r>
        <w:t>What to Do</w:t>
      </w:r>
    </w:p>
    <w:p>
      <w:pPr>
        <w:pStyle w:val="ListBullet"/>
      </w:pPr>
      <w:r>
        <w:rPr>
          <w:sz w:val="21"/>
        </w:rPr>
        <w:t>AI Lab Leadership reviews all submitted use cases against strategic priorities.</w:t>
      </w:r>
    </w:p>
    <w:p>
      <w:pPr>
        <w:pStyle w:val="ListBullet"/>
      </w:pPr>
      <w:r>
        <w:rPr>
          <w:sz w:val="21"/>
        </w:rPr>
        <w:t>Leadership determines project scope: POC (Proof of Concept), MVP (Minimum Viable Product), or Full Build — based on the solution’s Business Value and Technology Depth.</w:t>
      </w:r>
    </w:p>
    <w:p>
      <w:pPr>
        <w:pStyle w:val="ListBullet"/>
      </w:pPr>
      <w:r>
        <w:rPr>
          <w:sz w:val="21"/>
        </w:rPr>
        <w:t>Evaluate strategic alignment, data maturity, and regulatory/compliance impact.</w:t>
      </w:r>
    </w:p>
    <w:p>
      <w:pPr>
        <w:pStyle w:val="ListBullet"/>
      </w:pPr>
      <w:r>
        <w:rPr>
          <w:sz w:val="21"/>
        </w:rPr>
        <w:t>Prioritize top 1–2 use cases per champion for development.</w:t>
      </w:r>
    </w:p>
    <w:p>
      <w:pPr>
        <w:pStyle w:val="Heading3"/>
      </w:pPr>
      <w:r>
        <w:t>Requirements</w:t>
      </w:r>
    </w:p>
    <w:p>
      <w:pPr>
        <w:pStyle w:val="ListBullet"/>
      </w:pPr>
      <w:r>
        <w:rPr>
          <w:sz w:val="21"/>
        </w:rPr>
        <w:t>Strategic alignment with organizational goals confirmed</w:t>
      </w:r>
    </w:p>
    <w:p>
      <w:pPr>
        <w:pStyle w:val="ListBullet"/>
      </w:pPr>
      <w:r>
        <w:rPr>
          <w:sz w:val="21"/>
        </w:rPr>
        <w:t>Data readiness and maturity assessment completed</w:t>
      </w:r>
    </w:p>
    <w:p>
      <w:pPr>
        <w:pStyle w:val="ListBullet"/>
      </w:pPr>
      <w:r>
        <w:rPr>
          <w:sz w:val="21"/>
        </w:rPr>
        <w:t>Regulatory / compliance impact analysis performed</w:t>
      </w:r>
    </w:p>
    <w:p>
      <w:pPr>
        <w:pStyle w:val="ListBullet"/>
      </w:pPr>
      <w:r>
        <w:rPr>
          <w:sz w:val="21"/>
        </w:rPr>
        <w:t>Resource availability confirmed across AI Forward Engineers</w:t>
      </w:r>
    </w:p>
    <w:p>
      <w:pPr>
        <w:pStyle w:val="ListBullet"/>
      </w:pPr>
      <w:r>
        <w:rPr>
          <w:sz w:val="21"/>
        </w:rPr>
        <w:t>Business Sponsor identified and sign-off obtained</w:t>
      </w:r>
    </w:p>
    <w:p>
      <w:pPr>
        <w:pStyle w:val="Heading2"/>
      </w:pPr>
      <w:r>
        <w:t>Release Gate Decision</w:t>
      </w:r>
    </w:p>
    <w:p>
      <w:r>
        <w:rPr>
          <w:sz w:val="22"/>
        </w:rPr>
        <w:t>At this point, a gateway decision is made: Is the project approved to proceed? If YES, the project moves to setup and build. If NO, the use case returns to ideation for refinement or is deprioritized.</w:t>
      </w:r>
    </w:p>
    <w:p>
      <w:pPr>
        <w:spacing w:before="80"/>
      </w:pPr>
      <w:r>
        <w:rPr>
          <w:b/>
          <w:color w:val="5B21B6"/>
          <w:sz w:val="20"/>
        </w:rPr>
        <w:t xml:space="preserve">Key Roles: </w:t>
      </w:r>
      <w:r>
        <w:rPr>
          <w:color w:val="6B7280"/>
          <w:sz w:val="20"/>
        </w:rPr>
        <w:t>AI Lab Leadership  |  Business Sponsor  |  Technology Owner</w:t>
      </w:r>
    </w:p>
    <w:p>
      <w:r>
        <w:br w:type="page"/>
      </w:r>
    </w:p>
    <w:p>
      <w:pPr>
        <w:pStyle w:val="Heading1"/>
      </w:pPr>
      <w:r>
        <w:t>Step 4: Project Setup &amp; Resource Allocation</w:t>
      </w:r>
    </w:p>
    <w:p>
      <w:r>
        <w:rPr>
          <w:b/>
          <w:color w:val="7C3AED"/>
          <w:sz w:val="18"/>
        </w:rPr>
        <w:t>PHASE: SETUP</w:t>
      </w:r>
    </w:p>
    <w:p>
      <w:pPr>
        <w:spacing w:before="80" w:after="80"/>
      </w:pPr>
      <w:r>
        <w:rPr>
          <w:color w:val="7C3AED"/>
          <w:sz w:val="4"/>
        </w:rPr>
        <w:t>________________________________________________________________________________</w:t>
      </w:r>
    </w:p>
    <w:p>
      <w:pPr>
        <w:pStyle w:val="Heading3"/>
      </w:pPr>
      <w:r>
        <w:t>Three Parallel Workstreams</w:t>
      </w:r>
    </w:p>
    <w:p>
      <w:r>
        <w:rPr>
          <w:b/>
        </w:rPr>
        <w:t xml:space="preserve">Asset Register: </w:t>
      </w:r>
      <w:r>
        <w:t>Model the AI solution into the asset register. Document the solution’s scope, technology stack, and expected outcomes.</w:t>
      </w:r>
    </w:p>
    <w:p>
      <w:r>
        <w:rPr>
          <w:b/>
        </w:rPr>
        <w:t xml:space="preserve">Set Up Jira: </w:t>
      </w:r>
      <w:r>
        <w:t>Create the Jira project with epics, user stories, and sprint backlog. Establish the sprint cadence and assign the project team.</w:t>
      </w:r>
    </w:p>
    <w:p>
      <w:r>
        <w:rPr>
          <w:b/>
        </w:rPr>
        <w:t xml:space="preserve">Allocate Resources: </w:t>
      </w:r>
      <w:r>
        <w:t>Use Retain to assign AI Forward Engineers and supporting team members. Confirm availability and engagement timeline.</w:t>
      </w:r>
    </w:p>
    <w:p>
      <w:pPr>
        <w:pStyle w:val="Heading3"/>
      </w:pPr>
      <w:r>
        <w:t>Requirements</w:t>
      </w:r>
    </w:p>
    <w:p>
      <w:pPr>
        <w:pStyle w:val="ListBullet"/>
      </w:pPr>
      <w:r>
        <w:rPr>
          <w:sz w:val="21"/>
        </w:rPr>
        <w:t>Jira project board with defined epics, stories, and acceptance criteria</w:t>
      </w:r>
    </w:p>
    <w:p>
      <w:pPr>
        <w:pStyle w:val="ListBullet"/>
      </w:pPr>
      <w:r>
        <w:rPr>
          <w:sz w:val="21"/>
        </w:rPr>
        <w:t>Assigned AI Forward Engineer(s) with confirmed availability</w:t>
      </w:r>
    </w:p>
    <w:p>
      <w:pPr>
        <w:pStyle w:val="ListBullet"/>
      </w:pPr>
      <w:r>
        <w:rPr>
          <w:sz w:val="21"/>
        </w:rPr>
        <w:t>Asset registration completed in the central register</w:t>
      </w:r>
    </w:p>
    <w:p>
      <w:pPr>
        <w:pStyle w:val="ListBullet"/>
      </w:pPr>
      <w:r>
        <w:rPr>
          <w:sz w:val="21"/>
        </w:rPr>
        <w:t>Resource allocation confirmed in Retain system</w:t>
      </w:r>
    </w:p>
    <w:p>
      <w:pPr>
        <w:pStyle w:val="ListBullet"/>
      </w:pPr>
      <w:r>
        <w:rPr>
          <w:sz w:val="21"/>
        </w:rPr>
        <w:t>Point of contact and Business Sponsor formally identified</w:t>
      </w:r>
    </w:p>
    <w:p>
      <w:pPr>
        <w:pStyle w:val="ListBullet"/>
      </w:pPr>
      <w:r>
        <w:rPr>
          <w:sz w:val="21"/>
        </w:rPr>
        <w:t>Weekly checkpoint cadence established</w:t>
      </w:r>
    </w:p>
    <w:p>
      <w:pPr>
        <w:spacing w:before="80"/>
      </w:pPr>
      <w:r>
        <w:rPr>
          <w:b/>
          <w:color w:val="5B21B6"/>
          <w:sz w:val="20"/>
        </w:rPr>
        <w:t xml:space="preserve">Key Roles: </w:t>
      </w:r>
      <w:r>
        <w:rPr>
          <w:color w:val="6B7280"/>
          <w:sz w:val="20"/>
        </w:rPr>
        <w:t>AI Lab Management  |  AI Forward Engineer  |  Program Manager</w:t>
      </w:r>
    </w:p>
    <w:p>
      <w:r>
        <w:br w:type="page"/>
      </w:r>
    </w:p>
    <w:p>
      <w:pPr>
        <w:pStyle w:val="Heading1"/>
      </w:pPr>
      <w:r>
        <w:t>Step 5: Define the MVP &amp; Build</w:t>
      </w:r>
    </w:p>
    <w:p>
      <w:r>
        <w:rPr>
          <w:b/>
          <w:color w:val="7C3AED"/>
          <w:sz w:val="18"/>
        </w:rPr>
        <w:t>PHASE: BUILD</w:t>
      </w:r>
    </w:p>
    <w:p>
      <w:pPr>
        <w:spacing w:before="80" w:after="80"/>
      </w:pPr>
      <w:r>
        <w:rPr>
          <w:color w:val="7C3AED"/>
          <w:sz w:val="4"/>
        </w:rPr>
        <w:t>________________________________________________________________________________</w:t>
      </w:r>
    </w:p>
    <w:p>
      <w:pPr>
        <w:pStyle w:val="Heading3"/>
      </w:pPr>
      <w:r>
        <w:t>What to Do</w:t>
      </w:r>
    </w:p>
    <w:p>
      <w:pPr>
        <w:pStyle w:val="ListBullet"/>
      </w:pPr>
      <w:r>
        <w:rPr>
          <w:sz w:val="21"/>
        </w:rPr>
        <w:t>Define the MVP: The AI Lab and the Business collaboratively define the Minimum Viable Product — what features are in scope, what the demo should show, and what success looks like.</w:t>
      </w:r>
    </w:p>
    <w:p>
      <w:pPr>
        <w:pStyle w:val="ListBullet"/>
      </w:pPr>
      <w:r>
        <w:rPr>
          <w:sz w:val="21"/>
        </w:rPr>
        <w:t>Develop the solution through iterative sprint cycles.</w:t>
      </w:r>
    </w:p>
    <w:p>
      <w:pPr>
        <w:pStyle w:val="ListBullet"/>
      </w:pPr>
      <w:r>
        <w:rPr>
          <w:sz w:val="21"/>
        </w:rPr>
        <w:t>Build the demo environment with real-world scenarios and sample data.</w:t>
      </w:r>
    </w:p>
    <w:p>
      <w:pPr>
        <w:pStyle w:val="ListBullet"/>
      </w:pPr>
      <w:r>
        <w:rPr>
          <w:sz w:val="21"/>
        </w:rPr>
        <w:t>Conduct iterative testing with user feedback at each sprint review.</w:t>
      </w:r>
    </w:p>
    <w:p>
      <w:pPr>
        <w:pStyle w:val="ListBullet"/>
      </w:pPr>
      <w:r>
        <w:rPr>
          <w:sz w:val="21"/>
        </w:rPr>
        <w:t>Track demo status progression: Backlog → Build In-Progress → MVP Demo Complete → Additional Features In Progress.</w:t>
      </w:r>
    </w:p>
    <w:p>
      <w:pPr>
        <w:pStyle w:val="Heading3"/>
      </w:pPr>
      <w:r>
        <w:t>Requirements</w:t>
      </w:r>
    </w:p>
    <w:p>
      <w:pPr>
        <w:pStyle w:val="ListBullet"/>
      </w:pPr>
      <w:r>
        <w:rPr>
          <w:sz w:val="21"/>
        </w:rPr>
        <w:t>MVP scope definition signed off by the Business Sponsor</w:t>
      </w:r>
    </w:p>
    <w:p>
      <w:pPr>
        <w:pStyle w:val="ListBullet"/>
      </w:pPr>
      <w:r>
        <w:rPr>
          <w:sz w:val="21"/>
        </w:rPr>
        <w:t>Development environment and tooling ready</w:t>
      </w:r>
    </w:p>
    <w:p>
      <w:pPr>
        <w:pStyle w:val="ListBullet"/>
      </w:pPr>
      <w:r>
        <w:rPr>
          <w:sz w:val="21"/>
        </w:rPr>
        <w:t>Sprint cadence with weekly checkpoints</w:t>
      </w:r>
    </w:p>
    <w:p>
      <w:pPr>
        <w:pStyle w:val="ListBullet"/>
      </w:pPr>
      <w:r>
        <w:rPr>
          <w:sz w:val="21"/>
        </w:rPr>
        <w:t>Demo script and test scenarios prepared</w:t>
      </w:r>
    </w:p>
    <w:p>
      <w:pPr>
        <w:pStyle w:val="ListBullet"/>
      </w:pPr>
      <w:r>
        <w:rPr>
          <w:sz w:val="21"/>
        </w:rPr>
        <w:t>Compliance and data security review initiated in parallel</w:t>
      </w:r>
    </w:p>
    <w:p>
      <w:pPr>
        <w:pStyle w:val="ListBullet"/>
      </w:pPr>
      <w:r>
        <w:rPr>
          <w:sz w:val="21"/>
        </w:rPr>
        <w:t>Office hours support available for the build team</w:t>
      </w:r>
    </w:p>
    <w:p>
      <w:pPr>
        <w:pStyle w:val="Heading2"/>
      </w:pPr>
      <w:r>
        <w:t>Governance Gate</w:t>
      </w:r>
    </w:p>
    <w:p>
      <w:r>
        <w:t>Before proceeding to GTM, the solution must pass through a Governance Gate:</w:t>
        <w:br/>
      </w:r>
    </w:p>
    <w:p>
      <w:pPr>
        <w:pStyle w:val="ListBullet"/>
      </w:pPr>
      <w:r>
        <w:rPr>
          <w:sz w:val="21"/>
        </w:rPr>
        <w:t>AI Governance Evaluation — assess model fairness, explainability, and ethical considerations</w:t>
      </w:r>
    </w:p>
    <w:p>
      <w:pPr>
        <w:pStyle w:val="ListBullet"/>
      </w:pPr>
      <w:r>
        <w:rPr>
          <w:sz w:val="21"/>
        </w:rPr>
        <w:t>Compliance Checks — regulatory alignment (e.g., ECOA, Basel, NY Reg 126, BCBS 239)</w:t>
      </w:r>
    </w:p>
    <w:p>
      <w:pPr>
        <w:pStyle w:val="ListBullet"/>
      </w:pPr>
      <w:r>
        <w:rPr>
          <w:sz w:val="21"/>
        </w:rPr>
        <w:t>Data Security Review — data handling, privacy, and security controls</w:t>
      </w:r>
    </w:p>
    <w:p>
      <w:pPr>
        <w:pStyle w:val="ListBullet"/>
      </w:pPr>
      <w:r>
        <w:rPr>
          <w:sz w:val="21"/>
        </w:rPr>
        <w:t>Model Risk Validation — model performance, robustness, and risk assessment</w:t>
      </w:r>
    </w:p>
    <w:p>
      <w:pPr>
        <w:spacing w:before="80"/>
      </w:pPr>
      <w:r>
        <w:rPr>
          <w:b/>
          <w:color w:val="5B21B6"/>
          <w:sz w:val="20"/>
        </w:rPr>
        <w:t xml:space="preserve">Key Roles: </w:t>
      </w:r>
      <w:r>
        <w:rPr>
          <w:color w:val="6B7280"/>
          <w:sz w:val="20"/>
        </w:rPr>
        <w:t>AI Forward Engineer  |  Business Sponsor  |  AI Champion  |  CRO  |  CDO  |  Compliance</w:t>
      </w:r>
    </w:p>
    <w:p>
      <w:r>
        <w:br w:type="page"/>
      </w:r>
    </w:p>
    <w:p>
      <w:pPr>
        <w:pStyle w:val="Heading1"/>
      </w:pPr>
      <w:r>
        <w:t>Step 6: GTM Ready — Package the Solution</w:t>
      </w:r>
    </w:p>
    <w:p>
      <w:r>
        <w:rPr>
          <w:b/>
          <w:color w:val="7C3AED"/>
          <w:sz w:val="18"/>
        </w:rPr>
        <w:t>PHASE: GTM READY</w:t>
      </w:r>
    </w:p>
    <w:p>
      <w:pPr>
        <w:spacing w:before="80" w:after="80"/>
      </w:pPr>
      <w:r>
        <w:rPr>
          <w:color w:val="7C3AED"/>
          <w:sz w:val="4"/>
        </w:rPr>
        <w:t>________________________________________________________________________________</w:t>
      </w:r>
    </w:p>
    <w:p>
      <w:pPr>
        <w:pStyle w:val="Heading3"/>
      </w:pPr>
      <w:r>
        <w:t>What to Do</w:t>
      </w:r>
    </w:p>
    <w:p>
      <w:pPr>
        <w:pStyle w:val="ListBullet"/>
      </w:pPr>
      <w:r>
        <w:rPr>
          <w:sz w:val="21"/>
        </w:rPr>
        <w:t>Finalize the demo script and conduct full run-throughs.</w:t>
      </w:r>
    </w:p>
    <w:p>
      <w:pPr>
        <w:pStyle w:val="ListBullet"/>
      </w:pPr>
      <w:r>
        <w:rPr>
          <w:sz w:val="21"/>
        </w:rPr>
        <w:t>Prepare the "AI vs. Non-AI" talk track — 1–2 lines of competitive differentiation explaining what AI enables vs. the status quo.</w:t>
      </w:r>
    </w:p>
    <w:p>
      <w:pPr>
        <w:pStyle w:val="ListBullet"/>
      </w:pPr>
      <w:r>
        <w:rPr>
          <w:sz w:val="21"/>
        </w:rPr>
        <w:t>Create sales enablement materials: solution one-pager, pricing template, engagement model.</w:t>
      </w:r>
    </w:p>
    <w:p>
      <w:pPr>
        <w:pStyle w:val="ListBullet"/>
      </w:pPr>
      <w:r>
        <w:rPr>
          <w:sz w:val="21"/>
        </w:rPr>
        <w:t>Identify best-fit buyers and map to target accounts.</w:t>
      </w:r>
    </w:p>
    <w:p>
      <w:pPr>
        <w:pStyle w:val="ListBullet"/>
      </w:pPr>
      <w:r>
        <w:rPr>
          <w:sz w:val="21"/>
        </w:rPr>
        <w:t>Register the solution in the Global Demo Catalog with domain mapping and status update.</w:t>
      </w:r>
    </w:p>
    <w:p>
      <w:pPr>
        <w:pStyle w:val="Heading3"/>
      </w:pPr>
      <w:r>
        <w:t>Required Deliverables</w:t>
      </w:r>
    </w:p>
    <w:p>
      <w:pPr>
        <w:pStyle w:val="ListBullet"/>
      </w:pPr>
      <w:r>
        <w:rPr>
          <w:sz w:val="21"/>
        </w:rPr>
        <w:t>Completed demo with polished user experience</w:t>
      </w:r>
    </w:p>
    <w:p>
      <w:pPr>
        <w:pStyle w:val="ListBullet"/>
      </w:pPr>
      <w:r>
        <w:rPr>
          <w:sz w:val="21"/>
        </w:rPr>
        <w:t>One-pager / solution brief for sellers (see Demo One-Slider format)</w:t>
      </w:r>
    </w:p>
    <w:p>
      <w:pPr>
        <w:pStyle w:val="ListBullet"/>
      </w:pPr>
      <w:r>
        <w:rPr>
          <w:sz w:val="21"/>
        </w:rPr>
        <w:t>Competitive talk track (e.g., "With AI, we automate extraction + exceptioning; without AI, manual parsing drives delay + errors.")</w:t>
      </w:r>
    </w:p>
    <w:p>
      <w:pPr>
        <w:pStyle w:val="ListBullet"/>
      </w:pPr>
      <w:r>
        <w:rPr>
          <w:sz w:val="21"/>
        </w:rPr>
        <w:t>Pricing template and engagement model</w:t>
      </w:r>
    </w:p>
    <w:p>
      <w:pPr>
        <w:pStyle w:val="ListBullet"/>
      </w:pPr>
      <w:r>
        <w:rPr>
          <w:sz w:val="21"/>
        </w:rPr>
        <w:t>Defined target accounts and buyer personas</w:t>
      </w:r>
    </w:p>
    <w:p>
      <w:pPr>
        <w:pStyle w:val="ListBullet"/>
      </w:pPr>
      <w:r>
        <w:rPr>
          <w:sz w:val="21"/>
        </w:rPr>
        <w:t>Backlog reference and asset links documented</w:t>
      </w:r>
    </w:p>
    <w:p>
      <w:pPr>
        <w:pStyle w:val="ListBullet"/>
      </w:pPr>
      <w:r>
        <w:rPr>
          <w:sz w:val="21"/>
        </w:rPr>
        <w:t>SmartSuite alignment confirmed</w:t>
      </w:r>
    </w:p>
    <w:p>
      <w:pPr>
        <w:spacing w:before="80"/>
      </w:pPr>
      <w:r>
        <w:rPr>
          <w:b/>
          <w:color w:val="5B21B6"/>
          <w:sz w:val="20"/>
        </w:rPr>
        <w:t xml:space="preserve">Key Roles: </w:t>
      </w:r>
      <w:r>
        <w:rPr>
          <w:color w:val="6B7280"/>
          <w:sz w:val="20"/>
        </w:rPr>
        <w:t>AI Champion  |  Domain Leader  |  Sales Team  |  Program Manager</w:t>
      </w:r>
    </w:p>
    <w:p>
      <w:r>
        <w:br w:type="page"/>
      </w:r>
    </w:p>
    <w:p>
      <w:pPr>
        <w:pStyle w:val="Heading1"/>
      </w:pPr>
      <w:r>
        <w:t>Step 7: GTM Push — Showcase &amp; Sales Activation</w:t>
      </w:r>
    </w:p>
    <w:p>
      <w:r>
        <w:rPr>
          <w:b/>
          <w:color w:val="7C3AED"/>
          <w:sz w:val="18"/>
        </w:rPr>
        <w:t>PHASE: GO-TO-MARKET</w:t>
      </w:r>
    </w:p>
    <w:p>
      <w:pPr>
        <w:spacing w:before="80" w:after="80"/>
      </w:pPr>
      <w:r>
        <w:rPr>
          <w:color w:val="7C3AED"/>
          <w:sz w:val="4"/>
        </w:rPr>
        <w:t>________________________________________________________________________________</w:t>
      </w:r>
    </w:p>
    <w:p>
      <w:pPr>
        <w:pStyle w:val="Heading3"/>
      </w:pPr>
      <w:r>
        <w:t>What to Do</w:t>
      </w:r>
    </w:p>
    <w:p>
      <w:pPr>
        <w:pStyle w:val="ListBullet"/>
      </w:pPr>
      <w:r>
        <w:rPr>
          <w:sz w:val="21"/>
        </w:rPr>
        <w:t>Schedule AI Capability Showcases on the bi-weekly cadence, with rotating Domain Leader facilitation.</w:t>
      </w:r>
    </w:p>
    <w:p>
      <w:pPr>
        <w:pStyle w:val="ListBullet"/>
      </w:pPr>
      <w:r>
        <w:rPr>
          <w:sz w:val="21"/>
        </w:rPr>
        <w:t>Run Sales Activations targeting specific accounts identified in the GTM Ready phase.</w:t>
      </w:r>
    </w:p>
    <w:p>
      <w:pPr>
        <w:pStyle w:val="ListBullet"/>
      </w:pPr>
      <w:r>
        <w:rPr>
          <w:sz w:val="21"/>
        </w:rPr>
        <w:t>Form Sprint Pods — small, focused teams for active pursuit opportunities.</w:t>
      </w:r>
    </w:p>
    <w:p>
      <w:pPr>
        <w:pStyle w:val="ListBullet"/>
      </w:pPr>
      <w:r>
        <w:rPr>
          <w:sz w:val="21"/>
        </w:rPr>
        <w:t>Present to clients, demonstrate the solution live, and gather real-time feedback.</w:t>
      </w:r>
    </w:p>
    <w:p>
      <w:pPr>
        <w:pStyle w:val="ListBullet"/>
      </w:pPr>
      <w:r>
        <w:rPr>
          <w:sz w:val="21"/>
        </w:rPr>
        <w:t>Assign follow-up actions with clear owners and due dates.</w:t>
      </w:r>
    </w:p>
    <w:p>
      <w:pPr>
        <w:pStyle w:val="ListBullet"/>
      </w:pPr>
      <w:r>
        <w:rPr>
          <w:sz w:val="21"/>
        </w:rPr>
        <w:t>Send bi-weekly Showcase Communications to the broader organization.</w:t>
      </w:r>
    </w:p>
    <w:p>
      <w:pPr>
        <w:pStyle w:val="Heading3"/>
      </w:pPr>
      <w:r>
        <w:t>Showcase Planning Requirements</w:t>
      </w:r>
    </w:p>
    <w:p>
      <w:pPr>
        <w:pStyle w:val="ListBullet"/>
      </w:pPr>
      <w:r>
        <w:rPr>
          <w:sz w:val="21"/>
        </w:rPr>
        <w:t>Call Type defined: Sales Activation or AI Capability Showcase</w:t>
      </w:r>
    </w:p>
    <w:p>
      <w:pPr>
        <w:pStyle w:val="ListBullet"/>
      </w:pPr>
      <w:r>
        <w:rPr>
          <w:sz w:val="21"/>
        </w:rPr>
        <w:t>Date and Facilitator (rotating Domain Leader) confirmed</w:t>
      </w:r>
    </w:p>
    <w:p>
      <w:pPr>
        <w:pStyle w:val="ListBullet"/>
      </w:pPr>
      <w:r>
        <w:rPr>
          <w:sz w:val="21"/>
        </w:rPr>
        <w:t>Topic / Featured Use Case(s) selected</w:t>
      </w:r>
    </w:p>
    <w:p>
      <w:pPr>
        <w:pStyle w:val="ListBullet"/>
      </w:pPr>
      <w:r>
        <w:rPr>
          <w:sz w:val="21"/>
        </w:rPr>
        <w:t>Presenter(s) briefed and demo environment tested</w:t>
      </w:r>
    </w:p>
    <w:p>
      <w:pPr>
        <w:pStyle w:val="ListBullet"/>
      </w:pPr>
      <w:r>
        <w:rPr>
          <w:sz w:val="21"/>
        </w:rPr>
        <w:t>"AI vs. Non-AI" talk track ready</w:t>
      </w:r>
    </w:p>
    <w:p>
      <w:pPr>
        <w:pStyle w:val="ListBullet"/>
      </w:pPr>
      <w:r>
        <w:rPr>
          <w:sz w:val="21"/>
        </w:rPr>
        <w:t>Target accounts and follow-up teams identified</w:t>
      </w:r>
    </w:p>
    <w:p>
      <w:pPr>
        <w:pStyle w:val="ListBullet"/>
      </w:pPr>
      <w:r>
        <w:rPr>
          <w:sz w:val="21"/>
        </w:rPr>
        <w:t>Sprint pod members assigned for active pursuits</w:t>
      </w:r>
    </w:p>
    <w:p>
      <w:pPr>
        <w:pStyle w:val="ListBullet"/>
      </w:pPr>
      <w:r>
        <w:rPr>
          <w:sz w:val="21"/>
        </w:rPr>
        <w:t>Key decisions, actions, owners, and due dates documented post-showcase</w:t>
      </w:r>
    </w:p>
    <w:p>
      <w:pPr>
        <w:spacing w:before="80"/>
      </w:pPr>
      <w:r>
        <w:rPr>
          <w:b/>
          <w:color w:val="5B21B6"/>
          <w:sz w:val="20"/>
        </w:rPr>
        <w:t xml:space="preserve">Key Roles: </w:t>
      </w:r>
      <w:r>
        <w:rPr>
          <w:color w:val="6B7280"/>
          <w:sz w:val="20"/>
        </w:rPr>
        <w:t>Domain Leader  |  Account Partner  |  AI Champion  |  Business Sponsor</w:t>
      </w:r>
    </w:p>
    <w:p>
      <w:r>
        <w:br w:type="page"/>
      </w:r>
    </w:p>
    <w:p>
      <w:pPr>
        <w:pStyle w:val="Heading1"/>
      </w:pPr>
      <w:r>
        <w:t>Step 8: Track Results &amp; Continuous Improvement</w:t>
      </w:r>
    </w:p>
    <w:p>
      <w:r>
        <w:rPr>
          <w:b/>
          <w:color w:val="7C3AED"/>
          <w:sz w:val="18"/>
        </w:rPr>
        <w:t>PHASE: MEASURE</w:t>
      </w:r>
    </w:p>
    <w:p>
      <w:pPr>
        <w:spacing w:before="80" w:after="80"/>
      </w:pPr>
      <w:r>
        <w:rPr>
          <w:color w:val="7C3AED"/>
          <w:sz w:val="4"/>
        </w:rPr>
        <w:t>________________________________________________________________________________</w:t>
      </w:r>
    </w:p>
    <w:p>
      <w:pPr>
        <w:pStyle w:val="Heading3"/>
      </w:pPr>
      <w:r>
        <w:t>What to Do</w:t>
      </w:r>
    </w:p>
    <w:p>
      <w:pPr>
        <w:pStyle w:val="ListBullet"/>
      </w:pPr>
      <w:r>
        <w:rPr>
          <w:sz w:val="21"/>
        </w:rPr>
        <w:t>Track CTAR results and revenue metrics per solution.</w:t>
      </w:r>
    </w:p>
    <w:p>
      <w:pPr>
        <w:pStyle w:val="ListBullet"/>
      </w:pPr>
      <w:r>
        <w:rPr>
          <w:sz w:val="21"/>
        </w:rPr>
        <w:t>Monitor demo maturity progression: Idea → In Build → Demo-Ready → GTM-Ready → In Pursuit.</w:t>
      </w:r>
    </w:p>
    <w:p>
      <w:pPr>
        <w:pStyle w:val="ListBullet"/>
      </w:pPr>
      <w:r>
        <w:rPr>
          <w:sz w:val="21"/>
        </w:rPr>
        <w:t>Capture client feedback, feature requests, and enhancement opportunities.</w:t>
      </w:r>
    </w:p>
    <w:p>
      <w:pPr>
        <w:pStyle w:val="ListBullet"/>
      </w:pPr>
      <w:r>
        <w:rPr>
          <w:sz w:val="21"/>
        </w:rPr>
        <w:t>Feed learnings back into the next intake cycle for continuous improvement.</w:t>
      </w:r>
    </w:p>
    <w:p>
      <w:pPr>
        <w:pStyle w:val="ListBullet"/>
      </w:pPr>
      <w:r>
        <w:rPr>
          <w:sz w:val="21"/>
        </w:rPr>
        <w:t>Identify AI Infusion opportunities in existing client engagements.</w:t>
      </w:r>
    </w:p>
    <w:p>
      <w:pPr>
        <w:pStyle w:val="Heading3"/>
      </w:pPr>
      <w:r>
        <w:t>Requirements</w:t>
      </w:r>
    </w:p>
    <w:p>
      <w:pPr>
        <w:pStyle w:val="ListBullet"/>
      </w:pPr>
      <w:r>
        <w:rPr>
          <w:sz w:val="21"/>
        </w:rPr>
        <w:t>Showcase Tracker updated with outcomes after every showcase/activation</w:t>
      </w:r>
    </w:p>
    <w:p>
      <w:pPr>
        <w:pStyle w:val="ListBullet"/>
      </w:pPr>
      <w:r>
        <w:rPr>
          <w:sz w:val="21"/>
        </w:rPr>
        <w:t>Domain Metrics Dashboard maintained (solution counts across 10 domains)</w:t>
      </w:r>
    </w:p>
    <w:p>
      <w:pPr>
        <w:pStyle w:val="ListBullet"/>
      </w:pPr>
      <w:r>
        <w:rPr>
          <w:sz w:val="21"/>
        </w:rPr>
        <w:t>Revenue and pipeline attribution tracked per solution</w:t>
      </w:r>
    </w:p>
    <w:p>
      <w:pPr>
        <w:pStyle w:val="ListBullet"/>
      </w:pPr>
      <w:r>
        <w:rPr>
          <w:sz w:val="21"/>
        </w:rPr>
        <w:t>Continuous feedback loop established back to AI Champions</w:t>
      </w:r>
    </w:p>
    <w:p>
      <w:pPr>
        <w:pStyle w:val="ListBullet"/>
      </w:pPr>
      <w:r>
        <w:rPr>
          <w:sz w:val="21"/>
        </w:rPr>
        <w:t>Infusion project enhancements communicated via Account Partners and Program Managers</w:t>
      </w:r>
    </w:p>
    <w:p>
      <w:pPr>
        <w:pStyle w:val="Heading3"/>
      </w:pPr>
      <w:r>
        <w:t>The Continuous Loop</w:t>
      </w:r>
    </w:p>
    <w:p>
      <w:r>
        <w:rPr>
          <w:sz w:val="22"/>
        </w:rPr>
        <w:t>Results from go-to-market activities feed directly back into Step 1, creating a virtuous cycle. Client feedback generates new use case ideas, successful demos inspire adjacent solutions, and market learnings sharpen future intake submissions. The goal is not a one-time launch but a continuously improving portfolio of AI-powered solutions.</w:t>
      </w:r>
    </w:p>
    <w:p>
      <w:pPr>
        <w:spacing w:before="80"/>
      </w:pPr>
      <w:r>
        <w:rPr>
          <w:b/>
          <w:color w:val="5B21B6"/>
          <w:sz w:val="20"/>
        </w:rPr>
        <w:t xml:space="preserve">Key Roles: </w:t>
      </w:r>
      <w:r>
        <w:rPr>
          <w:color w:val="6B7280"/>
          <w:sz w:val="20"/>
        </w:rPr>
        <w:t>Program Manager  |  AI Lab Leadership  |  Domain Leader  |  AI Champion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4A158D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60"/>
      <w:outlineLvl w:val="2"/>
    </w:pPr>
    <w:rPr>
      <w:rFonts w:asciiTheme="majorHAnsi" w:eastAsiaTheme="majorEastAsia" w:hAnsiTheme="majorHAnsi" w:cstheme="majorBidi" w:ascii="Calibri" w:hAnsi="Calibri"/>
      <w:b/>
      <w:bCs/>
      <w:color w:val="6D28D9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