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center"/>
      </w:pPr>
      <w:r>
        <w:rPr>
          <w:rFonts w:ascii="Calibri" w:hAnsi="Calibri"/>
          <w:b/>
          <w:color w:val="2563EB"/>
          <w:sz w:val="22"/>
        </w:rPr>
        <w:t>FARMACIA VANNESA — GESTIÓN FARMACÉUTICA INTEGRAL</w:t>
      </w:r>
    </w:p>
    <w:p>
      <w:pPr>
        <w:spacing w:before="40" w:after="80"/>
        <w:jc w:val="center"/>
      </w:pPr>
      <w:r>
        <w:rPr>
          <w:rFonts w:ascii="Calibri" w:hAnsi="Calibri"/>
          <w:b/>
          <w:color w:val="1B365D"/>
          <w:sz w:val="34"/>
        </w:rPr>
        <w:t>INFORME DE REQUISITOS LEGALES Y NORMATIVOS PARA FARMACIAS EN NICARAGUA</w:t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20"/>
        </w:rPr>
        <w:t>Marco Sanitario (MINSA / ANRS), Régimen Tributario (DGI Ley 822) e Implementación en el Sistema 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País y Jurisdicción: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República de Nicaragua (Legislación Nacional)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Entidades Reguladoras: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Ministerio de Salud (MINSA), ANRS y Dirección General de Ingresos (DGI)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Sistema Analizado e Implementado: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Web Farmacia Vannesa (Arquitectura Python / Flask / SQLite / Supabase)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del Informe: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Establecer la base normativa y acreditar el cumplimiento técnico en el sistema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Fecha de Publicación: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Octubre 2026 | Versión 2.0 (Conforme a Ley 292 y Ley 822)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📌 PROPÓSITO Y OBLIGATORIEDAD DEL MARCO LEGAL: </w:t>
            </w:r>
            <w:r>
              <w:rPr>
                <w:rFonts w:ascii="Calibri" w:hAnsi="Calibri"/>
                <w:color w:val="333333"/>
                <w:sz w:val="19"/>
              </w:rPr>
              <w:t>En Nicaragua, un sistema informático para farmacias no puede concebirse únicamente como un punto de venta convencional. Debe funcionar como una herramienta de cumplimiento normativo y control de calidad bajo la responsabilidad científica del Regente Farmacéutico y las disposiciones del Ministerio de Salud (MINSA) y la Dirección General de Ingresos (DGI).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Requisitos Sanitarios para la Habilitación y Operación (MINSA / ANRS)</w:t>
      </w:r>
    </w:p>
    <w:p>
      <w:pPr>
        <w:spacing w:before="0" w:after="60" w:line="276" w:lineRule="auto"/>
      </w:pPr>
      <w:r>
        <w:rPr>
          <w:color w:val="1E293B"/>
        </w:rPr>
        <w:t>El funcionamiento de un establecimiento farmacéutico en Nicaragua se rige fundamentalmente por la Ley N°. 292 ('Ley de Medicamentos y Farmacias') y su Decreto Ejecutivo N°. 19-99. Sus pilares obligatorios son: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Licencia Sanitaria de Funcionamiento: </w:t>
      </w:r>
      <w:r>
        <w:rPr>
          <w:color w:val="1E293B"/>
        </w:rPr>
        <w:t>Permiso otorgado por la Dirección de Farmacia del MINSA tras inspección higiénico-sanitaria. Tiene una vigencia improrrogable de dos (2) años (Decreto 19-99, Art. 64) y requiere presentación de escritura de constitución, poderes, RUC y solvencias.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Regencia Farmacéutica Obligatoria: </w:t>
      </w:r>
      <w:r>
        <w:rPr>
          <w:color w:val="1E293B"/>
        </w:rPr>
        <w:t>Presencia indispensable de un profesional farmacéutico (Licenciado en Farmacia o Químico Farmacéutico colegiado y acreditado ante el MINSA, Ley 292 Art. 67-69). Es el responsable técnico-científico del establecimiento. Su ausencia injustificada amerita el cierre técnico inmediato de la farmacia.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Registro Sanitario de Medicamentos: </w:t>
      </w:r>
      <w:r>
        <w:rPr>
          <w:color w:val="1E293B"/>
        </w:rPr>
        <w:t>Todo fármaco comercializado debe poseer un número de Registro Sanitario expedido por el MINSA con vigencia quinquenal (5 años) y refrendos periódicos. La venta de productos sin registro constituye delito contra la salud pública.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Control de Lotes y Fechas de Vencimiento: </w:t>
      </w:r>
      <w:r>
        <w:rPr>
          <w:color w:val="1E293B"/>
        </w:rPr>
        <w:t>Obligación legal del regente de inspeccionar lotes, condiciones de almacenamiento (temperatura/humedad) y retirar de circulación todo lote caducado o en mal estado (Ley 292 Art. 75).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Control de Sustancias Controladas y Psicotrópicos: </w:t>
      </w:r>
      <w:r>
        <w:rPr>
          <w:color w:val="1E293B"/>
        </w:rPr>
        <w:t>Registro riguroso y foliado de compras y ventas de estupefacientes y psicotrópicos. Su dispensación exige receta médica retenida con nombre del médico, código MINSA, fecha y cédula del paciente.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Horarios y Turnos de Guardia: </w:t>
      </w:r>
      <w:r>
        <w:rPr>
          <w:color w:val="1E293B"/>
        </w:rPr>
        <w:t>Horario mínimo ininterrumpido de 8 horas diarias y obligatoriedad de cumplir turnos de guardia nocturnos y en días feriados que establezca el MINSA distrital (Decreto 19-99 Art. 66).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Cadena de Abastecimiento y VUCEN: </w:t>
      </w:r>
      <w:r>
        <w:rPr>
          <w:color w:val="1E293B"/>
        </w:rPr>
        <w:t>Gestión de permisos de importación a través de la Ventanilla Única de Comercio Exterior de Nicaragua (VUCEN), con registros sanitarios previos y facturas de distribuidoras autorizadas.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Parámetros Técnicos para Sistemas de Facturación y POS (DGI / Ley 822)</w:t>
      </w:r>
    </w:p>
    <w:p>
      <w:pPr>
        <w:spacing w:before="0" w:after="60" w:line="276" w:lineRule="auto"/>
      </w:pPr>
      <w:r>
        <w:rPr>
          <w:color w:val="1E293B"/>
        </w:rPr>
        <w:t>La Dirección General de Ingresos (DGI) regula la emisión de comprobantes fiscales electrónicos y la determinación de impuestos conforme a la Ley N°. 822 ('Ley de Concertación Tributaria - LCT'):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Identificación Tributaria Completa: </w:t>
      </w:r>
      <w:r>
        <w:rPr>
          <w:color w:val="1E293B"/>
        </w:rPr>
        <w:t>RUC activo del emisor (Farmacia Vannesa S.A.), Razón Social, Licencia Sanitaria, dirección fiscal y Cédula o RUC del cliente (indispensable para validez fiscal o compras corporativas).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Desglose Fiscal de IVA (15% vs Exento): </w:t>
      </w:r>
      <w:r>
        <w:rPr>
          <w:color w:val="1E293B"/>
        </w:rPr>
        <w:t>Conforme al Artículo 153 de la Ley 822 y canasta de salud, los medicamentos de consumo humano se encuentran EXENTOS del IVA (0%). Por el contrario, los productos cosméticos, artículos de higiene y suplementos pagan la tarifa general del 15%. El sistema debe calcular y desglosar por separado: Subtotal Exento, Subtotal Gravado y el monto exacto de IVA (15%).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Facturación Electrónica (Estándar XML DGI): </w:t>
      </w:r>
      <w:r>
        <w:rPr>
          <w:color w:val="1E293B"/>
        </w:rPr>
        <w:t>Generación de archivo XML normalizado bajo las especificaciones de la DGI, estructura de datos en nodos jerárquicos (&lt;Encabezado&gt;, &lt;Emisor&gt;, &lt;Receptor&gt;, &lt;DetalleArticulos&gt;, &lt;TotalesImpuestos&gt;) y preparación para firma electrónica digital.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Manejo Bimonetario Oficial: </w:t>
      </w:r>
      <w:r>
        <w:rPr>
          <w:color w:val="1E293B"/>
        </w:rPr>
        <w:t>Registro y cobro en Córdobas (NIO) con conversión a Dólares (USD) aplicando la tasa de cambio oficial diaria fijada por el Banco Central de Nicaragua (BCN).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Resiliencia y Modo Contingencia: </w:t>
      </w:r>
      <w:r>
        <w:rPr>
          <w:color w:val="1E293B"/>
        </w:rPr>
        <w:t>Capacidad de almacenar transacciones con numeración reservada en contingencia local ante pérdida de conexión y transmisión diferida una vez restablecida la red.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Compendio Jurídico Aplicable a Farmacias en Nicaragua</w:t>
      </w:r>
    </w:p>
    <w:p>
      <w:pPr>
        <w:spacing w:before="0" w:after="60" w:line="276" w:lineRule="auto"/>
      </w:pPr>
      <w:r>
        <w:rPr>
          <w:color w:val="1E293B"/>
        </w:rPr>
        <w:t>A continuación se resumen las leyes y decretos de estricto cumplimiento para el desarrollo del software: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Norma Legal</w:t>
            </w:r>
          </w:p>
        </w:tc>
        <w:tc>
          <w:tcPr>
            <w:tcW w:type="dxa" w:w="3312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Ámbito</w:t>
            </w:r>
          </w:p>
        </w:tc>
        <w:tc>
          <w:tcPr>
            <w:tcW w:type="dxa" w:w="3312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Requisitos Clave para el Sistema Informático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Ley N°. 292 ('Ley de Medicamentos y Farmacias')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Sanitario / MINSA</w:t>
            </w:r>
          </w:p>
        </w:tc>
        <w:tc>
          <w:tcPr>
            <w:tcW w:type="dxa" w:w="54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Regencia obligatoria (Art. 67-69), dispensación con receta (Art. 70), sustitución por genérico (Art. 71), control de caducidad (Art. 75).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Decreto N°. 19-99 (Reglamento de la Ley 292)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Sanitario / MINSA</w:t>
            </w:r>
          </w:p>
        </w:tc>
        <w:tc>
          <w:tcPr>
            <w:tcW w:type="dxa" w:w="54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Vigencia de 2 años de Licencia Sanitaria (Art. 64), cumplimiento de turnos de guardia obligatorios (Art. 66).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Ley N°. 423 ('Ley General de Salud')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Sanitario / Marco</w:t>
            </w:r>
          </w:p>
        </w:tc>
        <w:tc>
          <w:tcPr>
            <w:tcW w:type="dxa" w:w="54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Garantía de calidad, inocuidad y seguridad de insumos médicos para la población.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Ley N°. 1164 ('Digesto Jurídico de Salud')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Jurídico / Oficial</w:t>
            </w:r>
          </w:p>
        </w:tc>
        <w:tc>
          <w:tcPr>
            <w:tcW w:type="dxa" w:w="54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Consolidación y vigencia de las reformas a la Ley 292 y normativas complementarias.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Ley N°. 822 ('Ley de Concertación Tributaria - LCT')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Fiscal / DGI</w:t>
            </w:r>
          </w:p>
        </w:tc>
        <w:tc>
          <w:tcPr>
            <w:tcW w:type="dxa" w:w="54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IVA general del 15% y exención de medicamentos humanos (Art. 153). Obligaciones formales del contribuyente.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Lineamientos de Facturación Electrónica DGI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Fiscal / Técnico</w:t>
            </w:r>
          </w:p>
        </w:tc>
        <w:tc>
          <w:tcPr>
            <w:tcW w:type="dxa" w:w="54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Emisión de comprobante XML normalizado, firma electrónica, serie y autorización fiscal.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Diagnóstico de Cumplimiento e Implementaciones en Farmacia Vannesa</w:t>
      </w:r>
    </w:p>
    <w:p>
      <w:pPr>
        <w:spacing w:before="0" w:after="60" w:line="276" w:lineRule="auto"/>
      </w:pPr>
      <w:r>
        <w:rPr>
          <w:color w:val="1E293B"/>
        </w:rPr>
        <w:t>A continuación se acredita la correspondencia entre los requisitos legales y las implementaciones técnicas realizadas en el código: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Requisito Legal / Normativo</w:t>
            </w:r>
          </w:p>
        </w:tc>
        <w:tc>
          <w:tcPr>
            <w:tcW w:type="dxa" w:w="24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Norma</w:t>
            </w:r>
          </w:p>
        </w:tc>
        <w:tc>
          <w:tcPr>
            <w:tcW w:type="dxa" w:w="24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24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Evidencia Técnica en el Código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Registro Sanitario MINSA en Medicamento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Ley 292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Campo 'sanitary_register' en Product y validación en InventoryService.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Trazabilidad de Lotes Farmacéuticos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Decreto 19-99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Campo 'batch_number' en Product, SaleItem y movimientos de Kardex.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Control de Fármacos Psicotrópicos / Receta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Ley 292 Art. 70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Bandera 'is_controlled', bloqueo automático y captura de médico prescriptor y código MINSA.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Desglose Fiscal IVA 15% vs Exento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Ley 822 Art. 153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Bandera 'is_exempt_iva', cálculo de Subtotal Exento, Subtotal Gravado e IVA en SalesService.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Manejo Bimonetario (NIO / USD)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DGI / BCN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Soporte de Córdobas (C$) y Dólares ($) con tipo de cambio oficial BCN (36.62).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Comprobante Electrónico DGI (XML)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DGI Técnica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Generador _generate_dgi_xml() con nodo de factura electrónica y descarga directa en /invoice/&lt;id&gt;/xml.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Paginación Numérica en Listas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Usabilidad / Arch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Métodos get_paginated() con LIMIT/OFFSET y controles 1, 2, 3... en inventario y clientes.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Validaciones Estrictas en Base de Datos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ISO 25010 / BD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5"/>
              </w:rPr>
              <w:t>CUMPLE (Implementado)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Triggers de precios positivos, stock no negativo y formato de cédula en SQLite.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Conclusiones y Recomendaciones para Fase de Producción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Arquitectura Adaptada a Nicaragua: </w:t>
      </w:r>
      <w:r>
        <w:rPr>
          <w:color w:val="1E293B"/>
        </w:rPr>
        <w:t>El software cuenta con un modelo de datos plenamente alineado con la legislación sanitaria (Ley 292) y tributaria (Ley 822) de Nicaragua, asegurando la trazabilidad de los medicamentos y la transparencia fiscal.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Firma Digital en Producción: </w:t>
      </w:r>
      <w:r>
        <w:rPr>
          <w:color w:val="1E293B"/>
        </w:rPr>
        <w:t>Para el despliegue comercial ante la DGI en producción masiva, se recomienda conectar el generador XML existente con una API certificada de Facturación Electrónica mediante el certificado y llave digital del contribuyente.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Soporte Operativo al Regente: </w:t>
      </w:r>
      <w:r>
        <w:rPr>
          <w:color w:val="1E293B"/>
        </w:rPr>
        <w:t>El Regente Farmacéutico dispone de herramientas automatizadas para vigilar caducidades, retener recetas de psicotrópicos y justificar auditorías del MINSA.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94A3B8"/>
        <w:sz w:val="16"/>
      </w:rPr>
      <w:t>Cumplimiento Regulatorio Sanitario (MINSA Ley 292) y Fiscal (DGI Ley 822)</w:t>
    </w:r>
    <w:r>
      <w:rPr>
        <w:rFonts w:ascii="Calibri" w:hAnsi="Calibri"/>
        <w:i/>
        <w:color w:val="94A3B8"/>
        <w:sz w:val="16"/>
      </w:rPr>
      <w:t xml:space="preserve">                   Documento Técnico Oficial — Edición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FARMACIA VANNESA | MARCO LEGAL Y NORMATIVO DE FARMACIAS EN NICARAGUA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