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  <w:jc w:val="center"/>
      </w:pPr>
      <w:r>
        <w:rPr>
          <w:rFonts w:ascii="Calibri" w:hAnsi="Calibri"/>
          <w:b/>
          <w:color w:val="2B7CD3"/>
          <w:sz w:val="22"/>
        </w:rPr>
        <w:t>FARMACIA VANNESA — SISTEMA DE GESTIÓN FARMACÉUTICA</w:t>
      </w:r>
    </w:p>
    <w:p>
      <w:pPr>
        <w:spacing w:before="60" w:after="80"/>
        <w:jc w:val="center"/>
      </w:pPr>
      <w:r>
        <w:rPr>
          <w:rFonts w:ascii="Calibri" w:hAnsi="Calibri"/>
          <w:b/>
          <w:color w:val="1B365D"/>
          <w:sz w:val="36"/>
        </w:rPr>
        <w:t>PLAN Y PRUEBAS DE AUDITORÍA INFORMÁTICA DE CALIDAD</w:t>
      </w:r>
    </w:p>
    <w:p>
      <w:pPr>
        <w:spacing w:before="40" w:after="240"/>
        <w:jc w:val="center"/>
      </w:pPr>
      <w:r>
        <w:rPr>
          <w:rFonts w:ascii="Calibri" w:hAnsi="Calibri"/>
          <w:i/>
          <w:color w:val="4B5563"/>
          <w:sz w:val="20"/>
        </w:rPr>
        <w:t>Evaluación Rigurosa de Parámetros: Resultados Exitosos y No Exitosos (5 Fases del SDLC)</w:t>
        <w:br/>
        <w:t>Tarea: Plan de sistemas realizados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600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Organización / Cliente: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Farmacia Vannesa (Comercializadora de Productos Farmacéuticos)</w:t>
            </w:r>
          </w:p>
        </w:tc>
      </w:tr>
      <w:tr>
        <w:tc>
          <w:tcPr>
            <w:tcW w:type="dxa" w:w="3600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Sistema Evaluado: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Sistema Web de Control Farmacéutico e Inventarios (Farmacia Vannesa - SDLC)</w:t>
            </w:r>
          </w:p>
        </w:tc>
      </w:tr>
      <w:tr>
        <w:tc>
          <w:tcPr>
            <w:tcW w:type="dxa" w:w="3600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Nombre del Entregable: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Plan y Pruebas de Auditoría de Calidad (Evaluación Objetiva de Parámetros)</w:t>
            </w:r>
          </w:p>
        </w:tc>
      </w:tr>
      <w:tr>
        <w:tc>
          <w:tcPr>
            <w:tcW w:type="dxa" w:w="3600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Principio Metodológico: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Rigor Ético e Integridad Técnica ISO 19011 (Diferenciación de Éxito / No Cumplimiento)</w:t>
            </w:r>
          </w:p>
        </w:tc>
      </w:tr>
      <w:tr>
        <w:tc>
          <w:tcPr>
            <w:tcW w:type="dxa" w:w="3600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Equipo Desarrollador Auditado: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Marvin Castañeda, Claudio Arana, Edwin Sevilla, Jester Mendieta</w:t>
            </w:r>
          </w:p>
        </w:tc>
      </w:tr>
      <w:tr>
        <w:tc>
          <w:tcPr>
            <w:tcW w:type="dxa" w:w="3600"/>
            <w:shd w:fill="F0F4F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Fecha de Emisión / Versión: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Octubre 2026 | Versión 2.0 (Auditoría Definitiva con Hallazgos)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📌 DECLARACIÓN DE INTEGRIDAD TÉCNICA Y EVALUACIÓN DE PARÁMETROS: </w:t>
            </w:r>
            <w:r>
              <w:rPr>
                <w:rFonts w:ascii="Calibri" w:hAnsi="Calibri"/>
                <w:color w:val="333333"/>
                <w:sz w:val="19"/>
              </w:rPr>
              <w:t>Conforme a la norma ISO 19011:2018 (Cláusula 4: Principios de Auditoría — Integridad, Presentación Ecuánime y Enfoque Basado en Evidencia), una auditoría profesional NO debe calificar arbitrariamente todas las pruebas como exitosas. En este documento se evalúan los parámetros cuantitativos y cualitativos exactos de cada prueba, explicitando con transparencia técnica tanto aquellas que resultaron EXITOSAS (Conformes) como aquellas que NO CUMPLIERON con los parámetros respectivos (No Conformes / Oportunidades de Mejora), acompañadas de su causa raíz y plan de acción correctiva (CAPA).</w:t>
            </w:r>
          </w:p>
        </w:tc>
      </w:tr>
    </w:tbl>
    <w:p>
      <w:pPr>
        <w:keepNext/>
        <w:spacing w:before="300" w:after="80"/>
      </w:pPr>
      <w:r>
        <w:rPr>
          <w:rFonts w:ascii="Calibri" w:hAnsi="Calibri"/>
          <w:b/>
          <w:color w:val="1B365D"/>
          <w:sz w:val="26"/>
        </w:rPr>
        <w:t>1. Metodología de Calificación de Parámetros de Calidad</w:t>
      </w:r>
    </w:p>
    <w:p>
      <w:pPr>
        <w:spacing w:before="0" w:after="60" w:line="276" w:lineRule="auto"/>
      </w:pPr>
      <w:r>
        <w:rPr>
          <w:color w:val="1F2937"/>
        </w:rPr>
        <w:t>Cada prueba de auditoría se evalúa contrastando el Parámetro Exigido (especificación o estándar) frente al Parámetro Medido Realmente en el sistema de Farmacia Vannesa. Se adoptan tres estados de dictamen: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1. PRUEBA EXITOSA (CONFORME): </w:t>
      </w:r>
      <w:r>
        <w:rPr>
          <w:color w:val="1F2937"/>
        </w:rPr>
        <w:t>El sistema o artefacto cumplió estrictamente el 100% de los parámetros técnicos, umbrales métricos y criterios de aceptación establecidos para la prueba.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2. PRUEBA NO EXITOSA (NO CONFORME): </w:t>
      </w:r>
      <w:r>
        <w:rPr>
          <w:color w:val="1F2937"/>
        </w:rPr>
        <w:t>El artefacto o función evaluada NO alcanzó el umbral exigido por el parámetro (ej. complejidad ciclomática excedida, falta de atomicidad en el enunciado original o ausencia de sincronización automática). Constituye un hallazgo formal de No Conformidad Menor.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3. CUMPLE CON OBSERVACIONES (OPORTUNIDAD DE MEJORA): </w:t>
      </w:r>
      <w:r>
        <w:rPr>
          <w:color w:val="1F2937"/>
        </w:rPr>
        <w:t>La funcionalidad básica opera satisfactoriamente pero carece de robustez industrial completa (ej. logging activo pero sin agentes de alerta push automáticos ante fallos).</w:t>
      </w:r>
    </w:p>
    <w:p>
      <w:pPr>
        <w:keepNext/>
        <w:spacing w:before="300" w:after="80"/>
      </w:pPr>
      <w:r>
        <w:rPr>
          <w:rFonts w:ascii="Calibri" w:hAnsi="Calibri"/>
          <w:b/>
          <w:color w:val="1B365D"/>
          <w:sz w:val="26"/>
        </w:rPr>
        <w:t>2. Detalle y Ejecución de Pruebas: Exitosas vs. No Exitosas</w:t>
      </w:r>
    </w:p>
    <w:p>
      <w:pPr>
        <w:keepNext/>
        <w:spacing w:before="200" w:after="60"/>
      </w:pPr>
      <w:r>
        <w:rPr>
          <w:rFonts w:ascii="Calibri" w:hAnsi="Calibri"/>
          <w:b/>
          <w:color w:val="2B7CD3"/>
          <w:sz w:val="21"/>
        </w:rPr>
        <w:t>Prueba 1: Auditoría de Atomicidad y Casos Límite en Reglas de Venta (Fase de Requerimientos)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Código y Fase SDLC: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Auditoría A-01 / RF06 | Fase Requerimientos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Estándar de Calidad: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ISO/IEC/IEEE 29148:2018 (Cláusula 5.2.5) e IEEE 830:1998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Exigido: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1. Especificación SRS: El 100% de los requerimientos analizados debe ser atómico (describir una única función sin conjunciones que mezclen responsabilidades).</w:t>
              <w:br/>
              <w:t>2. Ejecución Técnica: El sistema debe bloquear el 100% de sobreventas con stock cero y cantidades negativas.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Medido Realmente: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• En la especificación SRS original: Solo 1 de 5 requerimientos (20%) cumplía atomicidad pura. RF06 agrupaba carrito de compras, cálculo de impuestos y bloqueo de stock en un solo enunciado compuesto. -&gt; NO CUMPLIÓ EL PARÁMETRO DE ATOMICIDAD.</w:t>
              <w:br/>
              <w:t>• En la ejecución técnica: El código backend ('sales_service.py') bloqueó exitosamente la venta con stock 0 ('Stock insuficiente') y rechazó cantidades negativas ('mayor a cero'). -&gt; CUMPLIÓ EL PARÁMETRO DE EJECUCIÓN.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Dictamen de la Prueba: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D35400"/>
                <w:sz w:val="17"/>
              </w:rPr>
              <w:t>NO EXITOSA EN ESPECIFICACIÓN SRS / CONTROL EFECTIVO EN CÓDIGO (NO CONFORME MENOR)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Hallazgo y Análisis Técnico: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HALLAZGO NC-REQ-01: Incumplimiento de la regla de atomicidad de ISO/IEC/IEEE 29148 en la documentación original. Aunque la implementación en Python previene la sobreventa, la especificación agrupa múltiples responsabilidades en RF01, RF03 y RF06, lo que genera ambigüedad contractual y dificulta el mantenimiento formal.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Acción Correctiva / Preventiva (CAPA):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Refactorizar la especificación SRS dividiendo RF06 en dos sub-requerimientos atómicos: RF06.1 (Cálculo financiero y ticket de venta) y RF06.2 (Validación atómica y reserva concurrente de stock físico).</w:t>
            </w:r>
          </w:p>
        </w:tc>
      </w:tr>
    </w:tbl>
    <w:p>
      <w:pPr>
        <w:spacing w:after="100"/>
      </w:pPr>
    </w:p>
    <w:p>
      <w:pPr>
        <w:keepNext/>
        <w:spacing w:before="200" w:after="60"/>
      </w:pPr>
      <w:r>
        <w:rPr>
          <w:rFonts w:ascii="Calibri" w:hAnsi="Calibri"/>
          <w:b/>
          <w:color w:val="2B7CD3"/>
          <w:sz w:val="21"/>
        </w:rPr>
        <w:t>Prueba 2: Integridad del Modelo de Datos Relacional (11 Campos y Triggers SQL) (Fase de Diseño)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Código y Fase SDLC: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Auditoría A-06 | Fase Diseño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Estándar de Calidad: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ISO/IEC 25010:2011 (Integridad de Datos) y 3FN de Codd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Exigido: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1. Presencia del 100% de los 11 campos mandatorios en la tabla 'products' con tipos SQL adecuados.</w:t>
              <w:br/>
              <w:t>2. Restricción UNIQUE en código de producto para evitar colisiones de inventario.</w:t>
              <w:br/>
              <w:t>3. Presencia de triggers SQL en base de datos para impedir cantidades vendidas &lt;= 0 a nivel físico.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Medido Realmente: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• 11 campos verificados mediante PRAGMA table_info: name, generic_name, product_code, description, stock, presentation, laboratory, expiration_date, dose, cost_price, sale_price (con tipos TEXT, INTEGER, REAL).</w:t>
              <w:br/>
              <w:t>• Restricción UNIQUE activa: idx_products_code presente en SQLite/Supabase.</w:t>
              <w:br/>
              <w:t>• Triggers DDL activos: check_sale_items_qty_positive y check_sale_items_qty_positive_update activos en el motor.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Dictamen de la Prueba: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7"/>
              </w:rPr>
              <w:t>PRUEBA EXITOSA (100% CONFORME CON PARÁMETROS)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Hallazgo y Análisis Técnico: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CONFORMIDAD PLENA: El diseño relacional cumple estrictamente con los 11 campos mandatorios, normalización 3FN y mecanismos de defensa en profundidad (la integridad de datos está protegida tanto en el código Python como en los triggers del motor de persistencia).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Acción Correctiva / Preventiva (CAPA):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Mantener la línea base DDL y replicar los triggers en scripts de migración de producción.</w:t>
            </w:r>
          </w:p>
        </w:tc>
      </w:tr>
    </w:tbl>
    <w:p>
      <w:pPr>
        <w:spacing w:after="100"/>
      </w:pPr>
    </w:p>
    <w:p>
      <w:pPr>
        <w:keepNext/>
        <w:spacing w:before="200" w:after="60"/>
      </w:pPr>
      <w:r>
        <w:rPr>
          <w:rFonts w:ascii="Calibri" w:hAnsi="Calibri"/>
          <w:b/>
          <w:color w:val="2B7CD3"/>
          <w:sz w:val="21"/>
        </w:rPr>
        <w:t>Prueba 3: Calidad de Código Fuente: Cobertura de Pruebas vs. Complejidad Ciclomática (Fase de Construcción)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Código y Fase SDLC: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Auditoría A-11 y A-12 | Fase Construcción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Estándar de Calidad: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IEEE 1008-1987 (Testing Unitario) y Métrica de Complejidad Ciclomática de McCabe (&lt; 10)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Exigido: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1. Cobertura de pruebas unitarias automatizadas: &gt;= 80% sobre la capa de servicios y dominio.</w:t>
              <w:br/>
              <w:t>2. Complejidad ciclomática de McCabe: Ninguna función o método debe superar un valor de 10.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Medido Realmente: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• Cobertura Pytest medida con Coverage.py: 84% de cobertura global con 20 pruebas 100% PASS (AuditService 100%, MovementService 92%, ClientService 91%, CashService 89%, InventoryService 80%). -&gt; CUMPLIÓ PARÁMETRO DE COBERTURA.</w:t>
              <w:br/>
              <w:t>• Complejidad Ciclomática de McCabe: El método 'DashboardService.get_summary_for_range()' presentó una complejidad ciclomática de 14 (debido a 5 ramas condicionales de fecha, bucles anidados de cálculo de ventas y validación de expiración). -&gt; NO CUMPLIÓ EL PARÁMETRO (14 &gt; 10).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Dictamen de la Prueba: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7"/>
              </w:rPr>
              <w:t>COBERTURA EXITOSA (84%) / COMPLEJIDAD CICLOMÁTICA NO EXITOSA (NO CONFORME MENOR)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Hallazgo y Análisis Técnico: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HALLAZGO NC-CON-01: Violación del límite de complejidad ciclomática de McCabe en 'DashboardService.get_summary_for_range()'. Un valor de 14 indica alta densidad de ramas condicionales y riesgo de bugs latentes en la generación de resúmenes de venta.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Acción Correctiva / Preventiva (CAPA):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Refactorizar 'DashboardService' descomponiendo el método en 3 funciones auxiliares independientes: '_parse_report_dates()', '_calculate_daily_aggregates()' y '_evaluate_expirations()', reduciendo la complejidad a &lt; 7.</w:t>
            </w:r>
          </w:p>
        </w:tc>
      </w:tr>
    </w:tbl>
    <w:p>
      <w:pPr>
        <w:spacing w:after="100"/>
      </w:pPr>
    </w:p>
    <w:p>
      <w:pPr>
        <w:keepNext/>
        <w:spacing w:before="200" w:after="60"/>
      </w:pPr>
      <w:r>
        <w:rPr>
          <w:rFonts w:ascii="Calibri" w:hAnsi="Calibri"/>
          <w:b/>
          <w:color w:val="2B7CD3"/>
          <w:sz w:val="21"/>
        </w:rPr>
        <w:t>Prueba 4: Resiliencia de Despliegue: Plan de Rollback vs. Sincronización Automática Nube-Local (Fase de Despliegue)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Código y Fase SDLC: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Auditoría A-08 y A-17 | Fase Despliegue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Estándar de Calidad: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ISO 22301:2019 (Continuidad DRP) e ISO/IEC 25010 (Tolerancia a Fallos y Confiabilidad)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Exigido: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1. Plan de Rollback DRP: Tiempo de recuperación ante desastres (RTO) menor a 15 minutos (900 s) con verificación de integridad de base de datos.</w:t>
              <w:br/>
              <w:t>2. Resiliencia Dual: Sincronización bidireccional automática en tiempo real entre SQLite local y Supabase Cloud sin requerir intervención manual.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Medido Realmente: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• Plan de Rollback ('backup_db.py'): Integridad PRAGMA verificada ('ok'). Respaldo generado en 0.004 s y restauración completada en 0.004 s. -&gt; CUMPLIÓ PARÁMETRO DRP SOBRADAMENTE.</w:t>
              <w:br/>
              <w:t>• Sincronización Dual Nube-Local: Al conmutar al modo SQLite por indisponibilidad de Supabase (error 401 verificado en logs), los registros locales NO se replican automáticamente a la nube al regresar la conexión; requieren ejecutar manualmente el script 'migrate_sqlite_to_supabase.py'. -&gt; NO CUMPLIÓ EL PARÁMETRO DE SINCRONIZACIÓN AUTOMÁTICA.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Dictamen de la Prueba: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7"/>
              </w:rPr>
              <w:t>ROLLBACK EXITOSO (0.004s) / SINCRONIZACIÓN DUAL NO EXITOSA (NO CONFORME MENOR)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Hallazgo y Análisis Técnico: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HALLAZGO NC-DES-01: Ausencia de un demonio o worker en background que sincronice automáticamente las transacciones generadas en modo SQLite de contingencia hacia Supabase Cloud al restablecerse la conexión de red, dependiendo de ejecución manual del operador.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Acción Correctiva / Preventiva (CAPA):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Implementar una tarea programada en background (scheduler o cola Celery/threading) que consulte periódicamente 'migrate_sqlite_to_supabase.py' cuando el endpoint de Supabase vuelva a responder 200 OK.</w:t>
            </w:r>
          </w:p>
        </w:tc>
      </w:tr>
    </w:tbl>
    <w:p>
      <w:pPr>
        <w:spacing w:after="100"/>
      </w:pPr>
    </w:p>
    <w:p>
      <w:pPr>
        <w:keepNext/>
        <w:spacing w:before="200" w:after="60"/>
      </w:pPr>
      <w:r>
        <w:rPr>
          <w:rFonts w:ascii="Calibri" w:hAnsi="Calibri"/>
          <w:b/>
          <w:color w:val="2B7CD3"/>
          <w:sz w:val="21"/>
        </w:rPr>
        <w:t>Prueba 5: Telemetría Operativa: Latencia de Health Check vs. Alertas Push de Errores Críticos (Fase de Test / Operación)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Código y Fase SDLC: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Auditoría A-20 y A-25 | Fase Test / Operación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Estándar de Calidad: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ISO/IEC 25010:2011 (Eficiencia de Desempeño) y OWASP ASVS (Capítulo 7: Registro y Monitoreo)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Exigido: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1. Latencia de respuesta en endpoint '/health': Menor a 2.0 segundos (2000 ms).</w:t>
              <w:br/>
              <w:t>2. Registro estructurado y Alertas: Logs estructurados con rotación automática y notificación activa/push ante errores 500 no controlados.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Parámetro Medido Realmente: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• Latencia y Telemetría de '/health': Medida en vivo entre 1.1 y 2.4 ms con payload JSON integral que reporta estado del servidor (SO, Python, PID, uso de disco), catálogo de 31 rutas en 9 módulos de API y latencia de base de datos de 0.76 ms ('status: UP', 'database_status: ok'). -&gt; CUMPLIÓ PARÁMETRO DE LATENCIA Y MONITOREO.</w:t>
              <w:br/>
              <w:t>• Bitácora y Alertas: 'logs/farmacia_vannesa.log' rota correctamente a los 5 MB (RotatingFileHandler con 5 copias), pero NO existe un mecanismo push (email, webhook de Discord/Slack) que notifique a los administradores si ocurre una excepción 500. -&gt; CUMPLE CON OBSERVACIONES.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Dictamen de la Prueba: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D35400"/>
                <w:sz w:val="17"/>
              </w:rPr>
              <w:t>LATENCIA EXITOSA (1.1 ms) / CUMPLE CON OBSERVACIONES EN ALERTAS (OPORTUNIDAD DE MEJORA)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Hallazgo y Análisis Técnico: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OBSERVACIÓN OM-OPE-01: El sistema cuenta con telemetría pasiva excelente (latencia de 1.1 ms y logs detallados), pero carece de monitoreo activo que alerte automáticamente al equipo de soporte ante fallas no capturadas en producción.</w:t>
            </w:r>
          </w:p>
        </w:tc>
      </w:tr>
      <w:tr>
        <w:tc>
          <w:tcPr>
            <w:tcW w:type="dxa" w:w="3312"/>
            <w:shd w:fill="F0F4F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Acción Correctiva / Preventiva (CAPA):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Configurar un handler de correo SMTP o webhook seguro en Flask ('@app.errorhandler(500)') para notificar anomalías en tiempo real.</w:t>
            </w:r>
          </w:p>
        </w:tc>
      </w:tr>
    </w:tbl>
    <w:p>
      <w:pPr>
        <w:spacing w:after="100"/>
      </w:pPr>
    </w:p>
    <w:p>
      <w:pPr>
        <w:keepNext/>
        <w:spacing w:before="300" w:after="80"/>
      </w:pPr>
      <w:r>
        <w:rPr>
          <w:rFonts w:ascii="Calibri" w:hAnsi="Calibri"/>
          <w:b/>
          <w:color w:val="1B365D"/>
          <w:sz w:val="26"/>
        </w:rPr>
        <w:t>3. Matriz Consolidada de Parámetros: Éxitos vs. No Cumplimientos</w:t>
      </w:r>
    </w:p>
    <w:p>
      <w:pPr>
        <w:spacing w:before="0" w:after="60" w:line="276" w:lineRule="auto"/>
      </w:pPr>
      <w:r>
        <w:rPr>
          <w:color w:val="1F2937"/>
        </w:rPr>
        <w:t>A continuación se presenta el balance técnico de auditoría, desglosando los 8 parámetros específicos evaluados en las 5 pruebas: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987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Fase SDLC</w:t>
            </w:r>
          </w:p>
        </w:tc>
        <w:tc>
          <w:tcPr>
            <w:tcW w:type="dxa" w:w="1987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Parámetro Específico Evaluado</w:t>
            </w:r>
          </w:p>
        </w:tc>
        <w:tc>
          <w:tcPr>
            <w:tcW w:type="dxa" w:w="1987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Valor Medido Real</w:t>
            </w:r>
          </w:p>
        </w:tc>
        <w:tc>
          <w:tcPr>
            <w:tcW w:type="dxa" w:w="1987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Estado de Conformidad</w:t>
            </w:r>
          </w:p>
        </w:tc>
      </w:tr>
      <w:tr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1.1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Requerimientos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Atomicidad en enunciados SRS originales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20% atómicos (RF06, RF03 compuestos)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5"/>
              </w:rPr>
              <w:t>NO EXITOSA (NO CONFORME)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1.2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Requerimientos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Bloqueo técnico de sobreventas con stock cero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100% de sobreventas bloqueadas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5"/>
              </w:rPr>
              <w:t>EXITOSA (CONFORME)</w:t>
            </w:r>
          </w:p>
        </w:tc>
      </w:tr>
      <w:tr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2.1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Diseño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Presencia de los 11 campos mandatorios y 3FN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11/11 campos e índice UNIQUE activos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5"/>
              </w:rPr>
              <w:t>EXITOSA (CONFORME)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2.2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Diseño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Triggers DDL para cantidad positiva en BD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2 triggers activos en motor SQLite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5"/>
              </w:rPr>
              <w:t>EXITOSA (CONFORME)</w:t>
            </w:r>
          </w:p>
        </w:tc>
      </w:tr>
      <w:tr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3.1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Construcción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Cobertura de pruebas unitarias automatizadas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84% global (20 pruebas 100% PASS)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5"/>
              </w:rPr>
              <w:t>EXITOSA (CONFORME)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3.2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Construcción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Complejidad ciclomática de McCabe &lt; 10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Valor de 14 en DashboardService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5"/>
              </w:rPr>
              <w:t>NO EXITOSA (NO CONFORME)</w:t>
            </w:r>
          </w:p>
        </w:tc>
      </w:tr>
      <w:tr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4.1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Despliegue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Tiempo de Rollback DRP automatizado &lt; 15 min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0.004 segundos (verificado backup_db)</w:t>
            </w:r>
          </w:p>
        </w:tc>
        <w:tc>
          <w:tcPr>
            <w:tcW w:type="dxa" w:w="1987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27AE60"/>
                <w:sz w:val="15"/>
              </w:rPr>
              <w:t>EXITOSA (CONFORME)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5"/>
              </w:rPr>
              <w:t>4.2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Despliegue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Sincronización dual nube-local automática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5"/>
              </w:rPr>
              <w:t>Requiere script manual tras fallback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5"/>
              </w:rPr>
              <w:t>NO EXITOSA (NO CONFORME)</w:t>
            </w:r>
          </w:p>
        </w:tc>
      </w:tr>
    </w:tbl>
    <w:p>
      <w:pPr>
        <w:spacing w:after="160"/>
      </w:pPr>
    </w:p>
    <w:p>
      <w:pPr>
        <w:keepNext/>
        <w:spacing w:before="300" w:after="80"/>
      </w:pPr>
      <w:r>
        <w:rPr>
          <w:rFonts w:ascii="Calibri" w:hAnsi="Calibri"/>
          <w:b/>
          <w:color w:val="1B365D"/>
          <w:sz w:val="26"/>
        </w:rPr>
        <w:t>4. Dictamen Técnico y Plan de Acción Correctiva (CAPA)</w:t>
      </w:r>
    </w:p>
    <w:p>
      <w:pPr>
        <w:spacing w:before="0" w:after="60" w:line="276" w:lineRule="auto"/>
      </w:pPr>
      <w:r>
        <w:rPr>
          <w:b/>
          <w:color w:val="1B365D"/>
        </w:rPr>
        <w:t xml:space="preserve">Conclusión de Auditoría: </w:t>
      </w:r>
      <w:r>
        <w:rPr>
          <w:color w:val="1F2937"/>
        </w:rPr>
        <w:t>DICTAMEN GLOBAL DE AUDITORÍA: El Sistema Web de Farmacia Vannesa demuestra una sólida implementación en su núcleo de base de datos relacional (11 campos y triggers), cobertura automatizada de pruebas (84%) y capacidad de recuperación ante desastres (rollback en 0.004 s). No obstante, de acuerdo con los parámetros rigurosos de auditoría, se declaran tres (3) No Conformidades Menores: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1. </w:t>
      </w:r>
      <w:r>
        <w:rPr>
          <w:color w:val="1F2937"/>
        </w:rPr>
        <w:t>No Conformidad NC-REQ-01: Requerimientos originales con funciones compuestas (descomponer RF06 y RF03).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2. </w:t>
      </w:r>
      <w:r>
        <w:rPr>
          <w:color w:val="1F2937"/>
        </w:rPr>
        <w:t>No Conformidad NC-CON-01: Complejidad ciclomática de 14 en 'DashboardService' (refactorizar a funciones auxiliares &lt; 10).</w:t>
      </w:r>
    </w:p>
    <w:p>
      <w:pPr>
        <w:pStyle w:val="ListBullet"/>
        <w:spacing w:before="20" w:after="40" w:line="276" w:lineRule="auto"/>
      </w:pPr>
      <w:r>
        <w:rPr>
          <w:b/>
          <w:color w:val="1B365D"/>
        </w:rPr>
        <w:t xml:space="preserve">3. </w:t>
      </w:r>
      <w:r>
        <w:rPr>
          <w:color w:val="1F2937"/>
        </w:rPr>
        <w:t>No Conformidad NC-DES-01: Sincronización nube-local dependiente de script manual (automatizar worker de sincronización).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color w:val="1B365D"/>
                <w:sz w:val="17"/>
              </w:rPr>
              <w:t>Por el Equipo Auditor Especialista:</w:t>
              <w:br/>
              <w:br/>
              <w:t>_____________________________________</w:t>
              <w:br/>
              <w:t>Auditor Líder de Calidad de Software</w:t>
              <w:br/>
              <w:t>Certificación CISA / ISO 19011 Lead Auditor</w:t>
            </w:r>
          </w:p>
        </w:tc>
        <w:tc>
          <w:tcPr>
            <w:tcW w:type="dxa" w:w="4968"/>
            <w:shd w:fill="F0F4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color w:val="1B365D"/>
                <w:sz w:val="17"/>
              </w:rPr>
              <w:t>Por la Dirección de Farmacia Vannesa:</w:t>
              <w:br/>
              <w:br/>
              <w:t>_____________________________________</w:t>
              <w:br/>
              <w:t>Gerencia General / Patrocinador del Proyecto</w:t>
              <w:br/>
              <w:t>Farmacia Vannesa — Dirección Ejecutiva</w:t>
            </w:r>
          </w:p>
        </w:tc>
      </w:tr>
      <w:tr>
        <w:tc>
          <w:tcPr>
            <w:tcW w:type="dxa" w:w="496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i/>
                <w:color w:val="4B5563"/>
                <w:sz w:val="16"/>
              </w:rPr>
              <w:t>Fecha: Octubre 2026</w:t>
              <w:br/>
              <w:t>Estado: AUDITORÍA FORMAL CON HALLAZGOS Y PLAN CAPA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i/>
                <w:color w:val="4B5563"/>
                <w:sz w:val="16"/>
              </w:rPr>
              <w:t>Fecha: Octubre 2026</w:t>
              <w:br/>
              <w:t>Estado: AUDITORÍA FORMAL CON HALLAZGOS Y PLAN CAPA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95A5A6"/>
        <w:sz w:val="16"/>
      </w:rPr>
      <w:t>Evaluación Rigurosa de Parámetros de Calidad | Resultados Exitosos y No Exitosos</w:t>
    </w:r>
    <w:r>
      <w:rPr>
        <w:rFonts w:ascii="Calibri" w:hAnsi="Calibri"/>
        <w:i/>
        <w:color w:val="95A5A6"/>
        <w:sz w:val="16"/>
      </w:rPr>
      <w:t xml:space="preserve">                   Confidencial - Uso Académico / Profesional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FARMACIA VANNESA | PLAN Y PRUEBAS DE AUDITORÍA DE CALIDAD (SDLC)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