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2A3AC92">
      <w:pPr>
        <w:pStyle w:val="style0"/>
        <w:spacing w:before="200" w:after="60"/>
        <w:jc w:val="center"/>
        <w:rPr/>
      </w:pPr>
      <w:r>
        <w:rPr>
          <w:rFonts w:ascii="Calibri" w:cs="Calibri" w:eastAsia="Calibri" w:hAnsi="Calibri"/>
          <w:b/>
          <w:bCs/>
          <w:color w:val="12234c"/>
          <w:sz w:val="24"/>
          <w:szCs w:val="24"/>
        </w:rPr>
        <w:t>INTERNAL RATE SHEET — RIDER COST vs. CLIENT FEE</w:t>
      </w:r>
    </w:p>
    <w:p w14:paraId="2B68177D">
      <w:pPr>
        <w:pStyle w:val="style0"/>
        <w:spacing w:after="60"/>
        <w:jc w:val="center"/>
        <w:rPr/>
      </w:pPr>
      <w:r>
        <w:rPr>
          <w:rFonts w:ascii="Calibri" w:cs="Calibri" w:eastAsia="Calibri" w:hAnsi="Calibri"/>
          <w:b/>
          <w:bCs/>
          <w:color w:val="9a3412"/>
          <w:sz w:val="18"/>
          <w:szCs w:val="18"/>
        </w:rPr>
        <w:t>NOT FOR CLIENT DISTRIBUTION</w:t>
      </w:r>
    </w:p>
    <w:p w14:paraId="DAA07AFA">
      <w:pPr>
        <w:pStyle w:val="style0"/>
        <w:spacing w:after="200"/>
        <w:jc w:val="center"/>
        <w:rPr/>
      </w:pPr>
      <w:r>
        <w:rPr>
          <w:rFonts w:ascii="Calibri" w:cs="Calibri" w:eastAsia="Calibri" w:hAnsi="Calibri"/>
          <w:color w:val="6b6b6b"/>
          <w:sz w:val="19"/>
          <w:szCs w:val="19"/>
        </w:rPr>
        <w:t>Federal Capital Territory (FCT), Abuja</w:t>
      </w:r>
    </w:p>
    <w:tbl>
      <w:tblPr>
        <w:tblW w:w="97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924"/>
        <w:gridCol w:w="1559"/>
        <w:gridCol w:w="1754"/>
        <w:gridCol w:w="1754"/>
        <w:gridCol w:w="1755"/>
      </w:tblGrid>
      <w:tr w14:paraId="EEB39DD7">
        <w:trPr>
          <w:tblHeader/>
        </w:trPr>
        <w:tc>
          <w:tcPr>
            <w:tcW w:w="2924" w:type="dxa"/>
            <w:tcBorders/>
            <w:shd w:val="clear" w:color="auto" w:fill="1223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B15BAD83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>Location / District</w:t>
            </w:r>
          </w:p>
        </w:tc>
        <w:tc>
          <w:tcPr>
            <w:tcW w:w="1559" w:type="dxa"/>
            <w:tcBorders/>
            <w:shd w:val="clear" w:color="auto" w:fill="1223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EFBF16FB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>Rider Rate (₦)</w:t>
            </w:r>
          </w:p>
        </w:tc>
        <w:tc>
          <w:tcPr>
            <w:tcW w:w="1754" w:type="dxa"/>
            <w:tcBorders/>
            <w:shd w:val="clear" w:color="auto" w:fill="1223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B7DE7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>Standard Fee (₦)</w:t>
            </w:r>
          </w:p>
        </w:tc>
        <w:tc>
          <w:tcPr>
            <w:tcW w:w="1754" w:type="dxa"/>
            <w:tcBorders/>
            <w:shd w:val="clear" w:color="auto" w:fill="1223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CFEB783C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>Return Copy Add-on (₦)</w:t>
            </w:r>
          </w:p>
        </w:tc>
        <w:tc>
          <w:tcPr>
            <w:tcW w:w="1755" w:type="dxa"/>
            <w:tcBorders/>
            <w:shd w:val="clear" w:color="auto" w:fill="1223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8FF9DA13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>Total Client Fee (₦)</w:t>
            </w:r>
          </w:p>
        </w:tc>
      </w:tr>
      <w:tr w14:paraId="280384D8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71089FE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Central Business District (CBD)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60E573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FDA5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95A463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4E5F5C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615B04F1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AD940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Garki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5FA1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D5F8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CB74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AAD3F3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D585E7D3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ECEA148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Wuse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0939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FDAAFD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8BE0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39EA3E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C584C89B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4733D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Wuse II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36FF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F793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F17E9E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0C21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6CA75249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DB3633D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Maitama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FE07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A280E8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4B5417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19EA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830103D0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0AAEA56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Asokoro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D9FC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7082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03C131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56CD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9912C0A1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A88D3C3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Guzape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42A983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E66FF0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A13C4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7A3E86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4F1062E8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29EB1D0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Wuye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E77D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0D58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921769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F3F1C4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1EA045A6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21B22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Jabi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AA3BD8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5127C2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69884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DFE52A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110821F4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6FADE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Utako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4B4E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486F22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999B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0894A9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89690691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EEC88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Mabushi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BA53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1BFE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66F8B6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EEAB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63430F8F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DDF85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Jahi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EB0432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3706F5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B434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B2CB00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DB4CD37E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C1CCE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Kado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4B1A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FC3166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ABA5D9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56464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4C48593B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D828975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Katampe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1C47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00C4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97A6E2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70F5D3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B5130035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C655D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Katampe Extension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16D18D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6D969A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₦6,000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8D3B34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D5E5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₦10,500</w:t>
            </w:r>
          </w:p>
        </w:tc>
      </w:tr>
      <w:tr w14:paraId="E698EA02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F184996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Life Camp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203C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B325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C5F782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E8043D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224CA19B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EB9B16B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Gwarinpa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9F9FB9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5443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40C428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559BA8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01EED7EF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2BF99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Karsana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5DDF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B07B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₦6,000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CD7F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BF93E0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₦10,500</w:t>
            </w:r>
          </w:p>
        </w:tc>
      </w:tr>
      <w:tr w14:paraId="F449651F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66A92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Dawaki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093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31A4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₦6,000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CEB5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034D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₦10,500</w:t>
            </w:r>
          </w:p>
        </w:tc>
      </w:tr>
      <w:tr w14:paraId="6234897B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59211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Idu Industrial Area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97A3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9035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8562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6289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98BD3AB8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9DB3623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Idu / Karmo Axis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B942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B6D80E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E5AF90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5AF7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74DDED6A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A6264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Karmo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E87E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F85B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BD8C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DFD3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8E32714A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1B317BC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Dei-Dei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306D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CBBA6B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F6EA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7CA0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9413BC98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A40DE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Apo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A186A5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78D0A2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4E65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566C89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3D23C7C1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8CC4BF7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Gudu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A1E3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0A2A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27EA7C4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6E7399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7AF5555A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B0065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Durumi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B2BF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2FFCC3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479D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8CA7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08CF8787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3ABD7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Lokogoma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E2C25D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289DF8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EA9423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602C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B368A722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992B4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Dakibiyu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16C632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A6EC10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8CBA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BE9A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C567FF6D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BEE034C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Dape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5DCBB6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8BA858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₦6,000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9633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7AA8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₦10,500</w:t>
            </w:r>
          </w:p>
        </w:tc>
      </w:tr>
      <w:tr w14:paraId="B2360463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ED1EF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Kaura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9ADA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87528A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450B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A33215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57F4E2C7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7F63361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Games Village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B51ED4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7E01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EE93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AE98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D824C48B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587F8A3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Galadimawa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8D78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6705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0C41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4485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4FEE1335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C3A40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Mbora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4E3BDC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29366B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EF48E9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0CAF4F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</w:tr>
      <w:tr w14:paraId="6EE193DC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CFF92D8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Wumba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4EF9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₦2,500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A1A94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lang w:val="en-US"/>
              </w:rPr>
              <w:t>5,0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9AD2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lang w:val="en-US"/>
              </w:rPr>
              <w:t>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6CBB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  <w:lang w:val="en-US"/>
              </w:rPr>
              <w:t>8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,500</w:t>
            </w:r>
          </w:p>
        </w:tc>
      </w:tr>
      <w:tr w14:paraId="D62BE0D1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AFF0B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Mpape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8495EC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₦3,500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69A4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7465FF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2951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₦9,500</w:t>
            </w:r>
          </w:p>
        </w:tc>
      </w:tr>
      <w:tr w14:paraId="94827686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7FA42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Lugbe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5CB5BE0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5196FA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E51F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40F113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842DB36C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B8D5A2B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TradeMoore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A332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84E0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031E67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F3EE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CC0E6AC5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D69221A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Pyakasa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051E09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B271D6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2FF3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66ABF4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CD11AF63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E7ED77C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Gosa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2D8660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52F3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CB03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AD09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BCAED382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26F77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Airport Road Axis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2D5F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5DA765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44E776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₦6,000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C8A9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₦13,500</w:t>
            </w:r>
          </w:p>
        </w:tc>
      </w:tr>
      <w:tr w14:paraId="AB1F0CF4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C9E25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Nyanya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3DFD967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E8BB35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595BCA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242C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2A3A944C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E003D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Karu (FCT)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8395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51EF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7D07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CBD7B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A428C712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977083B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Orozo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769F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D2A7C9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A5850A6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789D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₦13,000</w:t>
            </w:r>
          </w:p>
        </w:tc>
      </w:tr>
      <w:tr w14:paraId="DDF05099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AD21BDFD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Karshi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4F7E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₦4,000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E6D1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D82E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₦6,500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D1887E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₦15,000</w:t>
            </w:r>
          </w:p>
        </w:tc>
      </w:tr>
      <w:tr w14:paraId="14D74002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BB0DC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Kubwa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4E006D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ECF79E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EC0325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C2BAD98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9F1426FC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D71BACA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Dutse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5FCC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2A17193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7455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73D1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2112F66C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F6A4F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Dei-Dei (duplicate in source doc — see note)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DFFE8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CA98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7EB712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₦5,500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B8FA14F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</w:tr>
      <w:tr w14:paraId="1E8C31A4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E3077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Bwari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A7630D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₦8,000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6FC4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₦10,000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FA23C9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₦8,500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3616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₦18,500</w:t>
            </w:r>
          </w:p>
        </w:tc>
      </w:tr>
      <w:tr w14:paraId="3E684012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79403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Gwagwalada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3E45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₦9,000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9623B79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AEE991C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₦12,500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3573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₦25,000</w:t>
            </w:r>
          </w:p>
        </w:tc>
      </w:tr>
      <w:tr w14:paraId="2AAAC353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730D5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Kuje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A9DF981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0731A8D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₦9,000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F87FFE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₦7,500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357D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₦16,500</w:t>
            </w:r>
          </w:p>
        </w:tc>
      </w:tr>
      <w:tr w14:paraId="7D4A5683">
        <w:tblPrEx/>
        <w:trPr/>
        <w:tc>
          <w:tcPr>
            <w:tcW w:w="292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18AD4A2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Kwali</w:t>
            </w:r>
          </w:p>
        </w:tc>
        <w:tc>
          <w:tcPr>
            <w:tcW w:w="1559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8338339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₦10,000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B2ACC2B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₦12,000</w:t>
            </w:r>
          </w:p>
        </w:tc>
        <w:tc>
          <w:tcPr>
            <w:tcW w:w="1754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2509A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₦10,500</w:t>
            </w:r>
          </w:p>
        </w:tc>
        <w:tc>
          <w:tcPr>
            <w:tcW w:w="1755" w:type="dxa"/>
            <w:tcBorders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89A6B8A4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₦22,500</w:t>
            </w:r>
          </w:p>
        </w:tc>
      </w:tr>
      <w:tr w14:paraId="FC57E30F">
        <w:tblPrEx/>
        <w:trPr/>
        <w:tc>
          <w:tcPr>
            <w:tcW w:w="292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D3A887DC">
            <w:pPr>
              <w:pStyle w:val="style0"/>
              <w:jc w:val="lef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Abaji</w:t>
            </w:r>
          </w:p>
        </w:tc>
        <w:tc>
          <w:tcPr>
            <w:tcW w:w="1559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5416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Quotation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EE53F2C2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Quotation</w:t>
            </w:r>
          </w:p>
        </w:tc>
        <w:tc>
          <w:tcPr>
            <w:tcW w:w="1754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0181E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Quotation</w:t>
            </w:r>
          </w:p>
        </w:tc>
        <w:tc>
          <w:tcPr>
            <w:tcW w:w="1755" w:type="dxa"/>
            <w:tcBorders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FE7044D5">
            <w:pPr>
              <w:pStyle w:val="style0"/>
              <w:jc w:val="right"/>
              <w:rPr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Quotation</w:t>
            </w:r>
          </w:p>
        </w:tc>
      </w:tr>
    </w:tbl>
    <w:p w14:paraId="C77D6834">
      <w:pPr>
        <w:pStyle w:val="style0"/>
        <w:spacing w:before="200" w:after="0"/>
        <w:rPr/>
      </w:pPr>
      <w:r>
        <w:rPr>
          <w:rFonts w:ascii="Calibri" w:cs="Calibri" w:eastAsia="Calibri" w:hAnsi="Calibri"/>
          <w:i/>
          <w:iCs/>
          <w:color w:val="6b6b6b"/>
          <w:sz w:val="15"/>
          <w:szCs w:val="15"/>
        </w:rPr>
        <w:t>Note: This sheet is for internal reference only. The Location/District list, Standard Fee, Return Copy Add-on, and Total Client Fee columns are taken directly from Prime_Couriex_Official_Rates_Client_Facing.docx; Rider Rate has been added from your rider payment list.</w:t>
      </w:r>
    </w:p>
    <w:p w14:paraId="09FD7CE7">
      <w:pPr>
        <w:pStyle w:val="style0"/>
        <w:spacing w:before="100" w:after="0"/>
        <w:rPr/>
      </w:pPr>
      <w:r>
        <w:rPr>
          <w:rFonts w:ascii="Calibri" w:cs="Calibri" w:eastAsia="Calibri" w:hAnsi="Calibri"/>
          <w:i/>
          <w:iCs/>
          <w:color w:val="9a3412"/>
          <w:sz w:val="15"/>
          <w:szCs w:val="15"/>
        </w:rPr>
        <w:t>Flagged: the source document lists "Dei-Dei" a second time (with the same figures) in the position where "Zuba" should appear near Kubwa/Dutse, and Zuba's client-facing Standard Fee, Return Copy Add-on, and Total figures are missing entirely. Zuba's Rider Rate is ₦7,000, but its client fees need to be set before this row can be corrected. Abaji remains "Quotation" as in the source document, and its Rider Rate was not provided.</w:t>
      </w:r>
    </w:p>
    <w:sectPr>
      <w:headerReference w:type="default" r:id="rId2"/>
      <w:footerReference w:type="default" r:id="rId3"/>
      <w:headerReference w:type="first" r:id="rId4"/>
      <w:footerReference w:type="first" r:id="rId5"/>
      <w:pgSz w:w="11906" w:h="16838" w:orient="portrait"/>
      <w:pgMar w:top="200" w:right="1080" w:bottom="300" w:left="1080" w:header="200" w:footer="200" w:gutter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3744E77">
    <w:pPr>
      <w:pStyle w:val="style0"/>
      <w:pBdr>
        <w:top w:val="single" w:sz="6" w:space="4" w:color="bfbfbf"/>
      </w:pBdr>
      <w:spacing w:before="60" w:after="40"/>
      <w:jc w:val="center"/>
      <w:rPr/>
    </w:pPr>
    <w:r>
      <w:rPr>
        <w:rFonts w:ascii="Calibri" w:cs="Calibri" w:eastAsia="Calibri" w:hAnsi="Calibri"/>
        <w:b/>
        <w:bCs/>
        <w:color w:val="9a3412"/>
        <w:sz w:val="14"/>
        <w:szCs w:val="14"/>
      </w:rPr>
      <w:t>INTERNAL USE ONLY — NOT FOR CLIENT DISTRIBUTION   |   Prime Couriex Express Limited   |   RC 9614608</w:t>
    </w: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A7320589">
    <w:pPr>
      <w:pStyle w:val="style0"/>
      <w:pBdr>
        <w:top w:val="single" w:sz="6" w:space="4" w:color="bfbfbf"/>
      </w:pBdr>
      <w:spacing w:before="60" w:after="40"/>
      <w:jc w:val="center"/>
      <w:rPr/>
    </w:pPr>
    <w:r>
      <w:rPr>
        <w:rFonts w:ascii="Calibri" w:cs="Calibri" w:eastAsia="Calibri" w:hAnsi="Calibri"/>
        <w:b/>
        <w:bCs/>
        <w:color w:val="9a3412"/>
        <w:sz w:val="14"/>
        <w:szCs w:val="14"/>
      </w:rPr>
      <w:t>INTERNAL USE ONLY — NOT FOR CLIENT DISTRIBUTION   |   Prime Couriex Express Limited   |   RC 9614608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F43C0E5">
    <w:pPr>
      <w:pStyle w:val="style0"/>
      <w:rPr/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9746" w:type="dxa"/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</w:tblPr>
    <w:tblGrid>
      <w:gridCol w:w="3898"/>
      <w:gridCol w:w="5848"/>
    </w:tblGrid>
    <w:tr w14:paraId="7E1E5DD1">
      <w:trPr/>
      <w:tc>
        <w:tcPr>
          <w:tcW w:w="3898" w:type="dxa"/>
          <w:tcBorders/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4376E0BF">
          <w:pPr>
            <w:pStyle w:val="style0"/>
            <w:rPr/>
          </w:pPr>
          <w:r>
            <w:rPr/>
            <w:drawing>
              <wp:inline distL="0" distT="0" distB="0" distR="0">
                <wp:extent cx="2476500" cy="1000125"/>
                <wp:effectExtent l="0" t="0" r="0" b="0"/>
                <wp:docPr id="4097" name="" descr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2476500" cy="10001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8" w:type="dxa"/>
          <w:tcBorders/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46CAAB6E">
          <w:pPr>
            <w:pStyle w:val="style0"/>
            <w:spacing w:after="40"/>
            <w:jc w:val="right"/>
            <w:rPr/>
          </w:pPr>
          <w:r>
            <w:rPr>
              <w:rFonts w:ascii="Calibri" w:cs="Calibri" w:eastAsia="Calibri" w:hAnsi="Calibri"/>
              <w:b/>
              <w:bCs/>
              <w:color w:val="12234c"/>
              <w:sz w:val="17"/>
              <w:szCs w:val="17"/>
            </w:rPr>
            <w:t>+234 907 535 5182</w:t>
          </w:r>
        </w:p>
        <w:p w14:paraId="097D2C42">
          <w:pPr>
            <w:pStyle w:val="style0"/>
            <w:spacing w:after="40"/>
            <w:jc w:val="right"/>
            <w:rPr/>
          </w:pPr>
          <w:r>
            <w:rPr>
              <w:rFonts w:ascii="Calibri" w:cs="Calibri" w:eastAsia="Calibri" w:hAnsi="Calibri"/>
              <w:b w:val="false"/>
              <w:bCs w:val="false"/>
              <w:color w:val="12234c"/>
              <w:sz w:val="17"/>
              <w:szCs w:val="17"/>
            </w:rPr>
            <w:t>info.legalcouriex.ng@gmail.com</w:t>
          </w:r>
        </w:p>
        <w:p w14:paraId="834AC653">
          <w:pPr>
            <w:pStyle w:val="style0"/>
            <w:spacing w:after="40"/>
            <w:jc w:val="right"/>
            <w:rPr/>
          </w:pPr>
          <w:r>
            <w:rPr>
              <w:rFonts w:ascii="Calibri" w:cs="Calibri" w:eastAsia="Calibri" w:hAnsi="Calibri"/>
              <w:b w:val="false"/>
              <w:bCs w:val="false"/>
              <w:color w:val="12234c"/>
              <w:sz w:val="17"/>
              <w:szCs w:val="17"/>
            </w:rPr>
            <w:t>support.primecouriex.ng@gmail.com</w:t>
          </w:r>
        </w:p>
        <w:p w14:paraId="49FDB228">
          <w:pPr>
            <w:pStyle w:val="style0"/>
            <w:spacing w:after="0"/>
            <w:jc w:val="right"/>
            <w:rPr/>
          </w:pPr>
          <w:r>
            <w:rPr>
              <w:rFonts w:ascii="Calibri" w:cs="Calibri" w:eastAsia="Calibri" w:hAnsi="Calibri"/>
              <w:b w:val="false"/>
              <w:bCs w:val="false"/>
              <w:color w:val="12234c"/>
              <w:sz w:val="17"/>
              <w:szCs w:val="17"/>
            </w:rPr>
            <w:t>No. 3, D19 Road, 24 Games Village, FCT Abuja</w:t>
          </w:r>
        </w:p>
      </w:tc>
    </w:tr>
  </w:tbl>
  <w:p w14:paraId="575F7941">
    <w:pPr>
      <w:pStyle w:val="style0"/>
      <w:pBdr>
        <w:bottom w:val="single" w:sz="18" w:space="1" w:color="12234c"/>
      </w:pBdr>
      <w:spacing w:before="120" w:after="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965c94b-dffa-4b27-9d84-d4405658f01d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header" Target="header3.xml"/><Relationship Id="rId9" Type="http://schemas.openxmlformats.org/officeDocument/2006/relationships/theme" Target="theme/theme1.xml"/><Relationship Id="rId5" Type="http://schemas.openxmlformats.org/officeDocument/2006/relationships/footer" Target="foot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470</Words>
  <Characters>2727</Characters>
  <Application>WPS Office</Application>
  <Paragraphs>337</Paragraphs>
  <CharactersWithSpaces>2937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2026-08-18T13:32:42Z</dcterms:created>
  <dc:creator>Un-named</dc:creator>
  <lastModifiedBy>Infinix X6880</lastModifiedBy>
  <dcterms:modified xsi:type="dcterms:W3CDTF">2026-08-18T13:32:42Z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14446fcde10d456eb69b5b899e8bd077</vt:lpwstr>
  </property>
</Properties>
</file>