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7C6E4" w14:textId="07B60E6E" w:rsidR="00294294" w:rsidRPr="004E4A4F" w:rsidRDefault="00294294" w:rsidP="004E4A4F">
      <w:pPr>
        <w:pStyle w:val="Prrafodelista"/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62"/>
          <w:tab w:val="left" w:pos="462"/>
        </w:tabs>
        <w:spacing w:before="240" w:after="240" w:line="240" w:lineRule="auto"/>
        <w:jc w:val="left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4E4A4F">
        <w:rPr>
          <w:rFonts w:ascii="Arial" w:eastAsia="Arial" w:hAnsi="Arial" w:cs="Arial"/>
          <w:b/>
          <w:bCs/>
          <w:color w:val="000000"/>
          <w:sz w:val="24"/>
          <w:szCs w:val="24"/>
        </w:rPr>
        <w:t>ISO 27001</w:t>
      </w:r>
    </w:p>
    <w:p w14:paraId="0A15E269" w14:textId="77777777" w:rsidR="00294294" w:rsidRDefault="00294294" w:rsidP="00294294">
      <w:pPr>
        <w:spacing w:before="200" w:after="20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"ISO / IEC 27001: 2013 - Sistema de Gestión de la Seguridad de la Información" es un estándar para el sistema de gestión de la seguridad de la información (ISMS - </w:t>
      </w:r>
      <w:proofErr w:type="spellStart"/>
      <w:r>
        <w:rPr>
          <w:rFonts w:ascii="Arial" w:eastAsia="Arial" w:hAnsi="Arial" w:cs="Arial"/>
        </w:rPr>
        <w:t>Information</w:t>
      </w:r>
      <w:proofErr w:type="spellEnd"/>
      <w:r>
        <w:rPr>
          <w:rFonts w:ascii="Arial" w:eastAsia="Arial" w:hAnsi="Arial" w:cs="Arial"/>
        </w:rPr>
        <w:t xml:space="preserve"> Security Management </w:t>
      </w:r>
      <w:proofErr w:type="spellStart"/>
      <w:r>
        <w:rPr>
          <w:rFonts w:ascii="Arial" w:eastAsia="Arial" w:hAnsi="Arial" w:cs="Arial"/>
        </w:rPr>
        <w:t>System</w:t>
      </w:r>
      <w:proofErr w:type="spellEnd"/>
      <w:r>
        <w:rPr>
          <w:rFonts w:ascii="Arial" w:eastAsia="Arial" w:hAnsi="Arial" w:cs="Arial"/>
        </w:rPr>
        <w:t xml:space="preserve">) por la International </w:t>
      </w:r>
      <w:proofErr w:type="spellStart"/>
      <w:r>
        <w:rPr>
          <w:rFonts w:ascii="Arial" w:eastAsia="Arial" w:hAnsi="Arial" w:cs="Arial"/>
        </w:rPr>
        <w:t>Organization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Standardization</w:t>
      </w:r>
      <w:proofErr w:type="spellEnd"/>
      <w:r>
        <w:rPr>
          <w:rFonts w:ascii="Arial" w:eastAsia="Arial" w:hAnsi="Arial" w:cs="Arial"/>
        </w:rPr>
        <w:t xml:space="preserve"> y el International </w:t>
      </w:r>
      <w:proofErr w:type="spellStart"/>
      <w:r>
        <w:rPr>
          <w:rFonts w:ascii="Arial" w:eastAsia="Arial" w:hAnsi="Arial" w:cs="Arial"/>
        </w:rPr>
        <w:t>Electrotechnical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Commision</w:t>
      </w:r>
      <w:proofErr w:type="spellEnd"/>
    </w:p>
    <w:p w14:paraId="049B97DC" w14:textId="77777777" w:rsidR="00294294" w:rsidRDefault="00294294" w:rsidP="00294294">
      <w:pPr>
        <w:spacing w:before="200" w:after="20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Principales beneficios:</w:t>
      </w:r>
    </w:p>
    <w:p w14:paraId="601D91DC" w14:textId="77777777" w:rsidR="00294294" w:rsidRDefault="00294294" w:rsidP="002942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after="0" w:line="36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Garantiza la seguridad en todo el ciclo de negocio, desde la planificación de nuevas funcionalidades en los sistemas, pasando por el cumplimiento de las leyes y regulaciones;</w:t>
      </w:r>
    </w:p>
    <w:p w14:paraId="697194F0" w14:textId="77777777" w:rsidR="00294294" w:rsidRDefault="00294294" w:rsidP="002942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Tasas potenciales más bajas en primas de seguros;</w:t>
      </w:r>
    </w:p>
    <w:p w14:paraId="456BAA3B" w14:textId="77777777" w:rsidR="00294294" w:rsidRDefault="00294294" w:rsidP="002942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Proporciona seguridad a todas las partes interesadas;</w:t>
      </w:r>
    </w:p>
    <w:p w14:paraId="4E6E7A9D" w14:textId="77777777" w:rsidR="00294294" w:rsidRDefault="00294294" w:rsidP="002942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Aplicación de controles tecnológicos y físicos, continuidad del negocio y recuperación de desastres;</w:t>
      </w:r>
    </w:p>
    <w:p w14:paraId="7F62C96D" w14:textId="77777777" w:rsidR="00294294" w:rsidRDefault="00294294" w:rsidP="002942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Sensibilización continua de personas sobre los temas de seguridad;</w:t>
      </w:r>
    </w:p>
    <w:p w14:paraId="0BD64620" w14:textId="77777777" w:rsidR="00294294" w:rsidRDefault="00294294" w:rsidP="002942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ind w:left="709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Riesgos de seguridad permanentemente identificados y, como resultado de ello, se aplican los controles más adecuados para cada situación de riesgo elevado.</w:t>
      </w:r>
    </w:p>
    <w:p w14:paraId="364CDFEA" w14:textId="77777777" w:rsidR="00294294" w:rsidRDefault="00294294" w:rsidP="00294294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Incorporando las mejores prácticas en la Gerencia de Seguridad de la Información, TIVIT pretende garantizar los pilares de la seguridad de la información que son confidencialidad, integridad y disponibilidad.</w:t>
      </w:r>
    </w:p>
    <w:p w14:paraId="3E36E6E1" w14:textId="77777777" w:rsidR="00294294" w:rsidRDefault="00294294" w:rsidP="00294294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TIVIT está certificada con el fin de asegurar la adherencia a los requisitos de seguridad especificados.</w:t>
      </w:r>
    </w:p>
    <w:p w14:paraId="5B441B88" w14:textId="77777777" w:rsidR="00294294" w:rsidRDefault="00294294" w:rsidP="00294294">
      <w:pPr>
        <w:rPr>
          <w:rFonts w:ascii="Calibri" w:eastAsia="Calibri" w:hAnsi="Calibri" w:cs="Calibri"/>
          <w:sz w:val="20"/>
          <w:szCs w:val="20"/>
        </w:rPr>
      </w:pPr>
    </w:p>
    <w:p w14:paraId="5EE1096B" w14:textId="77777777" w:rsidR="00294294" w:rsidRDefault="00294294" w:rsidP="00294294">
      <w:pPr>
        <w:rPr>
          <w:rFonts w:ascii="Calibri" w:eastAsia="Calibri" w:hAnsi="Calibri" w:cs="Calibri"/>
          <w:sz w:val="20"/>
          <w:szCs w:val="20"/>
        </w:rPr>
      </w:pPr>
    </w:p>
    <w:p w14:paraId="7A3345FA" w14:textId="77777777" w:rsidR="00294294" w:rsidRDefault="00294294" w:rsidP="00294294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Titillium Web" w:eastAsia="Titillium Web" w:hAnsi="Titillium Web" w:cs="Titillium Web"/>
          <w:noProof/>
        </w:rPr>
        <w:lastRenderedPageBreak/>
        <w:drawing>
          <wp:inline distT="0" distB="0" distL="0" distR="0" wp14:anchorId="423934C0" wp14:editId="27A983D1">
            <wp:extent cx="5084567" cy="6507551"/>
            <wp:effectExtent l="0" t="0" r="0" b="0"/>
            <wp:docPr id="2096357993" name="image52.jpg" descr="Interfaz de usuario gráfica, Aplicación, Word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jpg" descr="Interfaz de usuario gráfica, Aplicación, Word&#10;&#10;Descripción generada automáticament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4567" cy="65075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08E8B" w14:textId="77777777" w:rsidR="00294294" w:rsidRDefault="00294294" w:rsidP="00294294">
      <w:pPr>
        <w:rPr>
          <w:rFonts w:ascii="Calibri" w:eastAsia="Calibri" w:hAnsi="Calibri" w:cs="Calibri"/>
          <w:sz w:val="20"/>
          <w:szCs w:val="20"/>
        </w:rPr>
      </w:pPr>
    </w:p>
    <w:p w14:paraId="721CA337" w14:textId="77777777" w:rsidR="00E63AA9" w:rsidRDefault="00E63AA9"/>
    <w:sectPr w:rsidR="00E63A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114C35"/>
    <w:multiLevelType w:val="multilevel"/>
    <w:tmpl w:val="8EC6B13C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eastAsia="Arial" w:hAnsi="Arial" w:cs="Arial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color w:val="000000"/>
      </w:rPr>
    </w:lvl>
  </w:abstractNum>
  <w:abstractNum w:abstractNumId="1" w15:restartNumberingAfterBreak="0">
    <w:nsid w:val="631F58C5"/>
    <w:multiLevelType w:val="multilevel"/>
    <w:tmpl w:val="AC9414AA"/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CE161D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E533193"/>
    <w:multiLevelType w:val="hybridMultilevel"/>
    <w:tmpl w:val="E0E42B10"/>
    <w:lvl w:ilvl="0" w:tplc="0EB2479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294"/>
    <w:rsid w:val="00294294"/>
    <w:rsid w:val="004E4A4F"/>
    <w:rsid w:val="00E6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1D9D10"/>
  <w15:chartTrackingRefBased/>
  <w15:docId w15:val="{AD8892ED-6C55-45A1-AF1E-AFE608134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294"/>
    <w:pPr>
      <w:spacing w:line="252" w:lineRule="auto"/>
      <w:jc w:val="both"/>
    </w:pPr>
    <w:rPr>
      <w:rFonts w:ascii="Cambria" w:eastAsia="Cambria" w:hAnsi="Cambria" w:cs="Cambr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4A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huerta</dc:creator>
  <cp:keywords/>
  <dc:description/>
  <cp:lastModifiedBy>jesus huerta</cp:lastModifiedBy>
  <cp:revision>2</cp:revision>
  <dcterms:created xsi:type="dcterms:W3CDTF">2026-01-14T08:27:00Z</dcterms:created>
  <dcterms:modified xsi:type="dcterms:W3CDTF">2026-01-14T09:50:00Z</dcterms:modified>
</cp:coreProperties>
</file>