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720687" cy="1720687"/>
            <wp:effectExtent b="0" l="0" r="0" t="0"/>
            <wp:docPr descr="Ver las imágenes de origen" id="5" name="image1.jpg"/>
            <a:graphic>
              <a:graphicData uri="http://schemas.openxmlformats.org/drawingml/2006/picture">
                <pic:pic>
                  <pic:nvPicPr>
                    <pic:cNvPr descr="Ver las imágenes de origen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687" cy="172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8.692399978637695"/>
          <w:szCs w:val="28.692399978637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.692399978637695"/>
          <w:szCs w:val="28.692399978637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.692399978637695"/>
          <w:szCs w:val="28.692399978637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jc w:val="center"/>
        <w:rPr>
          <w:sz w:val="28"/>
          <w:szCs w:val="28"/>
        </w:rPr>
      </w:pPr>
      <w:bookmarkStart w:colFirst="0" w:colLast="0" w:name="_qm5u1r4ty2lk" w:id="0"/>
      <w:bookmarkEnd w:id="0"/>
      <w:r w:rsidDel="00000000" w:rsidR="00000000" w:rsidRPr="00000000">
        <w:rPr>
          <w:sz w:val="28"/>
          <w:szCs w:val="28"/>
          <w:rtl w:val="0"/>
        </w:rPr>
        <w:t xml:space="preserve">Principios de arquitectura de software en software embebido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hd w:fill="ffffff" w:val="clear"/>
        <w:spacing w:after="0" w:before="0" w:line="360" w:lineRule="auto"/>
        <w:jc w:val="center"/>
        <w:rPr>
          <w:rFonts w:ascii="Roboto" w:cs="Roboto" w:eastAsia="Roboto" w:hAnsi="Roboto"/>
          <w:sz w:val="27"/>
          <w:szCs w:val="27"/>
          <w:highlight w:val="white"/>
        </w:rPr>
      </w:pPr>
      <w:bookmarkStart w:colFirst="0" w:colLast="0" w:name="_xzt0l7kjb63c" w:id="1"/>
      <w:bookmarkEnd w:id="1"/>
      <w:r w:rsidDel="00000000" w:rsidR="00000000" w:rsidRPr="00000000">
        <w:rPr>
          <w:sz w:val="28"/>
          <w:szCs w:val="28"/>
          <w:rtl w:val="0"/>
        </w:rPr>
        <w:t xml:space="preserve"> (Gpo 101)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center"/>
        <w:rPr>
          <w:sz w:val="28"/>
          <w:szCs w:val="28"/>
        </w:rPr>
      </w:pPr>
      <w:bookmarkStart w:colFirst="0" w:colLast="0" w:name="_tu2lca4ajpx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jc w:val="center"/>
        <w:rPr>
          <w:sz w:val="28"/>
          <w:szCs w:val="28"/>
        </w:rPr>
      </w:pPr>
      <w:bookmarkStart w:colFirst="0" w:colLast="0" w:name="_752w2c8v4eqy" w:id="3"/>
      <w:bookmarkEnd w:id="3"/>
      <w:r w:rsidDel="00000000" w:rsidR="00000000" w:rsidRPr="00000000">
        <w:rPr>
          <w:sz w:val="28"/>
          <w:szCs w:val="28"/>
          <w:rtl w:val="0"/>
        </w:rPr>
        <w:t xml:space="preserve">Implementación de API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hd w:fill="ffffff" w:val="clear"/>
        <w:spacing w:after="0" w:before="0" w:line="312" w:lineRule="auto"/>
        <w:rPr>
          <w:color w:val="2d3b45"/>
          <w:sz w:val="28"/>
          <w:szCs w:val="28"/>
        </w:rPr>
      </w:pPr>
      <w:bookmarkStart w:colFirst="0" w:colLast="0" w:name="_ae612raxboz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hd w:fill="ffffff" w:val="clear"/>
        <w:spacing w:after="0" w:before="0" w:line="312" w:lineRule="auto"/>
        <w:rPr>
          <w:b w:val="1"/>
          <w:sz w:val="24"/>
          <w:szCs w:val="24"/>
        </w:rPr>
      </w:pPr>
      <w:bookmarkStart w:colFirst="0" w:colLast="0" w:name="_b69tluh8sea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Prof. César Orlando Campos Aguillón</w:t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Equipo 2: 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Edgar Manuel González Silva - A00827763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Jesús Eduardo Rodríguez Romero - A01411628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Luis Angel Ramiro Amaro - A01411763</w:t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zi0ugulh9w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c05873b4zos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1rkc9khxcda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subyvmcbr0qx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Entrega:23/03/2023</w:t>
      </w:r>
    </w:p>
    <w:p w:rsidR="00000000" w:rsidDel="00000000" w:rsidP="00000000" w:rsidRDefault="00000000" w:rsidRPr="00000000" w14:paraId="00000019">
      <w:pPr>
        <w:shd w:fill="ffffff" w:val="clear"/>
        <w:spacing w:after="1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