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100 VOCES · GUION NARRATIVO · RETO 3</w:t>
      </w:r>
    </w:p>
    <w:p>
      <w:pPr>
        <w:pStyle w:val="Title"/>
      </w:pPr>
      <w:r>
        <w:t>De un porcentaje a una conversación</w:t>
      </w:r>
    </w:p>
    <w:p>
      <w:pPr>
        <w:pStyle w:val="Heading1"/>
      </w:pPr>
      <w:r>
        <w:t>Mensaje central y público</w:t>
      </w:r>
    </w:p>
    <w:p>
      <w:r>
        <w:t>100 VOCES — Así participa México convierte tasas públicas de los Conteos Censales de Participación Ciudadana (CCPC) 2009–2024 en una experiencia de lectura, comparación y aprendizaje. Su mensaje central es: un dato se comprende mejor cuando podemos ver qué mide, compararlo con contexto y reconocer lo que no demuestra. El público principal son personas jóvenes sin formación estadística; docentes, estudiantes y promotores de educación cívica disponen de rutas de aula, comunidad y redes. Son contextos de comunicación, no perfiles políticos inferidos.</w:t>
      </w:r>
    </w:p>
    <w:p>
      <w:pPr>
        <w:pStyle w:val="Heading1"/>
      </w:pPr>
      <w:r>
        <w:t>Apertura: cien puntos, una cifra</w:t>
      </w:r>
    </w:p>
    <w:p>
      <w:r>
        <w:t>La primera escena pregunta: «¿Qué significa 59,7%?». Para 2024, la cifra nacional CCPC es 59,7%. Un conjunto de cien puntos ilumina aproximadamente sesenta: cada punto representa cerca de un punto porcentual, no una persona identificada. La tasa se conserva con un decimal y el complemento aritmético es 40,3%. La diferencia entre aproximación visual y cifra publicada aparece en el mismo lugar que la gráfica.</w:t>
      </w:r>
    </w:p>
    <w:p>
      <w:pPr>
        <w:pStyle w:val="Heading1"/>
      </w:pPr>
      <w:r>
        <w:t>Interacción con propósito</w:t>
      </w:r>
    </w:p>
    <w:p>
      <w:r>
        <w:t>La persona elige 2009, 2012, 2015, 2018, 2021 o 2024. Cambian la tasa, el complemento, los puntos, el tipo de elección y la explicación. «Revelar evidencia» permite consultar procedencia, cálculo y límites. La historia no exige memorizar seis números: enseña a formular tres preguntas transferibles a cualquier indicador: ¿qué se mide?, ¿contra qué se compara?, ¿qué queda fuera?</w:t>
      </w:r>
    </w:p>
    <w:p>
      <w:pPr>
        <w:pStyle w:val="Heading1"/>
      </w:pPr>
      <w:r>
        <w:t>Promesa educativa, todavía por medir</w:t>
      </w:r>
    </w:p>
    <w:p>
      <w:r>
        <w:t>El objetivo es mejorar la comprensión, no demostrar un aumento de participación electoral. La hipótesis de diseño sostiene que una secuencia breve con retroalimentación y fuentes visibles puede ayudar a interpretar porcentajes. Su efecto debe evaluarse con personas ajenas al equipo. No hay aquí resultados de un piloto ni métricas de impacto. El recorrido rápido propone una lectura de aproximadamente sesenta segundos; ese tiempo es una pauta editorial, no un tiempo observado.</w:t>
      </w:r>
    </w:p>
    <w:p>
      <w:pPr>
        <w:pStyle w:val="Heading1"/>
      </w:pPr>
      <w:r>
        <w:t>Un contrato de lectura</w:t>
      </w:r>
    </w:p>
    <w:p>
      <w:r>
        <w:t>El lenguaje es neutral y no partidista. Los datos agregados no revelan la intención, la motivación ni el comportamiento futuro de una persona. Las piezas hacen visible el año, la unidad, el ámbito y la fuente. La independencia respecto del INE se declara de forma permanente: el proyecto se presenta al Reto 3, pero no representa una herramienta oficial ni una aprobación institucional.</w:t>
      </w:r>
    </w:p>
    <w:p>
      <w:r>
        <w:br w:type="page"/>
      </w:r>
    </w:p>
    <w:p>
      <w:pPr>
        <w:pStyle w:val="Subtitle"/>
      </w:pPr>
      <w:r>
        <w:t>100 VOCES · GUION NARRATIVO · RETO 3</w:t>
      </w:r>
    </w:p>
    <w:p>
      <w:pPr>
        <w:pStyle w:val="Title"/>
      </w:pPr>
      <w:r>
        <w:t>Comparar también requiere contexto</w:t>
      </w:r>
    </w:p>
    <w:p>
      <w:pPr>
        <w:pStyle w:val="Heading1"/>
      </w:pPr>
      <w:r>
        <w:t>Segunda escena: tiempo</w:t>
      </w:r>
    </w:p>
    <w:p>
      <w:r>
        <w:t>El comparador separa elecciones presidenciales (2012, 2018 y 2024) e intermedias (2009, 2015 y 2021). La serie nacional conserva los valores publicados: 44,1%; 62,1%; 47,1%; 62,4%; 51,8% y 59,7%, respectivamente. La división por tipo de elección facilita una comparación contextualizada, aunque no elimina todas las diferencias entre procesos. No son mediciones repetidas de las mismas personas.</w:t>
      </w:r>
    </w:p>
    <w:p>
      <w:pPr>
        <w:pStyle w:val="Heading1"/>
      </w:pPr>
      <w:r>
        <w:t>La diferencia que sí podemos calcular</w:t>
      </w:r>
    </w:p>
    <w:p>
      <w:r>
        <w:t>Entre las presidenciales de 2018 y 2024, 59,7 menos 62,4 equivale a −2,7 puntos porcentuales (pp). El cambio relativo es aproximadamente −4,3%, calculado al dividir −2,7 entre 62,4 y multiplicar por cien. No son la misma unidad. Entre las intermedias de 2015 y 2021, 51,8 menos 47,1 equivale a +4,7 pp. Una diferencia describe lo observado; por sí sola no demuestra qué produjo ese cambio.</w:t>
      </w:r>
    </w:p>
    <w:p>
      <w:pPr>
        <w:pStyle w:val="Heading1"/>
      </w:pPr>
      <w:r>
        <w:t>Tercera escena: territorio</w:t>
      </w:r>
    </w:p>
    <w:p>
      <w:r>
        <w:t>El explorador conserva una selección demostrativa de ocho entidades en 2024: Aguascalientes, Baja California, Chiapas, Ciudad de México, Sonora, Tlaxcala, Veracruz y Yucatán. No representa una muestra probabilística ni un ranking de las treinta y dos entidades. Por ejemplo, Veracruz registra 58,4%, frente a 59,7% nacional: una diferencia de −1,3 pp. Esta comparación no justifica etiquetar a una comunidad como apática o inferir causas individuales.</w:t>
      </w:r>
    </w:p>
    <w:p>
      <w:pPr>
        <w:pStyle w:val="Heading1"/>
      </w:pPr>
      <w:r>
        <w:t>Lo que mide la tasa</w:t>
      </w:r>
    </w:p>
    <w:p>
      <w:r>
        <w:t>La participación CCPC se expresa como Sí votaron / (Sí votaron + No votaron) × 100. Los registros no especificados no forman parte de este denominador. Por eso no debe tratarse como una tasa calculada sin más sobre toda la lista nominal ni mezclarse automáticamente con indicadores de otros productos electorales. El complemento 100 − tasa usa la misma base definida, con el mismo redondeo de publicación.</w:t>
      </w:r>
    </w:p>
    <w:p>
      <w:pPr>
        <w:pStyle w:val="Heading1"/>
      </w:pPr>
      <w:r>
        <w:t>Procedencia y límite de cobertura</w:t>
      </w:r>
    </w:p>
    <w:p>
      <w:r>
        <w:t>El manual oficial CCPC es la referencia documental: la serie nacional se presenta en la página 21; la visualización territorial de 2024 en la 16; el contexto metodológico se consulta en las páginas 17 y 30. El registro de fuentes y la evidencia de cotejo acompañan a los datos del proyecto. El módulo de edades añade 18 grupos nacionales, cotejados con el Estudio de Participación Ciudadana 2024, gráfica 5, p. 18. El grupo de 25–29 años registra 47,3%; no es un dato estatal ni una conducta individual.</w:t>
      </w:r>
    </w:p>
    <w:p>
      <w:r>
        <w:br w:type="page"/>
      </w:r>
    </w:p>
    <w:p>
      <w:pPr>
        <w:pStyle w:val="Subtitle"/>
      </w:pPr>
      <w:r>
        <w:t>100 VOCES · GUION NARRATIVO · RETO 3</w:t>
      </w:r>
    </w:p>
    <w:p>
      <w:pPr>
        <w:pStyle w:val="Title"/>
      </w:pPr>
      <w:r>
        <w:t>Aprender, imaginar y explicar</w:t>
      </w:r>
    </w:p>
    <w:p>
      <w:pPr>
        <w:pStyle w:val="Heading1"/>
      </w:pPr>
      <w:r>
        <w:t>Cuarta escena: siete decisiones</w:t>
      </w:r>
    </w:p>
    <w:p>
      <w:r>
        <w:t>El mini-reto propone siete preguntas sobre porcentajes, unidades, comparación entre elecciones, límites, gráficas, exclusión de registros no especificados e interpretación de edades nacionales. Cada respuesta conduce a una explicación, incluso cuando es incorrecta. El avance, el cierre con lo aprendido y el reinicio convierten el error en una oportunidad de revisión. Los aciertos no son una medición validada de competencia cívica ni se vinculan a una identidad personal.</w:t>
      </w:r>
    </w:p>
    <w:p>
      <w:pPr>
        <w:pStyle w:val="Heading1"/>
      </w:pPr>
      <w:r>
        <w:t>Quinta escena: una hipótesis visible</w:t>
      </w:r>
    </w:p>
    <w:p>
      <w:r>
        <w:t>El laboratorio compara dos tasas hipotéticas entre 0% y 100% con la referencia observada de 59,7% en 2024. A = 54,7% representa −5,0 pp; B = 64,7%, +5,0 pp. Entre A y B hay 10,0 pp. B implica aproximadamente +8,4% relativo a la referencia. Los cien puntos cambian como ilustración. La etiqueta «escenario hipotético» acompaña al resultado: es una operación aritmética, no una predicción ni la estimación del efecto de una política pública.</w:t>
      </w:r>
    </w:p>
    <w:p>
      <w:pPr>
        <w:pStyle w:val="Heading1"/>
      </w:pPr>
      <w:r>
        <w:t>Qué exigiría una predicción</w:t>
      </w:r>
    </w:p>
    <w:p>
      <w:r>
        <w:t>Predecir responsablemente requeriría, como mínimo, definir el fenómeno y la unidad de análisis, disponer de series comparables, separar datos de entrenamiento y evaluación, medir errores fuera de muestra y comunicar incertidumbre. Atribuir efectos a una intervención requeriría además un diseño que permita identificarlos. 100 VOCES no sustituye esas tareas con un deslizador; emplea el ejercicio para enseñar la diferencia entre observar e imaginar.</w:t>
      </w:r>
    </w:p>
    <w:p>
      <w:pPr>
        <w:pStyle w:val="Heading1"/>
      </w:pPr>
      <w:r>
        <w:t>Sexta escena: una explicación que viaja</w:t>
      </w:r>
    </w:p>
    <w:p>
      <w:r>
        <w:t>El generador permite preparar una pieza nacional, su complemento, una entidad o un grupo de edad de 2024, y elegir aula, comunidad o redes como contexto. Las salidas previstas en el producto son PNG horizontal de 1200 × 630, publicación de 1080 × 1350 e historia de 1080 × 1920 píxeles, acompañadas de texto accesible. El valor, el año, el alcance y la referencia deben viajar dentro de la imagen; la descripción escrita permite explicar la misma información sin depender de la gráfica.</w:t>
      </w:r>
    </w:p>
    <w:p>
      <w:pPr>
        <w:pStyle w:val="Heading1"/>
      </w:pPr>
      <w:r>
        <w:t>Un cierre sin exageraciones</w:t>
      </w:r>
    </w:p>
    <w:p>
      <w:r>
        <w:t>La persona termina con una afirmación verificable y una pregunta mejor formulada. Por ejemplo: «La participación nacional CCPC de 2024 fue 59,7%; ¿qué fuente y denominador sustentan esa cifra?». El recurso local funciona como respaldo para conectividad limitada y la demostración manual organiza seis escenas en tres minutos. El video local se verifica por separado. El sitio está privado en la cuenta propietaria; el acceso público, los requisitos administrativos y el piloto no se dan por cumplidos.</w:t>
      </w:r>
    </w:p>
    <w:p>
      <w:r>
        <w:br w:type="page"/>
      </w:r>
    </w:p>
    <w:p>
      <w:pPr>
        <w:pStyle w:val="Subtitle"/>
      </w:pPr>
      <w:r>
        <w:t>100 VOCES · GUION NARRATIVO · RETO 3</w:t>
      </w:r>
    </w:p>
    <w:p>
      <w:pPr>
        <w:pStyle w:val="Title"/>
      </w:pPr>
      <w:r>
        <w:t>Difundir con la fuente a la vista</w:t>
      </w:r>
    </w:p>
    <w:p>
      <w:pPr>
        <w:pStyle w:val="Heading1"/>
      </w:pPr>
      <w:r>
        <w:t>Plan de canales y formatos</w:t>
      </w:r>
    </w:p>
    <w:p>
      <w:r>
        <w:t>La puerta de entrada es una pieza breve que conduce a la experiencia completa. El carrusel entregable consta de cinco láminas y textos alternativos. Presenta la pregunta inicial, 59,7%, los cien puntos redondeados, una comparación en pp y la fuente. En Reels, TikTok o Shorts, un video de veinte a cuarenta segundos explica la diferencia entre tasa y representación. La invitación es explorar y comprobar, sin mensajes partidistas ni segmentación política.</w:t>
      </w:r>
    </w:p>
    <w:p>
      <w:pPr>
        <w:pStyle w:val="Heading1"/>
      </w:pPr>
      <w:r>
        <w:t>Aula y comunidad</w:t>
      </w:r>
    </w:p>
    <w:p>
      <w:r>
        <w:t>El primer caso de uso es un taller de quince minutos con jóvenes sin formación estadística. El kit docente descargable incluye ficha, respuestas y observación: una secuencia breve para observar, explorar denominador, comparar, ubicar edades, probar hipótesis y explicar un resultado. En comunidad, una lámina descargada permite conversar sin conexión. La persona facilitadora lee el texto equivalente en voz alta y describe las barras. Un enlace o QR se incorpora únicamente cuando exista una dirección pública comprobada.</w:t>
      </w:r>
    </w:p>
    <w:p>
      <w:pPr>
        <w:pStyle w:val="Heading1"/>
      </w:pPr>
      <w:r>
        <w:t>Cadena editorial propuesta</w:t>
      </w:r>
    </w:p>
    <w:p>
      <w:r>
        <w:t>Antes de difundir, una persona revisa cifras, unidades y alcance; otra comprueba que la pieza conserve contexto y fuente, incluso fuera del sitio. La revisión incluye legibilidad del PNG, contraste, descripción accesible, permisos de cualquier recurso incorporado y acceso al destino desde un dispositivo ajeno. La publicación queda a cargo del equipo. No se presenta una pauta como campaña ejecutada ni se atribuye al INE la aprobación de los materiales.</w:t>
      </w:r>
    </w:p>
    <w:p>
      <w:pPr>
        <w:pStyle w:val="Heading1"/>
      </w:pPr>
      <w:r>
        <w:t>Cómo evaluar sin inventar impacto</w:t>
      </w:r>
    </w:p>
    <w:p>
      <w:r>
        <w:t>Un piloto propuesto observa tareas concretas: explicar el 59,7%, distinguir pp de cambio relativo, comparar procesos del mismo tipo, localizar una entidad y exportar una imagen con fuente. Se documentarán número de participantes, fecha, respuestas, dificultades y correcciones, sin identificadores personales. Antes y después pueden utilizar preguntas equivalentes. Las metas orientan el diseño; solo los resultados registrados podrán describirse como evidencia de aprendizaje.</w:t>
      </w:r>
    </w:p>
    <w:p>
      <w:pPr>
        <w:pStyle w:val="Heading1"/>
      </w:pPr>
      <w:r>
        <w:t>Adaptación institucional y cierre</w:t>
      </w:r>
    </w:p>
    <w:p>
      <w:r>
        <w:t>El código estático, los datos agregados, el guion editable y la ficha docente favorecen la revisión y adaptación. La posible incorporación a actividades del INE requeriría validación metodológica, editorial, de accesibilidad y operativa. Actualizar cifras, atender incidencias y mantener materiales requiere responsables. La presentación ejecutiva expone esta viabilidad en diez diapositivas y el pitch reserva dos minutos cincuenta segundos. Frase de cierre: «Los datos ya hablan. Hagamos que se entiendan».</w:t>
      </w:r>
    </w:p>
    <w:p>
      <w:pPr>
        <w:pStyle w:val="Caption"/>
      </w:pPr>
      <w:r>
        <w:t>Referencia documental: https://ine.mx/wp-content/uploads/2025/06/Manual-Conteos-Censales-2009-2024.pdf</w:t>
      </w:r>
    </w:p>
    <w:p>
      <w:pPr>
        <w:pStyle w:val="Caption"/>
      </w:pPr>
      <w:r>
        <w:t>Edades nacionales 2024, gráfica 5, p. 18: https://repositoriodocumental.ine.mx/xmlui/bitstream/handle/123456789/186643/Deceyec-Estudio-Participaci%C3%B3n-ciudadada-2024.pdf#page=18</w:t>
      </w:r>
    </w:p>
    <w:sectPr w:rsidR="00FC693F" w:rsidRPr="0006063C" w:rsidSect="00034616">
      <w:footerReference w:type="default" r:id="rId9"/>
      <w:pgSz w:w="12240" w:h="15840"/>
      <w:pgMar w:top="893"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Proyecto independiente para el Hackathon INE 2026. No es un producto oficial ni cuenta con aval del 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142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214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2142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