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#3</w:t>
      </w:r>
    </w:p>
    <w:p>
      <w:r>
        <w:t>Empresa: asdasda</w:t>
        <w:br/>
      </w:r>
      <w:r>
        <w:t>Fecha de generación: 2026-05-19 22:30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-701.38%</w:t>
      </w:r>
    </w:p>
    <w:p>
      <w:r>
        <w:t>Brecha Mediana: 2.61%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Sin Grupo Asignado</w:t>
            </w:r>
          </w:p>
        </w:tc>
        <w:tc>
          <w:tcPr>
            <w:tcW w:type="dxa" w:w="2160"/>
          </w:tcPr>
          <w:p>
            <w:r>
              <w:t>101029.63 €</w:t>
            </w:r>
          </w:p>
        </w:tc>
        <w:tc>
          <w:tcPr>
            <w:tcW w:type="dxa" w:w="2160"/>
          </w:tcPr>
          <w:p>
            <w:r>
              <w:t>809635.40 €</w:t>
            </w:r>
          </w:p>
        </w:tc>
        <w:tc>
          <w:tcPr>
            <w:tcW w:type="dxa" w:w="2160"/>
          </w:tcPr>
          <w:p>
            <w:r>
              <w:t>-701.38%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